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7F9C9" w14:textId="77777777" w:rsidR="00863589" w:rsidRDefault="00D539FA" w:rsidP="0029727C">
      <w:pPr>
        <w:jc w:val="center"/>
        <w:rPr>
          <w:sz w:val="28"/>
          <w:szCs w:val="28"/>
        </w:rPr>
      </w:pPr>
      <w:r>
        <w:rPr>
          <w:sz w:val="28"/>
          <w:szCs w:val="28"/>
        </w:rPr>
        <w:t xml:space="preserve">Supplementary Information for </w:t>
      </w:r>
    </w:p>
    <w:p w14:paraId="6C96DE56" w14:textId="271D34D9" w:rsidR="006B254D" w:rsidRPr="0029727C" w:rsidRDefault="0029727C" w:rsidP="0029727C">
      <w:pPr>
        <w:jc w:val="center"/>
        <w:rPr>
          <w:rFonts w:eastAsia="Times New Roman"/>
          <w:sz w:val="28"/>
          <w:szCs w:val="28"/>
          <w:lang w:val="en-US"/>
        </w:rPr>
      </w:pPr>
      <w:r w:rsidRPr="0029727C">
        <w:rPr>
          <w:rFonts w:eastAsia="Times New Roman"/>
          <w:sz w:val="28"/>
          <w:szCs w:val="28"/>
          <w:lang w:val="en-US"/>
        </w:rPr>
        <w:t>Optimizing Photoacoustic Cells for Sensitive Measurements of Aerosol Light Absorption using a Finite Element Model. Part 1: Single-Resonator Ce</w:t>
      </w:r>
      <w:r>
        <w:rPr>
          <w:rFonts w:eastAsia="Times New Roman"/>
          <w:sz w:val="28"/>
          <w:szCs w:val="28"/>
          <w:lang w:val="en-US"/>
        </w:rPr>
        <w:t>lls</w:t>
      </w:r>
      <w:bookmarkStart w:id="0" w:name="_GoBack"/>
      <w:bookmarkEnd w:id="0"/>
    </w:p>
    <w:p w14:paraId="72DC8BFD" w14:textId="77777777" w:rsidR="006B254D" w:rsidRDefault="006B254D" w:rsidP="006B254D">
      <w:pPr>
        <w:pStyle w:val="BATitle"/>
        <w:spacing w:before="0" w:after="0"/>
        <w:rPr>
          <w:sz w:val="20"/>
        </w:rPr>
      </w:pPr>
      <w:r w:rsidRPr="000B0D98">
        <w:rPr>
          <w:sz w:val="20"/>
        </w:rPr>
        <w:t>Michael I. Cotterell,</w:t>
      </w:r>
      <w:r w:rsidRPr="000B0D98">
        <w:rPr>
          <w:sz w:val="20"/>
          <w:vertAlign w:val="superscript"/>
        </w:rPr>
        <w:t>1,2</w:t>
      </w:r>
      <w:r w:rsidRPr="000B0D98">
        <w:rPr>
          <w:sz w:val="20"/>
        </w:rPr>
        <w:t xml:space="preserve"> </w:t>
      </w:r>
      <w:r>
        <w:rPr>
          <w:sz w:val="20"/>
        </w:rPr>
        <w:t>Gareth P. Ward,</w:t>
      </w:r>
      <w:r>
        <w:rPr>
          <w:sz w:val="20"/>
          <w:vertAlign w:val="superscript"/>
        </w:rPr>
        <w:t>3</w:t>
      </w:r>
      <w:r>
        <w:rPr>
          <w:sz w:val="20"/>
        </w:rPr>
        <w:t xml:space="preserve"> Alastair P. Hibbins,</w:t>
      </w:r>
      <w:r>
        <w:rPr>
          <w:sz w:val="20"/>
          <w:vertAlign w:val="superscript"/>
        </w:rPr>
        <w:t>3</w:t>
      </w:r>
      <w:r>
        <w:rPr>
          <w:sz w:val="20"/>
        </w:rPr>
        <w:t xml:space="preserve"> </w:t>
      </w:r>
      <w:r w:rsidRPr="000B0D98">
        <w:rPr>
          <w:sz w:val="20"/>
        </w:rPr>
        <w:t>Jim M. Haywood,</w:t>
      </w:r>
      <w:r w:rsidRPr="000B0D98">
        <w:rPr>
          <w:sz w:val="20"/>
          <w:vertAlign w:val="superscript"/>
        </w:rPr>
        <w:t>1,2</w:t>
      </w:r>
      <w:r w:rsidRPr="000B0D98">
        <w:rPr>
          <w:sz w:val="20"/>
        </w:rPr>
        <w:t xml:space="preserve"> Andy Wilson</w:t>
      </w:r>
      <w:r w:rsidRPr="000B0D98">
        <w:rPr>
          <w:sz w:val="20"/>
          <w:vertAlign w:val="superscript"/>
        </w:rPr>
        <w:t>2</w:t>
      </w:r>
      <w:r w:rsidRPr="000B0D98">
        <w:rPr>
          <w:sz w:val="20"/>
        </w:rPr>
        <w:t xml:space="preserve"> and </w:t>
      </w:r>
    </w:p>
    <w:p w14:paraId="11F367C4" w14:textId="77777777" w:rsidR="006B254D" w:rsidRPr="000B0D98" w:rsidRDefault="006B254D" w:rsidP="006B254D">
      <w:pPr>
        <w:pStyle w:val="BATitle"/>
        <w:spacing w:before="0" w:after="0"/>
        <w:rPr>
          <w:sz w:val="20"/>
        </w:rPr>
      </w:pPr>
      <w:r w:rsidRPr="000B0D98">
        <w:rPr>
          <w:sz w:val="20"/>
        </w:rPr>
        <w:t>Justin M. Langridge</w:t>
      </w:r>
      <w:r w:rsidRPr="000B0D98">
        <w:rPr>
          <w:sz w:val="20"/>
          <w:vertAlign w:val="superscript"/>
        </w:rPr>
        <w:t>2</w:t>
      </w:r>
    </w:p>
    <w:p w14:paraId="41E0919C" w14:textId="77777777" w:rsidR="006B254D" w:rsidRPr="000B0D98" w:rsidRDefault="006B254D" w:rsidP="006B254D">
      <w:pPr>
        <w:pStyle w:val="BATitle"/>
        <w:spacing w:before="0" w:after="0"/>
        <w:jc w:val="both"/>
        <w:rPr>
          <w:sz w:val="20"/>
        </w:rPr>
      </w:pPr>
      <w:r w:rsidRPr="000B0D98">
        <w:rPr>
          <w:sz w:val="20"/>
          <w:vertAlign w:val="superscript"/>
        </w:rPr>
        <w:t>1</w:t>
      </w:r>
      <w:r w:rsidRPr="000B0D98">
        <w:rPr>
          <w:sz w:val="20"/>
        </w:rPr>
        <w:t>College for Engineering, Mathematics and Physical Sciences, University of Exeter, Exeter, EX4 4QF, United Kingdom.</w:t>
      </w:r>
    </w:p>
    <w:p w14:paraId="5F3EEB7B" w14:textId="77777777" w:rsidR="006B254D" w:rsidRDefault="006B254D" w:rsidP="006B254D">
      <w:pPr>
        <w:pStyle w:val="BATitle"/>
        <w:spacing w:before="0" w:after="0"/>
        <w:jc w:val="both"/>
        <w:rPr>
          <w:sz w:val="20"/>
        </w:rPr>
      </w:pPr>
      <w:r w:rsidRPr="000B0D98">
        <w:rPr>
          <w:sz w:val="20"/>
          <w:vertAlign w:val="superscript"/>
        </w:rPr>
        <w:t>2</w:t>
      </w:r>
      <w:r w:rsidRPr="000B0D98">
        <w:rPr>
          <w:sz w:val="20"/>
        </w:rPr>
        <w:t>Observation Based Research, Met Office, Exeter, EX1 3PB, United Kingdom.</w:t>
      </w:r>
    </w:p>
    <w:p w14:paraId="0BDCB769" w14:textId="77777777" w:rsidR="006B254D" w:rsidRDefault="006B254D" w:rsidP="006B254D">
      <w:pPr>
        <w:pStyle w:val="BATitle"/>
        <w:spacing w:before="0" w:after="0"/>
        <w:jc w:val="both"/>
        <w:rPr>
          <w:sz w:val="20"/>
        </w:rPr>
      </w:pPr>
      <w:r>
        <w:rPr>
          <w:sz w:val="20"/>
          <w:vertAlign w:val="superscript"/>
        </w:rPr>
        <w:t>3</w:t>
      </w:r>
      <w:r w:rsidRPr="00240D76">
        <w:rPr>
          <w:sz w:val="20"/>
        </w:rPr>
        <w:t xml:space="preserve">Electromagnetic and Acoustic Materials Group, Department of Physics and Astronomy, </w:t>
      </w:r>
      <w:r w:rsidRPr="000B0D98">
        <w:rPr>
          <w:sz w:val="20"/>
        </w:rPr>
        <w:t>University of Exeter, E</w:t>
      </w:r>
      <w:r>
        <w:rPr>
          <w:sz w:val="20"/>
        </w:rPr>
        <w:t>xeter, EX4 4QF, United Kingdom.</w:t>
      </w:r>
    </w:p>
    <w:p w14:paraId="2D74F5F0" w14:textId="77777777" w:rsidR="00DB56A8" w:rsidRDefault="006B254D" w:rsidP="00DB56A8">
      <w:pPr>
        <w:pStyle w:val="BATitle"/>
        <w:spacing w:before="0" w:after="0"/>
        <w:jc w:val="both"/>
        <w:rPr>
          <w:sz w:val="20"/>
        </w:rPr>
      </w:pPr>
      <w:r w:rsidRPr="000B0D98">
        <w:rPr>
          <w:sz w:val="20"/>
        </w:rPr>
        <w:t>Author for correspondence: m.cotterell@exeter.ac.uk</w:t>
      </w:r>
    </w:p>
    <w:p w14:paraId="7B0BB3E7" w14:textId="77777777" w:rsidR="00DB56A8" w:rsidRDefault="00DB56A8" w:rsidP="00DB56A8">
      <w:pPr>
        <w:rPr>
          <w:lang w:val="en-US"/>
        </w:rPr>
      </w:pPr>
    </w:p>
    <w:p w14:paraId="0B019C35" w14:textId="77777777" w:rsidR="00DB56A8" w:rsidRDefault="00DB56A8">
      <w:pPr>
        <w:spacing w:line="276" w:lineRule="auto"/>
        <w:jc w:val="left"/>
        <w:rPr>
          <w:lang w:val="en-US"/>
        </w:rPr>
      </w:pPr>
      <w:r>
        <w:rPr>
          <w:lang w:val="en-US"/>
        </w:rPr>
        <w:br w:type="page"/>
      </w:r>
    </w:p>
    <w:p w14:paraId="57D25752" w14:textId="441325A6" w:rsidR="00DB56A8" w:rsidRDefault="00DB56A8" w:rsidP="00DB56A8">
      <w:pPr>
        <w:spacing w:line="276" w:lineRule="auto"/>
        <w:jc w:val="left"/>
        <w:rPr>
          <w:b/>
          <w:lang w:val="en-US"/>
        </w:rPr>
      </w:pPr>
      <w:r w:rsidRPr="00DB56A8">
        <w:rPr>
          <w:b/>
          <w:lang w:val="en-US"/>
        </w:rPr>
        <w:lastRenderedPageBreak/>
        <w:t>S1.1. Choice of mesh parameters</w:t>
      </w:r>
      <w:r w:rsidR="006A5160">
        <w:rPr>
          <w:b/>
          <w:lang w:val="en-US"/>
        </w:rPr>
        <w:t xml:space="preserve"> for 2D axisymmetric model calculations</w:t>
      </w:r>
    </w:p>
    <w:p w14:paraId="3B6CDC3A" w14:textId="77777777" w:rsidR="00DB56A8" w:rsidRDefault="00DB56A8" w:rsidP="00DB56A8">
      <w:pPr>
        <w:spacing w:line="276" w:lineRule="auto"/>
        <w:rPr>
          <w:szCs w:val="20"/>
          <w:lang w:eastAsia="en-GB"/>
        </w:rPr>
      </w:pPr>
      <w:r>
        <w:rPr>
          <w:szCs w:val="20"/>
          <w:lang w:eastAsia="en-GB"/>
        </w:rPr>
        <w:t xml:space="preserve">For the simulations reported in the main text using a 2D axisymmetric model geometry, a free triangular mesh was used to capture bulk processes with a maximum element size of 4.57 mm (~ </w:t>
      </w:r>
      <w:r>
        <w:rPr>
          <w:szCs w:val="20"/>
          <w:lang w:eastAsia="en-GB"/>
        </w:rPr>
        <w:sym w:font="Symbol" w:char="F06C"/>
      </w:r>
      <w:r>
        <w:rPr>
          <w:szCs w:val="20"/>
          <w:lang w:eastAsia="en-GB"/>
        </w:rPr>
        <w:t xml:space="preserve">/50 with </w:t>
      </w:r>
      <w:r>
        <w:rPr>
          <w:szCs w:val="20"/>
          <w:lang w:eastAsia="en-GB"/>
        </w:rPr>
        <w:sym w:font="Symbol" w:char="F06C"/>
      </w:r>
      <w:r>
        <w:rPr>
          <w:szCs w:val="20"/>
          <w:lang w:eastAsia="en-GB"/>
        </w:rPr>
        <w:t xml:space="preserve"> the acoustic wavelength) and a minimum element size of 1.27 mm (~ </w:t>
      </w:r>
      <w:r>
        <w:rPr>
          <w:szCs w:val="20"/>
          <w:lang w:eastAsia="en-GB"/>
        </w:rPr>
        <w:sym w:font="Symbol" w:char="F06C"/>
      </w:r>
      <w:r>
        <w:rPr>
          <w:szCs w:val="20"/>
          <w:lang w:eastAsia="en-GB"/>
        </w:rPr>
        <w:t xml:space="preserve">/180). The maximum element growth rate, curvature factor and resolution of narrow regions were set to 1.1, 0.2 and 1.0 respectively. We included corner refinement using an element size-scaling factor of 0.25. Importantly, we used a boundary layer mesh to resolve finely the damping effects occurring in the thermal and viscous boundary layers over characteristic length scales </w:t>
      </w:r>
      <w:r>
        <w:rPr>
          <w:szCs w:val="20"/>
          <w:lang w:eastAsia="en-GB"/>
        </w:rPr>
        <w:sym w:font="Symbol" w:char="F064"/>
      </w:r>
      <w:r>
        <w:rPr>
          <w:i/>
          <w:szCs w:val="20"/>
          <w:vertAlign w:val="subscript"/>
          <w:lang w:eastAsia="en-GB"/>
        </w:rPr>
        <w:t>T</w:t>
      </w:r>
      <w:r>
        <w:rPr>
          <w:szCs w:val="20"/>
          <w:lang w:eastAsia="en-GB"/>
        </w:rPr>
        <w:t xml:space="preserve"> and </w:t>
      </w:r>
      <w:r>
        <w:rPr>
          <w:szCs w:val="20"/>
          <w:lang w:eastAsia="en-GB"/>
        </w:rPr>
        <w:sym w:font="Symbol" w:char="F064"/>
      </w:r>
      <w:r>
        <w:rPr>
          <w:i/>
          <w:szCs w:val="20"/>
          <w:vertAlign w:val="subscript"/>
          <w:lang w:eastAsia="en-GB"/>
        </w:rPr>
        <w:t>v</w:t>
      </w:r>
      <w:r>
        <w:rPr>
          <w:szCs w:val="20"/>
          <w:lang w:eastAsia="en-GB"/>
        </w:rPr>
        <w:t>. Our boundary mesh was composed of 15 layers with an initial layer thickness automatically selected by the mesh algorithm. The stretching factor for boundary elements was set to 1.05 and we selected the maximum layer decrement in corner settings to equal 300.</w:t>
      </w:r>
    </w:p>
    <w:p w14:paraId="5A496513" w14:textId="77777777" w:rsidR="006A5160" w:rsidRDefault="006A5160" w:rsidP="00DB56A8">
      <w:pPr>
        <w:spacing w:line="276" w:lineRule="auto"/>
        <w:rPr>
          <w:szCs w:val="20"/>
          <w:lang w:eastAsia="en-GB"/>
        </w:rPr>
      </w:pPr>
    </w:p>
    <w:p w14:paraId="4CB77918" w14:textId="31F4C02C" w:rsidR="006A5160" w:rsidRDefault="006A5160" w:rsidP="006A5160">
      <w:pPr>
        <w:spacing w:line="276" w:lineRule="auto"/>
        <w:jc w:val="left"/>
        <w:rPr>
          <w:b/>
          <w:lang w:val="en-US"/>
        </w:rPr>
      </w:pPr>
      <w:r w:rsidRPr="00DB56A8">
        <w:rPr>
          <w:b/>
          <w:lang w:val="en-US"/>
        </w:rPr>
        <w:t>S.</w:t>
      </w:r>
      <w:r>
        <w:rPr>
          <w:b/>
          <w:lang w:val="en-US"/>
        </w:rPr>
        <w:t>2</w:t>
      </w:r>
      <w:r w:rsidRPr="00DB56A8">
        <w:rPr>
          <w:b/>
          <w:lang w:val="en-US"/>
        </w:rPr>
        <w:t>. Choice of mesh parameters</w:t>
      </w:r>
      <w:r>
        <w:rPr>
          <w:b/>
          <w:lang w:val="en-US"/>
        </w:rPr>
        <w:t xml:space="preserve"> for 3D model calculations</w:t>
      </w:r>
    </w:p>
    <w:p w14:paraId="35AD7CD7" w14:textId="77777777" w:rsidR="006A5160" w:rsidRPr="00DB56A8" w:rsidRDefault="006A5160" w:rsidP="00DB56A8">
      <w:pPr>
        <w:spacing w:line="276" w:lineRule="auto"/>
        <w:rPr>
          <w:lang w:val="en-US"/>
        </w:rPr>
        <w:sectPr w:rsidR="006A5160" w:rsidRPr="00DB56A8" w:rsidSect="004034E5">
          <w:footerReference w:type="default" r:id="rId8"/>
          <w:pgSz w:w="11906" w:h="16838"/>
          <w:pgMar w:top="1276" w:right="1416" w:bottom="1418" w:left="1418" w:header="708" w:footer="708" w:gutter="0"/>
          <w:cols w:space="708"/>
          <w:docGrid w:linePitch="360"/>
        </w:sectPr>
      </w:pPr>
      <w:r>
        <w:rPr>
          <w:rFonts w:eastAsiaTheme="minorEastAsia"/>
        </w:rPr>
        <w:t>For the bulk mesh, the maximum and minimum element size were set to 9.1 and 1.5 mm respectively. The maximum element growth rate, curvature factor and resolution of narrow regimes were set to 1.7, 0.3 and 0.7 respectively. This free triangular mesh used corner refinement with an element size scaling factor of 0.35. The boundary layer mesh</w:t>
      </w:r>
      <w:r w:rsidRPr="00D33C84">
        <w:t xml:space="preserve"> </w:t>
      </w:r>
      <w:r w:rsidRPr="008D6C94">
        <w:t>used a maximum layer decrement of 300</w:t>
      </w:r>
      <w:r>
        <w:t xml:space="preserve">, </w:t>
      </w:r>
      <w:r>
        <w:rPr>
          <w:rFonts w:eastAsiaTheme="minorEastAsia"/>
        </w:rPr>
        <w:t>7 layers to resolve the boundary, a scaling factor of 1.05 and the first-layer thickness was calculated automatically.</w:t>
      </w:r>
    </w:p>
    <w:p w14:paraId="5B9B05E4" w14:textId="77777777" w:rsidR="00D539FA" w:rsidRDefault="004501EE" w:rsidP="004501EE">
      <w:pPr>
        <w:jc w:val="center"/>
      </w:pPr>
      <w:r>
        <w:rPr>
          <w:noProof/>
          <w:lang w:eastAsia="en-GB"/>
        </w:rPr>
        <w:lastRenderedPageBreak/>
        <w:drawing>
          <wp:inline distT="0" distB="0" distL="0" distR="0" wp14:anchorId="2CEE3F3C" wp14:editId="4AFCAE1F">
            <wp:extent cx="8928000" cy="48768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151"/>
                    <a:stretch/>
                  </pic:blipFill>
                  <pic:spPr bwMode="auto">
                    <a:xfrm>
                      <a:off x="0" y="0"/>
                      <a:ext cx="8928000" cy="4876831"/>
                    </a:xfrm>
                    <a:prstGeom prst="rect">
                      <a:avLst/>
                    </a:prstGeom>
                    <a:ln>
                      <a:noFill/>
                    </a:ln>
                    <a:extLst>
                      <a:ext uri="{53640926-AAD7-44D8-BBD7-CCE9431645EC}">
                        <a14:shadowObscured xmlns:a14="http://schemas.microsoft.com/office/drawing/2010/main"/>
                      </a:ext>
                    </a:extLst>
                  </pic:spPr>
                </pic:pic>
              </a:graphicData>
            </a:graphic>
          </wp:inline>
        </w:drawing>
      </w:r>
    </w:p>
    <w:p w14:paraId="653DE819" w14:textId="77777777" w:rsidR="00204378" w:rsidRDefault="00160A89" w:rsidP="00160A89">
      <w:pPr>
        <w:rPr>
          <w:sz w:val="20"/>
          <w:szCs w:val="20"/>
        </w:rPr>
        <w:sectPr w:rsidR="00204378" w:rsidSect="004034E5">
          <w:pgSz w:w="16838" w:h="11906" w:orient="landscape"/>
          <w:pgMar w:top="1134" w:right="1418" w:bottom="1276" w:left="1276" w:header="708" w:footer="708" w:gutter="0"/>
          <w:cols w:space="708"/>
          <w:docGrid w:linePitch="360"/>
        </w:sectPr>
      </w:pPr>
      <w:r w:rsidRPr="00160A89">
        <w:rPr>
          <w:sz w:val="20"/>
          <w:szCs w:val="20"/>
        </w:rPr>
        <w:t xml:space="preserve">Figure S1: FEM predictions of the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sig</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M</m:t>
                    </m:r>
                  </m:sub>
                </m:sSub>
                <m:r>
                  <w:rPr>
                    <w:rFonts w:ascii="Cambria Math" w:hAnsi="Cambria Math"/>
                  </w:rPr>
                  <m:t>,ω</m:t>
                </m:r>
              </m:e>
            </m:d>
          </m:e>
        </m:d>
      </m:oMath>
      <w:r w:rsidR="006B254D">
        <w:t xml:space="preserve"> </w:t>
      </w:r>
      <w:r w:rsidRPr="00160A89">
        <w:rPr>
          <w:sz w:val="20"/>
          <w:szCs w:val="20"/>
        </w:rPr>
        <w:t xml:space="preserve"> (black points)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bck</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M</m:t>
                    </m:r>
                  </m:sub>
                </m:sSub>
                <m:r>
                  <w:rPr>
                    <w:rFonts w:ascii="Cambria Math" w:hAnsi="Cambria Math"/>
                  </w:rPr>
                  <m:t>,ω</m:t>
                </m:r>
              </m:e>
            </m:d>
          </m:e>
        </m:d>
      </m:oMath>
      <w:r w:rsidRPr="00160A89">
        <w:rPr>
          <w:sz w:val="20"/>
          <w:szCs w:val="20"/>
        </w:rPr>
        <w:t xml:space="preserve">(blue points) for a single-resonator PA cell with </w:t>
      </w:r>
      <w:proofErr w:type="spellStart"/>
      <w:r w:rsidRPr="00160A89">
        <w:rPr>
          <w:i/>
          <w:sz w:val="20"/>
          <w:szCs w:val="20"/>
        </w:rPr>
        <w:t>l</w:t>
      </w:r>
      <w:r w:rsidRPr="00160A89">
        <w:rPr>
          <w:i/>
          <w:sz w:val="20"/>
          <w:szCs w:val="20"/>
          <w:vertAlign w:val="subscript"/>
        </w:rPr>
        <w:t>res</w:t>
      </w:r>
      <w:proofErr w:type="spellEnd"/>
      <w:r w:rsidRPr="00160A89">
        <w:rPr>
          <w:i/>
          <w:sz w:val="20"/>
          <w:szCs w:val="20"/>
        </w:rPr>
        <w:softHyphen/>
      </w:r>
      <w:r w:rsidRPr="00160A89">
        <w:rPr>
          <w:sz w:val="20"/>
          <w:szCs w:val="20"/>
        </w:rPr>
        <w:t xml:space="preserve"> = 11.0 cm, </w:t>
      </w:r>
      <w:proofErr w:type="spellStart"/>
      <w:r w:rsidRPr="00160A89">
        <w:rPr>
          <w:i/>
          <w:sz w:val="20"/>
          <w:szCs w:val="20"/>
        </w:rPr>
        <w:t>r</w:t>
      </w:r>
      <w:r w:rsidRPr="00160A89">
        <w:rPr>
          <w:i/>
          <w:sz w:val="20"/>
          <w:szCs w:val="20"/>
          <w:vertAlign w:val="subscript"/>
        </w:rPr>
        <w:t>res</w:t>
      </w:r>
      <w:proofErr w:type="spellEnd"/>
      <w:r w:rsidR="006B254D">
        <w:rPr>
          <w:sz w:val="20"/>
          <w:szCs w:val="20"/>
        </w:rPr>
        <w:t xml:space="preserve"> = 1.0</w:t>
      </w:r>
      <w:r w:rsidRPr="00160A89">
        <w:rPr>
          <w:sz w:val="20"/>
          <w:szCs w:val="20"/>
        </w:rPr>
        <w:t xml:space="preserve"> cm, while </w:t>
      </w:r>
      <w:proofErr w:type="spellStart"/>
      <w:r w:rsidRPr="00160A89">
        <w:rPr>
          <w:i/>
          <w:sz w:val="20"/>
          <w:szCs w:val="20"/>
        </w:rPr>
        <w:t>l</w:t>
      </w:r>
      <w:r w:rsidRPr="00160A89">
        <w:rPr>
          <w:i/>
          <w:sz w:val="20"/>
          <w:szCs w:val="20"/>
          <w:vertAlign w:val="subscript"/>
        </w:rPr>
        <w:t>buf</w:t>
      </w:r>
      <w:proofErr w:type="spellEnd"/>
      <w:r w:rsidRPr="00160A89">
        <w:rPr>
          <w:sz w:val="20"/>
          <w:szCs w:val="20"/>
        </w:rPr>
        <w:t xml:space="preserve"> and </w:t>
      </w:r>
      <w:proofErr w:type="spellStart"/>
      <w:r w:rsidRPr="00160A89">
        <w:rPr>
          <w:i/>
          <w:sz w:val="20"/>
          <w:szCs w:val="20"/>
        </w:rPr>
        <w:t>r</w:t>
      </w:r>
      <w:r w:rsidRPr="00160A89">
        <w:rPr>
          <w:i/>
          <w:sz w:val="20"/>
          <w:szCs w:val="20"/>
          <w:vertAlign w:val="subscript"/>
        </w:rPr>
        <w:t>buf</w:t>
      </w:r>
      <w:proofErr w:type="spellEnd"/>
      <w:r w:rsidRPr="00160A89">
        <w:rPr>
          <w:sz w:val="20"/>
          <w:szCs w:val="20"/>
        </w:rPr>
        <w:t xml:space="preserve"> were varied (with each plot labelled with the respective </w:t>
      </w:r>
      <w:proofErr w:type="spellStart"/>
      <w:r w:rsidRPr="00160A89">
        <w:rPr>
          <w:i/>
          <w:sz w:val="20"/>
          <w:szCs w:val="20"/>
        </w:rPr>
        <w:t>l</w:t>
      </w:r>
      <w:r w:rsidRPr="00160A89">
        <w:rPr>
          <w:i/>
          <w:sz w:val="20"/>
          <w:szCs w:val="20"/>
          <w:vertAlign w:val="subscript"/>
        </w:rPr>
        <w:t>buf</w:t>
      </w:r>
      <w:proofErr w:type="spellEnd"/>
      <w:r w:rsidRPr="00160A89">
        <w:rPr>
          <w:sz w:val="20"/>
          <w:szCs w:val="20"/>
        </w:rPr>
        <w:t xml:space="preserve">, </w:t>
      </w:r>
      <w:proofErr w:type="spellStart"/>
      <w:r w:rsidRPr="00160A89">
        <w:rPr>
          <w:i/>
          <w:sz w:val="20"/>
          <w:szCs w:val="20"/>
        </w:rPr>
        <w:t>r</w:t>
      </w:r>
      <w:r w:rsidRPr="00160A89">
        <w:rPr>
          <w:i/>
          <w:sz w:val="20"/>
          <w:szCs w:val="20"/>
          <w:vertAlign w:val="subscript"/>
        </w:rPr>
        <w:t>buf</w:t>
      </w:r>
      <w:proofErr w:type="spellEnd"/>
      <w:r w:rsidRPr="00160A89">
        <w:rPr>
          <w:sz w:val="20"/>
          <w:szCs w:val="20"/>
        </w:rPr>
        <w:t xml:space="preserve"> values). The red curves represent the best-fit of a double-Lorentzian distribution.</w:t>
      </w:r>
    </w:p>
    <w:p w14:paraId="12FDF2FB" w14:textId="77777777" w:rsidR="00FB01B0" w:rsidRDefault="00FB01B0" w:rsidP="00FB01B0">
      <w:pPr>
        <w:keepNext/>
        <w:jc w:val="center"/>
      </w:pPr>
      <w:r>
        <w:rPr>
          <w:noProof/>
          <w:lang w:eastAsia="en-GB"/>
        </w:rPr>
        <w:lastRenderedPageBreak/>
        <w:drawing>
          <wp:inline distT="0" distB="0" distL="0" distR="0" wp14:anchorId="5AB0C67C" wp14:editId="4ABB5A1D">
            <wp:extent cx="5400000" cy="386392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3863925"/>
                    </a:xfrm>
                    <a:prstGeom prst="rect">
                      <a:avLst/>
                    </a:prstGeom>
                    <a:noFill/>
                  </pic:spPr>
                </pic:pic>
              </a:graphicData>
            </a:graphic>
          </wp:inline>
        </w:drawing>
      </w:r>
    </w:p>
    <w:p w14:paraId="335F503D" w14:textId="77777777" w:rsidR="00155B05" w:rsidRDefault="00FB01B0" w:rsidP="00204378">
      <w:pPr>
        <w:keepNext/>
        <w:rPr>
          <w:sz w:val="20"/>
          <w:szCs w:val="20"/>
        </w:rPr>
      </w:pPr>
      <w:r w:rsidRPr="00FB01B0">
        <w:rPr>
          <w:sz w:val="20"/>
          <w:szCs w:val="20"/>
        </w:rPr>
        <w:t xml:space="preserve">Figure S2: The best fit </w:t>
      </w:r>
      <w:r w:rsidRPr="00FB01B0">
        <w:rPr>
          <w:i/>
          <w:sz w:val="20"/>
          <w:szCs w:val="20"/>
        </w:rPr>
        <w:t>Q</w:t>
      </w:r>
      <w:r w:rsidRPr="00FB01B0">
        <w:rPr>
          <w:sz w:val="20"/>
          <w:szCs w:val="20"/>
        </w:rPr>
        <w:t xml:space="preserve"> and </w:t>
      </w:r>
      <w:r w:rsidRPr="00FB01B0">
        <w:rPr>
          <w:i/>
          <w:sz w:val="20"/>
          <w:szCs w:val="20"/>
        </w:rPr>
        <w:t>f</w:t>
      </w:r>
      <w:r w:rsidRPr="00FB01B0">
        <w:rPr>
          <w:sz w:val="20"/>
          <w:szCs w:val="20"/>
        </w:rPr>
        <w:t xml:space="preserve"> for</w:t>
      </w:r>
      <w:r w:rsidR="00774395">
        <w:rPr>
          <w:sz w:val="20"/>
          <w:szCs w:val="20"/>
        </w:rPr>
        <w:t xml:space="preserve"> the </w:t>
      </w:r>
      <w:r w:rsidR="00774395">
        <w:rPr>
          <w:i/>
          <w:sz w:val="20"/>
          <w:szCs w:val="20"/>
        </w:rPr>
        <w:t>n</w:t>
      </w:r>
      <w:r w:rsidR="00774395">
        <w:rPr>
          <w:sz w:val="20"/>
          <w:szCs w:val="20"/>
        </w:rPr>
        <w:t xml:space="preserve"> = 1 mode.</w:t>
      </w:r>
      <w:r w:rsidR="00961246">
        <w:rPr>
          <w:sz w:val="20"/>
          <w:szCs w:val="20"/>
        </w:rPr>
        <w:t xml:space="preserve"> (a) V</w:t>
      </w:r>
      <w:r w:rsidRPr="00FB01B0">
        <w:rPr>
          <w:sz w:val="20"/>
          <w:szCs w:val="20"/>
        </w:rPr>
        <w:t xml:space="preserve">arying </w:t>
      </w:r>
      <w:proofErr w:type="spellStart"/>
      <w:r w:rsidRPr="00FB01B0">
        <w:rPr>
          <w:i/>
          <w:sz w:val="20"/>
          <w:szCs w:val="20"/>
        </w:rPr>
        <w:t>l</w:t>
      </w:r>
      <w:r w:rsidRPr="00FB01B0">
        <w:rPr>
          <w:i/>
          <w:sz w:val="20"/>
          <w:szCs w:val="20"/>
          <w:vertAlign w:val="subscript"/>
        </w:rPr>
        <w:t>buf</w:t>
      </w:r>
      <w:proofErr w:type="spellEnd"/>
      <w:r w:rsidRPr="00FB01B0">
        <w:rPr>
          <w:sz w:val="20"/>
          <w:szCs w:val="20"/>
        </w:rPr>
        <w:t xml:space="preserve"> with different </w:t>
      </w:r>
      <w:proofErr w:type="spellStart"/>
      <w:r w:rsidRPr="00FB01B0">
        <w:rPr>
          <w:i/>
          <w:sz w:val="20"/>
          <w:szCs w:val="20"/>
        </w:rPr>
        <w:t>r</w:t>
      </w:r>
      <w:r w:rsidRPr="00FB01B0">
        <w:rPr>
          <w:i/>
          <w:sz w:val="20"/>
          <w:szCs w:val="20"/>
          <w:vertAlign w:val="subscript"/>
        </w:rPr>
        <w:t>buf</w:t>
      </w:r>
      <w:proofErr w:type="spellEnd"/>
      <w:r w:rsidRPr="00FB01B0">
        <w:rPr>
          <w:sz w:val="20"/>
          <w:szCs w:val="20"/>
        </w:rPr>
        <w:t xml:space="preserve"> series; (b) varying </w:t>
      </w:r>
      <w:proofErr w:type="spellStart"/>
      <w:r w:rsidRPr="00FB01B0">
        <w:rPr>
          <w:i/>
          <w:sz w:val="20"/>
          <w:szCs w:val="20"/>
        </w:rPr>
        <w:t>r</w:t>
      </w:r>
      <w:r w:rsidRPr="00FB01B0">
        <w:rPr>
          <w:i/>
          <w:sz w:val="20"/>
          <w:szCs w:val="20"/>
          <w:vertAlign w:val="subscript"/>
        </w:rPr>
        <w:t>buf</w:t>
      </w:r>
      <w:proofErr w:type="spellEnd"/>
      <w:r w:rsidRPr="00FB01B0">
        <w:rPr>
          <w:sz w:val="20"/>
          <w:szCs w:val="20"/>
        </w:rPr>
        <w:t xml:space="preserve"> with different </w:t>
      </w:r>
      <w:proofErr w:type="spellStart"/>
      <w:r w:rsidRPr="00FB01B0">
        <w:rPr>
          <w:i/>
          <w:sz w:val="20"/>
          <w:szCs w:val="20"/>
        </w:rPr>
        <w:t>l</w:t>
      </w:r>
      <w:r w:rsidRPr="00FB01B0">
        <w:rPr>
          <w:i/>
          <w:sz w:val="20"/>
          <w:szCs w:val="20"/>
          <w:vertAlign w:val="subscript"/>
        </w:rPr>
        <w:t>buf</w:t>
      </w:r>
      <w:proofErr w:type="spellEnd"/>
      <w:r w:rsidRPr="00FB01B0">
        <w:rPr>
          <w:sz w:val="20"/>
          <w:szCs w:val="20"/>
        </w:rPr>
        <w:t xml:space="preserve"> series. For these simulations, </w:t>
      </w:r>
      <w:proofErr w:type="spellStart"/>
      <w:r w:rsidRPr="00FB01B0">
        <w:rPr>
          <w:i/>
          <w:sz w:val="20"/>
          <w:szCs w:val="20"/>
        </w:rPr>
        <w:t>r</w:t>
      </w:r>
      <w:r w:rsidRPr="00FB01B0">
        <w:rPr>
          <w:i/>
          <w:sz w:val="20"/>
          <w:szCs w:val="20"/>
          <w:vertAlign w:val="subscript"/>
        </w:rPr>
        <w:t>res</w:t>
      </w:r>
      <w:proofErr w:type="spellEnd"/>
      <w:r w:rsidR="00774395">
        <w:rPr>
          <w:sz w:val="20"/>
          <w:szCs w:val="20"/>
        </w:rPr>
        <w:t xml:space="preserve"> = 1.0</w:t>
      </w:r>
      <w:r w:rsidRPr="00FB01B0">
        <w:rPr>
          <w:sz w:val="20"/>
          <w:szCs w:val="20"/>
        </w:rPr>
        <w:t xml:space="preserve"> cm and </w:t>
      </w:r>
      <w:proofErr w:type="spellStart"/>
      <w:r w:rsidRPr="00FB01B0">
        <w:rPr>
          <w:i/>
          <w:sz w:val="20"/>
          <w:szCs w:val="20"/>
        </w:rPr>
        <w:t>l</w:t>
      </w:r>
      <w:r w:rsidRPr="00FB01B0">
        <w:rPr>
          <w:i/>
          <w:sz w:val="20"/>
          <w:szCs w:val="20"/>
          <w:vertAlign w:val="subscript"/>
        </w:rPr>
        <w:t>res</w:t>
      </w:r>
      <w:proofErr w:type="spellEnd"/>
      <w:r w:rsidR="00774395">
        <w:rPr>
          <w:sz w:val="20"/>
          <w:szCs w:val="20"/>
        </w:rPr>
        <w:t xml:space="preserve"> = 11.0</w:t>
      </w:r>
      <w:r w:rsidRPr="00FB01B0">
        <w:rPr>
          <w:sz w:val="20"/>
          <w:szCs w:val="20"/>
        </w:rPr>
        <w:t xml:space="preserve"> cm.</w:t>
      </w:r>
    </w:p>
    <w:p w14:paraId="6A9611D1" w14:textId="77777777" w:rsidR="00D7078E" w:rsidRDefault="00D7078E" w:rsidP="00D7078E">
      <w:pPr>
        <w:keepNext/>
        <w:jc w:val="center"/>
        <w:rPr>
          <w:sz w:val="20"/>
          <w:szCs w:val="20"/>
        </w:rPr>
      </w:pPr>
      <w:r>
        <w:rPr>
          <w:noProof/>
          <w:sz w:val="20"/>
          <w:szCs w:val="20"/>
          <w:lang w:eastAsia="en-GB"/>
        </w:rPr>
        <w:lastRenderedPageBreak/>
        <w:drawing>
          <wp:inline distT="0" distB="0" distL="0" distR="0" wp14:anchorId="107CE6ED" wp14:editId="22B3C427">
            <wp:extent cx="3600000" cy="5939302"/>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5939302"/>
                    </a:xfrm>
                    <a:prstGeom prst="rect">
                      <a:avLst/>
                    </a:prstGeom>
                    <a:noFill/>
                  </pic:spPr>
                </pic:pic>
              </a:graphicData>
            </a:graphic>
          </wp:inline>
        </w:drawing>
      </w:r>
    </w:p>
    <w:p w14:paraId="1A368114" w14:textId="77777777" w:rsidR="00D7078E" w:rsidRDefault="00D7078E" w:rsidP="0009664D">
      <w:r>
        <w:t>Figure S3:</w:t>
      </w:r>
      <w:r w:rsidR="0009664D">
        <w:t xml:space="preserve"> For our laboratory PA cell and for </w:t>
      </w:r>
      <w:proofErr w:type="spellStart"/>
      <w:r w:rsidR="0009664D">
        <w:rPr>
          <w:i/>
        </w:rPr>
        <w:t>r</w:t>
      </w:r>
      <w:r w:rsidR="0009664D">
        <w:rPr>
          <w:i/>
          <w:vertAlign w:val="subscript"/>
        </w:rPr>
        <w:t>buf</w:t>
      </w:r>
      <w:proofErr w:type="spellEnd"/>
      <w:r w:rsidR="0009664D">
        <w:t xml:space="preserve"> values in the range 2 – 5 cm, we compare measurements of the mean IA for background noise in the output microphone response with the laser off with the IA measured for when the laser was on for a cell devoid of any light absorbing sample.</w:t>
      </w:r>
      <w:r w:rsidR="0009664D" w:rsidRPr="0009664D">
        <w:t xml:space="preserve"> </w:t>
      </w:r>
      <w:r w:rsidR="0009664D">
        <w:t xml:space="preserve">The relevant geometric parameters that describe our measurement cell, and those used in our FEM model, are: </w:t>
      </w:r>
      <w:proofErr w:type="spellStart"/>
      <w:r w:rsidR="0009664D">
        <w:rPr>
          <w:i/>
        </w:rPr>
        <w:t>l</w:t>
      </w:r>
      <w:r w:rsidR="0009664D">
        <w:rPr>
          <w:i/>
          <w:vertAlign w:val="subscript"/>
        </w:rPr>
        <w:t>res</w:t>
      </w:r>
      <w:proofErr w:type="spellEnd"/>
      <w:r w:rsidR="0009664D">
        <w:t xml:space="preserve"> = 11.2 cm, </w:t>
      </w:r>
      <w:proofErr w:type="spellStart"/>
      <w:r w:rsidR="0009664D">
        <w:rPr>
          <w:i/>
        </w:rPr>
        <w:t>r</w:t>
      </w:r>
      <w:r w:rsidR="0009664D">
        <w:rPr>
          <w:i/>
        </w:rPr>
        <w:softHyphen/>
      </w:r>
      <w:r w:rsidR="0009664D">
        <w:rPr>
          <w:i/>
          <w:vertAlign w:val="subscript"/>
        </w:rPr>
        <w:t>res</w:t>
      </w:r>
      <w:proofErr w:type="spellEnd"/>
      <w:r w:rsidR="0009664D">
        <w:t xml:space="preserve"> = 1.1 cm, </w:t>
      </w:r>
      <w:proofErr w:type="spellStart"/>
      <w:r w:rsidR="0009664D">
        <w:rPr>
          <w:i/>
        </w:rPr>
        <w:t>l</w:t>
      </w:r>
      <w:r w:rsidR="0009664D">
        <w:rPr>
          <w:i/>
          <w:vertAlign w:val="subscript"/>
        </w:rPr>
        <w:t>buf</w:t>
      </w:r>
      <w:proofErr w:type="spellEnd"/>
      <w:r w:rsidR="0009664D">
        <w:t xml:space="preserve"> = 5.5 cm, </w:t>
      </w:r>
      <w:proofErr w:type="spellStart"/>
      <w:r w:rsidR="0009664D">
        <w:rPr>
          <w:i/>
        </w:rPr>
        <w:t>l</w:t>
      </w:r>
      <w:r w:rsidR="0009664D">
        <w:rPr>
          <w:i/>
          <w:vertAlign w:val="subscript"/>
        </w:rPr>
        <w:t>win</w:t>
      </w:r>
      <w:proofErr w:type="spellEnd"/>
      <w:r w:rsidR="0009664D">
        <w:t xml:space="preserve"> = 1.0 cm, </w:t>
      </w:r>
      <w:proofErr w:type="spellStart"/>
      <w:r w:rsidR="0009664D">
        <w:rPr>
          <w:i/>
        </w:rPr>
        <w:t>r</w:t>
      </w:r>
      <w:r w:rsidR="0009664D">
        <w:rPr>
          <w:i/>
          <w:vertAlign w:val="subscript"/>
        </w:rPr>
        <w:t>win</w:t>
      </w:r>
      <w:proofErr w:type="spellEnd"/>
      <w:r w:rsidR="0009664D">
        <w:t xml:space="preserve"> = 1.0 cm.</w:t>
      </w:r>
    </w:p>
    <w:p w14:paraId="3802A34C" w14:textId="77777777" w:rsidR="0009664D" w:rsidRPr="0009664D" w:rsidRDefault="0009664D" w:rsidP="00D7078E">
      <w:pPr>
        <w:keepNext/>
        <w:rPr>
          <w:sz w:val="20"/>
          <w:szCs w:val="20"/>
        </w:rPr>
      </w:pPr>
    </w:p>
    <w:p w14:paraId="583F7BF1" w14:textId="77777777" w:rsidR="00155B05" w:rsidRDefault="00155B05" w:rsidP="00155B05">
      <w:pPr>
        <w:keepNext/>
        <w:jc w:val="center"/>
        <w:rPr>
          <w:sz w:val="20"/>
          <w:szCs w:val="20"/>
        </w:rPr>
      </w:pPr>
      <w:r>
        <w:rPr>
          <w:noProof/>
          <w:sz w:val="20"/>
          <w:szCs w:val="20"/>
          <w:lang w:eastAsia="en-GB"/>
        </w:rPr>
        <w:drawing>
          <wp:inline distT="0" distB="0" distL="0" distR="0" wp14:anchorId="6578CC88" wp14:editId="664B585E">
            <wp:extent cx="3600000" cy="4718497"/>
            <wp:effectExtent l="0" t="0" r="635" b="6350"/>
            <wp:docPr id="2" name="Picture 2" descr="C:\Users\mc628\Local Documents\1 UoE - Met Office Research\1_COMSOL MODELLING\3D PAS Cell Modelling\Exported Data\SingleRes_TACs\2017_03_06_SingleRes_TAC_AerosolPAS_paramsweep\Q,f0_vs_L_T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628\Local Documents\1 UoE - Met Office Research\1_COMSOL MODELLING\3D PAS Cell Modelling\Exported Data\SingleRes_TACs\2017_03_06_SingleRes_TAC_AerosolPAS_paramsweep\Q,f0_vs_L_TA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4718497"/>
                    </a:xfrm>
                    <a:prstGeom prst="rect">
                      <a:avLst/>
                    </a:prstGeom>
                    <a:noFill/>
                    <a:ln>
                      <a:noFill/>
                    </a:ln>
                  </pic:spPr>
                </pic:pic>
              </a:graphicData>
            </a:graphic>
          </wp:inline>
        </w:drawing>
      </w:r>
    </w:p>
    <w:p w14:paraId="1682A485" w14:textId="77777777" w:rsidR="00F00D52" w:rsidRPr="00F8664F" w:rsidRDefault="00155B05" w:rsidP="00F8664F">
      <w:pPr>
        <w:keepNext/>
        <w:rPr>
          <w:sz w:val="20"/>
          <w:szCs w:val="20"/>
        </w:rPr>
      </w:pPr>
      <w:r w:rsidRPr="00F8664F">
        <w:rPr>
          <w:sz w:val="20"/>
          <w:szCs w:val="20"/>
        </w:rPr>
        <w:t>Figure S</w:t>
      </w:r>
      <w:r w:rsidR="00D7078E">
        <w:rPr>
          <w:sz w:val="20"/>
          <w:szCs w:val="20"/>
        </w:rPr>
        <w:t>4</w:t>
      </w:r>
      <w:r w:rsidRPr="00F8664F">
        <w:rPr>
          <w:sz w:val="20"/>
          <w:szCs w:val="20"/>
        </w:rPr>
        <w:t xml:space="preserve">: For an aerosol PAS cell with TACs </w:t>
      </w:r>
      <w:r w:rsidR="00961246" w:rsidRPr="00F8664F">
        <w:rPr>
          <w:sz w:val="20"/>
          <w:szCs w:val="20"/>
        </w:rPr>
        <w:t>excited</w:t>
      </w:r>
      <w:r w:rsidRPr="00F8664F">
        <w:rPr>
          <w:sz w:val="20"/>
          <w:szCs w:val="20"/>
        </w:rPr>
        <w:t xml:space="preserve"> by sample heating, (a) the </w:t>
      </w:r>
      <w:r w:rsidRPr="00F8664F">
        <w:rPr>
          <w:i/>
          <w:sz w:val="20"/>
          <w:szCs w:val="20"/>
        </w:rPr>
        <w:t>Q</w:t>
      </w:r>
      <w:r w:rsidRPr="00F8664F">
        <w:rPr>
          <w:sz w:val="20"/>
          <w:szCs w:val="20"/>
        </w:rPr>
        <w:t xml:space="preserve"> factor and (b) the </w:t>
      </w:r>
      <w:proofErr w:type="spellStart"/>
      <w:r w:rsidRPr="00F8664F">
        <w:rPr>
          <w:i/>
          <w:sz w:val="20"/>
          <w:szCs w:val="20"/>
        </w:rPr>
        <w:t>f</w:t>
      </w:r>
      <w:r w:rsidRPr="00F8664F">
        <w:rPr>
          <w:i/>
          <w:sz w:val="20"/>
          <w:szCs w:val="20"/>
          <w:vertAlign w:val="subscript"/>
        </w:rPr>
        <w:t>n</w:t>
      </w:r>
      <w:proofErr w:type="spellEnd"/>
      <w:r w:rsidRPr="00F8664F">
        <w:rPr>
          <w:sz w:val="20"/>
          <w:szCs w:val="20"/>
        </w:rPr>
        <w:t xml:space="preserve"> with variation in </w:t>
      </w:r>
      <w:proofErr w:type="spellStart"/>
      <w:r w:rsidRPr="00F8664F">
        <w:rPr>
          <w:i/>
          <w:sz w:val="20"/>
          <w:szCs w:val="20"/>
        </w:rPr>
        <w:t>l</w:t>
      </w:r>
      <w:r w:rsidRPr="00F8664F">
        <w:rPr>
          <w:i/>
          <w:sz w:val="20"/>
          <w:szCs w:val="20"/>
          <w:vertAlign w:val="subscript"/>
        </w:rPr>
        <w:t>TAC</w:t>
      </w:r>
      <w:proofErr w:type="spellEnd"/>
      <w:r w:rsidRPr="00F8664F">
        <w:rPr>
          <w:sz w:val="20"/>
          <w:szCs w:val="20"/>
        </w:rPr>
        <w:t xml:space="preserve">, as determined from fitting the frequency-dependent microphone response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sig</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acc>
                  <m:accPr>
                    <m:chr m:val="⃗"/>
                    <m:ctrlPr>
                      <w:rPr>
                        <w:rFonts w:ascii="Cambria Math" w:eastAsiaTheme="minorEastAsia" w:hAnsi="Cambria Math"/>
                        <w:i/>
                        <w:sz w:val="20"/>
                        <w:szCs w:val="20"/>
                      </w:rPr>
                    </m:ctrlPr>
                  </m:accPr>
                  <m:e>
                    <m:r>
                      <w:rPr>
                        <w:rFonts w:ascii="Cambria Math" w:eastAsiaTheme="minorEastAsia" w:hAnsi="Cambria Math"/>
                        <w:sz w:val="20"/>
                        <w:szCs w:val="20"/>
                      </w:rPr>
                      <m:t>r</m:t>
                    </m:r>
                  </m:e>
                </m:acc>
              </m:e>
              <m:sub>
                <m:r>
                  <w:rPr>
                    <w:rFonts w:ascii="Cambria Math" w:eastAsiaTheme="minorEastAsia" w:hAnsi="Cambria Math"/>
                    <w:sz w:val="20"/>
                    <w:szCs w:val="20"/>
                  </w:rPr>
                  <m:t>M</m:t>
                </m:r>
              </m:sub>
            </m:sSub>
            <m:r>
              <w:rPr>
                <w:rFonts w:ascii="Cambria Math" w:eastAsiaTheme="minorEastAsia" w:hAnsi="Cambria Math"/>
                <w:sz w:val="20"/>
                <w:szCs w:val="20"/>
              </w:rPr>
              <m:t>, ω</m:t>
            </m:r>
          </m:e>
        </m:d>
      </m:oMath>
      <w:r w:rsidRPr="00F8664F">
        <w:rPr>
          <w:rFonts w:eastAsiaTheme="minorEastAsia"/>
          <w:sz w:val="20"/>
          <w:szCs w:val="20"/>
        </w:rPr>
        <w:t xml:space="preserve"> to a Lorentzian function. Different data series correspond to different </w:t>
      </w:r>
      <w:proofErr w:type="spellStart"/>
      <w:r w:rsidRPr="00F8664F">
        <w:rPr>
          <w:rFonts w:eastAsiaTheme="minorEastAsia"/>
          <w:i/>
          <w:sz w:val="20"/>
          <w:szCs w:val="20"/>
        </w:rPr>
        <w:t>r</w:t>
      </w:r>
      <w:r w:rsidRPr="00F8664F">
        <w:rPr>
          <w:rFonts w:eastAsiaTheme="minorEastAsia"/>
          <w:i/>
          <w:sz w:val="20"/>
          <w:szCs w:val="20"/>
          <w:vertAlign w:val="subscript"/>
        </w:rPr>
        <w:t>TAC</w:t>
      </w:r>
      <w:proofErr w:type="spellEnd"/>
      <w:r w:rsidRPr="00F8664F">
        <w:rPr>
          <w:rFonts w:eastAsiaTheme="minorEastAsia"/>
          <w:sz w:val="20"/>
          <w:szCs w:val="20"/>
        </w:rPr>
        <w:t xml:space="preserve"> values. Lines are to guide the eye only.</w:t>
      </w:r>
    </w:p>
    <w:sectPr w:rsidR="00F00D52" w:rsidRPr="00F8664F" w:rsidSect="004034E5">
      <w:pgSz w:w="11906" w:h="16838"/>
      <w:pgMar w:top="1418" w:right="1418" w:bottom="1276" w:left="141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F86DD" w14:textId="77777777" w:rsidR="00C44F7B" w:rsidRDefault="00C44F7B">
      <w:pPr>
        <w:spacing w:after="0" w:line="240" w:lineRule="auto"/>
      </w:pPr>
      <w:r>
        <w:separator/>
      </w:r>
    </w:p>
  </w:endnote>
  <w:endnote w:type="continuationSeparator" w:id="0">
    <w:p w14:paraId="2AC64DB3" w14:textId="77777777" w:rsidR="00C44F7B" w:rsidRDefault="00C44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B5192" w14:textId="77777777" w:rsidR="007C47FF" w:rsidRPr="00A913DB" w:rsidRDefault="00D539FA">
    <w:pPr>
      <w:pStyle w:val="Footer"/>
      <w:jc w:val="center"/>
    </w:pPr>
    <w:r w:rsidRPr="00A913DB">
      <w:fldChar w:fldCharType="begin"/>
    </w:r>
    <w:r w:rsidRPr="00A913DB">
      <w:instrText xml:space="preserve"> PAGE   \* MERGEFORMAT </w:instrText>
    </w:r>
    <w:r w:rsidRPr="00A913DB">
      <w:fldChar w:fldCharType="separate"/>
    </w:r>
    <w:r w:rsidR="0029727C">
      <w:rPr>
        <w:noProof/>
      </w:rPr>
      <w:t>6</w:t>
    </w:r>
    <w:r w:rsidRPr="00A913DB">
      <w:rPr>
        <w:noProof/>
      </w:rPr>
      <w:fldChar w:fldCharType="end"/>
    </w:r>
  </w:p>
  <w:p w14:paraId="77C517C4" w14:textId="77777777" w:rsidR="007C47FF" w:rsidRDefault="007C4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945D" w14:textId="77777777" w:rsidR="00C44F7B" w:rsidRDefault="00C44F7B">
      <w:pPr>
        <w:spacing w:after="0" w:line="240" w:lineRule="auto"/>
      </w:pPr>
      <w:r>
        <w:separator/>
      </w:r>
    </w:p>
  </w:footnote>
  <w:footnote w:type="continuationSeparator" w:id="0">
    <w:p w14:paraId="06ED0E52" w14:textId="77777777" w:rsidR="00C44F7B" w:rsidRDefault="00C44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447B"/>
    <w:multiLevelType w:val="hybridMultilevel"/>
    <w:tmpl w:val="B29A64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94C03"/>
    <w:multiLevelType w:val="hybridMultilevel"/>
    <w:tmpl w:val="360A6CF2"/>
    <w:lvl w:ilvl="0" w:tplc="A532F172">
      <w:start w:val="4"/>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DE54ACF"/>
    <w:multiLevelType w:val="hybridMultilevel"/>
    <w:tmpl w:val="F66AEBDA"/>
    <w:lvl w:ilvl="0" w:tplc="2AB24A5A">
      <w:start w:val="4"/>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12BB3838"/>
    <w:multiLevelType w:val="hybridMultilevel"/>
    <w:tmpl w:val="EDFA117E"/>
    <w:lvl w:ilvl="0" w:tplc="2B163266">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40F77B33"/>
    <w:multiLevelType w:val="hybridMultilevel"/>
    <w:tmpl w:val="AB6CCD38"/>
    <w:lvl w:ilvl="0" w:tplc="5720C6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B22FAE"/>
    <w:multiLevelType w:val="hybridMultilevel"/>
    <w:tmpl w:val="5F2A592E"/>
    <w:lvl w:ilvl="0" w:tplc="1F6E0850">
      <w:start w:val="1"/>
      <w:numFmt w:val="bullet"/>
      <w:lvlText w:val="-"/>
      <w:lvlJc w:val="left"/>
      <w:pPr>
        <w:ind w:left="405" w:hanging="360"/>
      </w:pPr>
      <w:rPr>
        <w:rFonts w:ascii="Calibri" w:eastAsia="Calibri" w:hAnsi="Calibri"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727D7F4A"/>
    <w:multiLevelType w:val="hybridMultilevel"/>
    <w:tmpl w:val="822EA56A"/>
    <w:lvl w:ilvl="0" w:tplc="3A180D02">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A82C0E"/>
    <w:multiLevelType w:val="hybridMultilevel"/>
    <w:tmpl w:val="12C67A78"/>
    <w:lvl w:ilvl="0" w:tplc="5B7E5616">
      <w:start w:val="9"/>
      <w:numFmt w:val="bullet"/>
      <w:lvlText w:val="-"/>
      <w:lvlJc w:val="left"/>
      <w:pPr>
        <w:ind w:left="465" w:hanging="360"/>
      </w:pPr>
      <w:rPr>
        <w:rFonts w:ascii="Times New Roman" w:eastAsia="Calibri" w:hAnsi="Times New Roman" w:cs="Times New Roman"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9FA"/>
    <w:rsid w:val="0009664D"/>
    <w:rsid w:val="0011511B"/>
    <w:rsid w:val="00155B05"/>
    <w:rsid w:val="00160A89"/>
    <w:rsid w:val="0017342E"/>
    <w:rsid w:val="0018702E"/>
    <w:rsid w:val="00197E6D"/>
    <w:rsid w:val="001D3822"/>
    <w:rsid w:val="001E6AFA"/>
    <w:rsid w:val="001F3F7B"/>
    <w:rsid w:val="00204378"/>
    <w:rsid w:val="0029727C"/>
    <w:rsid w:val="002A7474"/>
    <w:rsid w:val="003340FB"/>
    <w:rsid w:val="003431D9"/>
    <w:rsid w:val="00385C56"/>
    <w:rsid w:val="003B4F97"/>
    <w:rsid w:val="004034E5"/>
    <w:rsid w:val="004501EE"/>
    <w:rsid w:val="00481E8F"/>
    <w:rsid w:val="0049370C"/>
    <w:rsid w:val="004B20F8"/>
    <w:rsid w:val="00505D06"/>
    <w:rsid w:val="005A1AA9"/>
    <w:rsid w:val="00607F5D"/>
    <w:rsid w:val="006A5160"/>
    <w:rsid w:val="006A7259"/>
    <w:rsid w:val="006B254D"/>
    <w:rsid w:val="006F6E47"/>
    <w:rsid w:val="00774395"/>
    <w:rsid w:val="007C47FF"/>
    <w:rsid w:val="007D23EC"/>
    <w:rsid w:val="007E4B07"/>
    <w:rsid w:val="00863589"/>
    <w:rsid w:val="0086760C"/>
    <w:rsid w:val="008676C7"/>
    <w:rsid w:val="0089539C"/>
    <w:rsid w:val="008E7B51"/>
    <w:rsid w:val="00904D81"/>
    <w:rsid w:val="00935F92"/>
    <w:rsid w:val="00961246"/>
    <w:rsid w:val="00990C9A"/>
    <w:rsid w:val="00995E8D"/>
    <w:rsid w:val="009D5966"/>
    <w:rsid w:val="00A1447E"/>
    <w:rsid w:val="00B06BA3"/>
    <w:rsid w:val="00C22AD3"/>
    <w:rsid w:val="00C247B2"/>
    <w:rsid w:val="00C25404"/>
    <w:rsid w:val="00C44F7B"/>
    <w:rsid w:val="00C63465"/>
    <w:rsid w:val="00CA0549"/>
    <w:rsid w:val="00CB11DC"/>
    <w:rsid w:val="00D36A06"/>
    <w:rsid w:val="00D539FA"/>
    <w:rsid w:val="00D7078E"/>
    <w:rsid w:val="00D86F3B"/>
    <w:rsid w:val="00DB3799"/>
    <w:rsid w:val="00DB56A8"/>
    <w:rsid w:val="00E93EED"/>
    <w:rsid w:val="00EA7998"/>
    <w:rsid w:val="00EF5017"/>
    <w:rsid w:val="00F00D52"/>
    <w:rsid w:val="00F8664F"/>
    <w:rsid w:val="00F91B2A"/>
    <w:rsid w:val="00FB0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26EE19"/>
  <w15:docId w15:val="{ACF96BA8-0F5C-4C82-9F8A-00F164264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664D"/>
    <w:pPr>
      <w:spacing w:line="480" w:lineRule="auto"/>
      <w:jc w:val="both"/>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Normal"/>
    <w:rsid w:val="00D539FA"/>
    <w:pPr>
      <w:spacing w:before="720" w:after="360"/>
      <w:jc w:val="center"/>
    </w:pPr>
    <w:rPr>
      <w:rFonts w:eastAsia="Times New Roman"/>
      <w:sz w:val="44"/>
      <w:szCs w:val="20"/>
      <w:lang w:val="en-US"/>
    </w:rPr>
  </w:style>
  <w:style w:type="paragraph" w:customStyle="1" w:styleId="BCAuthorAddress">
    <w:name w:val="BC_Author_Address"/>
    <w:basedOn w:val="Normal"/>
    <w:next w:val="Normal"/>
    <w:rsid w:val="00D539FA"/>
    <w:pPr>
      <w:spacing w:after="240"/>
      <w:jc w:val="center"/>
    </w:pPr>
    <w:rPr>
      <w:rFonts w:ascii="Times" w:eastAsia="Times New Roman" w:hAnsi="Times"/>
      <w:sz w:val="24"/>
      <w:szCs w:val="20"/>
      <w:lang w:val="en-US"/>
    </w:rPr>
  </w:style>
  <w:style w:type="paragraph" w:styleId="Header">
    <w:name w:val="header"/>
    <w:basedOn w:val="Normal"/>
    <w:link w:val="HeaderChar"/>
    <w:uiPriority w:val="99"/>
    <w:unhideWhenUsed/>
    <w:rsid w:val="00D539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9FA"/>
    <w:rPr>
      <w:rFonts w:ascii="Times New Roman" w:eastAsia="Calibri" w:hAnsi="Times New Roman" w:cs="Times New Roman"/>
    </w:rPr>
  </w:style>
  <w:style w:type="paragraph" w:styleId="Footer">
    <w:name w:val="footer"/>
    <w:basedOn w:val="Normal"/>
    <w:link w:val="FooterChar"/>
    <w:uiPriority w:val="99"/>
    <w:unhideWhenUsed/>
    <w:rsid w:val="00D539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9FA"/>
    <w:rPr>
      <w:rFonts w:ascii="Times New Roman" w:eastAsia="Calibri" w:hAnsi="Times New Roman" w:cs="Times New Roman"/>
    </w:rPr>
  </w:style>
  <w:style w:type="paragraph" w:styleId="BalloonText">
    <w:name w:val="Balloon Text"/>
    <w:basedOn w:val="Normal"/>
    <w:link w:val="BalloonTextChar"/>
    <w:uiPriority w:val="99"/>
    <w:semiHidden/>
    <w:unhideWhenUsed/>
    <w:rsid w:val="00D539FA"/>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D539FA"/>
    <w:rPr>
      <w:rFonts w:ascii="Tahoma" w:eastAsia="Calibri" w:hAnsi="Tahoma" w:cs="Times New Roman"/>
      <w:sz w:val="16"/>
      <w:szCs w:val="16"/>
      <w:lang w:val="x-none" w:eastAsia="x-none"/>
    </w:rPr>
  </w:style>
  <w:style w:type="paragraph" w:styleId="Caption">
    <w:name w:val="caption"/>
    <w:basedOn w:val="Normal"/>
    <w:next w:val="Normal"/>
    <w:uiPriority w:val="35"/>
    <w:unhideWhenUsed/>
    <w:qFormat/>
    <w:rsid w:val="00D539FA"/>
    <w:pPr>
      <w:spacing w:line="240" w:lineRule="auto"/>
    </w:pPr>
    <w:rPr>
      <w:b/>
      <w:bCs/>
      <w:color w:val="000000"/>
      <w:sz w:val="20"/>
      <w:szCs w:val="18"/>
    </w:rPr>
  </w:style>
  <w:style w:type="paragraph" w:styleId="ListParagraph">
    <w:name w:val="List Paragraph"/>
    <w:basedOn w:val="Normal"/>
    <w:uiPriority w:val="34"/>
    <w:qFormat/>
    <w:rsid w:val="00D539FA"/>
    <w:pPr>
      <w:ind w:left="720"/>
      <w:contextualSpacing/>
    </w:pPr>
  </w:style>
  <w:style w:type="table" w:styleId="TableGrid">
    <w:name w:val="Table Grid"/>
    <w:basedOn w:val="TableNormal"/>
    <w:uiPriority w:val="59"/>
    <w:rsid w:val="00D539F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D539FA"/>
    <w:rPr>
      <w:color w:val="808080"/>
    </w:rPr>
  </w:style>
  <w:style w:type="paragraph" w:styleId="NormalWeb">
    <w:name w:val="Normal (Web)"/>
    <w:basedOn w:val="Normal"/>
    <w:uiPriority w:val="99"/>
    <w:unhideWhenUsed/>
    <w:rsid w:val="00D539FA"/>
    <w:pPr>
      <w:spacing w:before="100" w:beforeAutospacing="1" w:after="100" w:afterAutospacing="1" w:line="240" w:lineRule="auto"/>
    </w:pPr>
    <w:rPr>
      <w:rFonts w:eastAsia="Times New Roman"/>
      <w:sz w:val="24"/>
      <w:szCs w:val="24"/>
      <w:lang w:eastAsia="en-GB"/>
    </w:rPr>
  </w:style>
  <w:style w:type="character" w:styleId="CommentReference">
    <w:name w:val="annotation reference"/>
    <w:uiPriority w:val="99"/>
    <w:semiHidden/>
    <w:unhideWhenUsed/>
    <w:rsid w:val="00D539FA"/>
    <w:rPr>
      <w:sz w:val="16"/>
      <w:szCs w:val="16"/>
    </w:rPr>
  </w:style>
  <w:style w:type="paragraph" w:styleId="CommentText">
    <w:name w:val="annotation text"/>
    <w:basedOn w:val="Normal"/>
    <w:link w:val="CommentTextChar"/>
    <w:uiPriority w:val="99"/>
    <w:semiHidden/>
    <w:unhideWhenUsed/>
    <w:rsid w:val="00D539FA"/>
    <w:pPr>
      <w:spacing w:line="240" w:lineRule="auto"/>
    </w:pPr>
    <w:rPr>
      <w:rFonts w:ascii="Calibri" w:hAnsi="Calibri"/>
      <w:sz w:val="20"/>
      <w:szCs w:val="20"/>
      <w:lang w:val="x-none" w:eastAsia="x-none"/>
    </w:rPr>
  </w:style>
  <w:style w:type="character" w:customStyle="1" w:styleId="CommentTextChar">
    <w:name w:val="Comment Text Char"/>
    <w:basedOn w:val="DefaultParagraphFont"/>
    <w:link w:val="CommentText"/>
    <w:uiPriority w:val="99"/>
    <w:semiHidden/>
    <w:rsid w:val="00D539FA"/>
    <w:rPr>
      <w:rFonts w:ascii="Calibri" w:eastAsia="Calibri" w:hAnsi="Calibri" w:cs="Times New Roman"/>
      <w:sz w:val="20"/>
      <w:szCs w:val="20"/>
      <w:lang w:val="x-none" w:eastAsia="x-none"/>
    </w:rPr>
  </w:style>
  <w:style w:type="paragraph" w:styleId="NoSpacing">
    <w:name w:val="No Spacing"/>
    <w:uiPriority w:val="1"/>
    <w:qFormat/>
    <w:rsid w:val="00D539FA"/>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D539FA"/>
    <w:rPr>
      <w:b/>
      <w:bCs/>
    </w:rPr>
  </w:style>
  <w:style w:type="character" w:customStyle="1" w:styleId="CommentSubjectChar">
    <w:name w:val="Comment Subject Char"/>
    <w:basedOn w:val="CommentTextChar"/>
    <w:link w:val="CommentSubject"/>
    <w:uiPriority w:val="99"/>
    <w:semiHidden/>
    <w:rsid w:val="00D539FA"/>
    <w:rPr>
      <w:rFonts w:ascii="Calibri" w:eastAsia="Calibri" w:hAnsi="Calibri" w:cs="Times New Roman"/>
      <w:b/>
      <w:bCs/>
      <w:sz w:val="20"/>
      <w:szCs w:val="20"/>
      <w:lang w:val="x-none" w:eastAsia="x-none"/>
    </w:rPr>
  </w:style>
  <w:style w:type="paragraph" w:styleId="Revision">
    <w:name w:val="Revision"/>
    <w:hidden/>
    <w:uiPriority w:val="99"/>
    <w:semiHidden/>
    <w:rsid w:val="00D539FA"/>
    <w:pPr>
      <w:spacing w:after="0" w:line="240" w:lineRule="auto"/>
    </w:pPr>
    <w:rPr>
      <w:rFonts w:ascii="Calibri" w:eastAsia="Calibri" w:hAnsi="Calibri" w:cs="Times New Roman"/>
    </w:rPr>
  </w:style>
  <w:style w:type="character" w:styleId="LineNumber">
    <w:name w:val="line number"/>
    <w:uiPriority w:val="99"/>
    <w:semiHidden/>
    <w:unhideWhenUsed/>
    <w:rsid w:val="00D539FA"/>
  </w:style>
  <w:style w:type="paragraph" w:customStyle="1" w:styleId="SPIEabstractbodytext">
    <w:name w:val="SPIE abstract body text"/>
    <w:basedOn w:val="Normal"/>
    <w:link w:val="SPIEabstractbodytextCharChar"/>
    <w:qFormat/>
    <w:rsid w:val="00D539FA"/>
    <w:pPr>
      <w:spacing w:after="120" w:line="240" w:lineRule="auto"/>
    </w:pPr>
    <w:rPr>
      <w:rFonts w:eastAsia="Times New Roman"/>
      <w:sz w:val="20"/>
      <w:szCs w:val="24"/>
      <w:lang w:val="en-US"/>
    </w:rPr>
  </w:style>
  <w:style w:type="character" w:customStyle="1" w:styleId="SPIEabstractbodytextCharChar">
    <w:name w:val="SPIE abstract body text Char Char"/>
    <w:link w:val="SPIEabstractbodytext"/>
    <w:rsid w:val="00D539FA"/>
    <w:rPr>
      <w:rFonts w:ascii="Times New Roman" w:eastAsia="Times New Roman" w:hAnsi="Times New Roman" w:cs="Times New Roman"/>
      <w:sz w:val="20"/>
      <w:szCs w:val="24"/>
      <w:lang w:val="en-US"/>
    </w:rPr>
  </w:style>
  <w:style w:type="paragraph" w:customStyle="1" w:styleId="SPIEbodytext">
    <w:name w:val="SPIE body text"/>
    <w:basedOn w:val="Normal"/>
    <w:link w:val="SPIEbodytextCharChar"/>
    <w:qFormat/>
    <w:rsid w:val="00D539FA"/>
    <w:pPr>
      <w:spacing w:after="120" w:line="240" w:lineRule="auto"/>
    </w:pPr>
    <w:rPr>
      <w:rFonts w:eastAsia="Times New Roman"/>
      <w:sz w:val="20"/>
      <w:szCs w:val="24"/>
      <w:lang w:val="en-US"/>
    </w:rPr>
  </w:style>
  <w:style w:type="character" w:customStyle="1" w:styleId="SPIEbodytextCharChar">
    <w:name w:val="SPIE body text Char Char"/>
    <w:link w:val="SPIEbodytext"/>
    <w:rsid w:val="00D539FA"/>
    <w:rPr>
      <w:rFonts w:ascii="Times New Roman" w:eastAsia="Times New Roman" w:hAnsi="Times New Roman" w:cs="Times New Roman"/>
      <w:sz w:val="20"/>
      <w:szCs w:val="24"/>
      <w:lang w:val="en-US"/>
    </w:rPr>
  </w:style>
  <w:style w:type="paragraph" w:styleId="EndnoteText">
    <w:name w:val="endnote text"/>
    <w:basedOn w:val="Normal"/>
    <w:link w:val="EndnoteTextChar"/>
    <w:uiPriority w:val="99"/>
    <w:semiHidden/>
    <w:unhideWhenUsed/>
    <w:rsid w:val="004501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01EE"/>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4501EE"/>
    <w:rPr>
      <w:vertAlign w:val="superscript"/>
    </w:rPr>
  </w:style>
  <w:style w:type="character" w:styleId="Hyperlink">
    <w:name w:val="Hyperlink"/>
    <w:basedOn w:val="DefaultParagraphFont"/>
    <w:uiPriority w:val="99"/>
    <w:unhideWhenUsed/>
    <w:rsid w:val="00450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371853">
      <w:bodyDiv w:val="1"/>
      <w:marLeft w:val="0"/>
      <w:marRight w:val="0"/>
      <w:marTop w:val="0"/>
      <w:marBottom w:val="0"/>
      <w:divBdr>
        <w:top w:val="none" w:sz="0" w:space="0" w:color="auto"/>
        <w:left w:val="none" w:sz="0" w:space="0" w:color="auto"/>
        <w:bottom w:val="none" w:sz="0" w:space="0" w:color="auto"/>
        <w:right w:val="none" w:sz="0" w:space="0" w:color="auto"/>
      </w:divBdr>
      <w:divsChild>
        <w:div w:id="1601714761">
          <w:marLeft w:val="0"/>
          <w:marRight w:val="0"/>
          <w:marTop w:val="0"/>
          <w:marBottom w:val="0"/>
          <w:divBdr>
            <w:top w:val="none" w:sz="0" w:space="0" w:color="auto"/>
            <w:left w:val="none" w:sz="0" w:space="0" w:color="auto"/>
            <w:bottom w:val="none" w:sz="0" w:space="0" w:color="auto"/>
            <w:right w:val="none" w:sz="0" w:space="0" w:color="auto"/>
          </w:divBdr>
          <w:divsChild>
            <w:div w:id="949776600">
              <w:marLeft w:val="0"/>
              <w:marRight w:val="0"/>
              <w:marTop w:val="0"/>
              <w:marBottom w:val="0"/>
              <w:divBdr>
                <w:top w:val="none" w:sz="0" w:space="0" w:color="auto"/>
                <w:left w:val="none" w:sz="0" w:space="0" w:color="auto"/>
                <w:bottom w:val="none" w:sz="0" w:space="0" w:color="auto"/>
                <w:right w:val="none" w:sz="0" w:space="0" w:color="auto"/>
              </w:divBdr>
              <w:divsChild>
                <w:div w:id="1305349804">
                  <w:marLeft w:val="0"/>
                  <w:marRight w:val="0"/>
                  <w:marTop w:val="0"/>
                  <w:marBottom w:val="0"/>
                  <w:divBdr>
                    <w:top w:val="none" w:sz="0" w:space="0" w:color="auto"/>
                    <w:left w:val="none" w:sz="0" w:space="0" w:color="auto"/>
                    <w:bottom w:val="none" w:sz="0" w:space="0" w:color="auto"/>
                    <w:right w:val="none" w:sz="0" w:space="0" w:color="auto"/>
                  </w:divBdr>
                  <w:divsChild>
                    <w:div w:id="955480596">
                      <w:marLeft w:val="0"/>
                      <w:marRight w:val="0"/>
                      <w:marTop w:val="0"/>
                      <w:marBottom w:val="0"/>
                      <w:divBdr>
                        <w:top w:val="none" w:sz="0" w:space="0" w:color="auto"/>
                        <w:left w:val="none" w:sz="0" w:space="0" w:color="auto"/>
                        <w:bottom w:val="none" w:sz="0" w:space="0" w:color="auto"/>
                        <w:right w:val="none" w:sz="0" w:space="0" w:color="auto"/>
                      </w:divBdr>
                      <w:divsChild>
                        <w:div w:id="765855796">
                          <w:marLeft w:val="0"/>
                          <w:marRight w:val="0"/>
                          <w:marTop w:val="0"/>
                          <w:marBottom w:val="0"/>
                          <w:divBdr>
                            <w:top w:val="none" w:sz="0" w:space="0" w:color="auto"/>
                            <w:left w:val="none" w:sz="0" w:space="0" w:color="auto"/>
                            <w:bottom w:val="none" w:sz="0" w:space="0" w:color="auto"/>
                            <w:right w:val="none" w:sz="0" w:space="0" w:color="auto"/>
                          </w:divBdr>
                          <w:divsChild>
                            <w:div w:id="1741323183">
                              <w:marLeft w:val="0"/>
                              <w:marRight w:val="0"/>
                              <w:marTop w:val="0"/>
                              <w:marBottom w:val="0"/>
                              <w:divBdr>
                                <w:top w:val="none" w:sz="0" w:space="0" w:color="auto"/>
                                <w:left w:val="none" w:sz="0" w:space="0" w:color="auto"/>
                                <w:bottom w:val="none" w:sz="0" w:space="0" w:color="auto"/>
                                <w:right w:val="none" w:sz="0" w:space="0" w:color="auto"/>
                              </w:divBdr>
                              <w:divsChild>
                                <w:div w:id="1981421253">
                                  <w:marLeft w:val="0"/>
                                  <w:marRight w:val="0"/>
                                  <w:marTop w:val="0"/>
                                  <w:marBottom w:val="0"/>
                                  <w:divBdr>
                                    <w:top w:val="none" w:sz="0" w:space="0" w:color="auto"/>
                                    <w:left w:val="none" w:sz="0" w:space="0" w:color="auto"/>
                                    <w:bottom w:val="none" w:sz="0" w:space="0" w:color="auto"/>
                                    <w:right w:val="none" w:sz="0" w:space="0" w:color="auto"/>
                                  </w:divBdr>
                                  <w:divsChild>
                                    <w:div w:id="4718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5BD598E-DBEF-F347-AC26-96A880CA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Cotterell</dc:creator>
  <cp:keywords/>
  <dc:description/>
  <cp:lastModifiedBy>Luba Slabyj</cp:lastModifiedBy>
  <cp:revision>2</cp:revision>
  <dcterms:created xsi:type="dcterms:W3CDTF">2019-07-26T16:27:00Z</dcterms:created>
  <dcterms:modified xsi:type="dcterms:W3CDTF">2019-07-26T16:27:00Z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http://www.zotero.org/styles/physical-chemistry-chemical-physics</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http://www.zotero.org/styles/elsevier-harvard</vt:lpwstr>
  </property>
  <property fmtid="{D5CDD505-2E9C-101B-9397-08002B2CF9AE}" pid="13" name="Mendeley Recent Style Name 4_1">
    <vt:lpwstr>Elsevier Harvard (with titles)</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http://www.zotero.org/styles/physical-chemistry-chemical-physics</vt:lpwstr>
  </property>
  <property fmtid="{D5CDD505-2E9C-101B-9397-08002B2CF9AE}" pid="23" name="Mendeley Recent Style Name 9_1">
    <vt:lpwstr>Physical Chemistry Chemical Physics</vt:lpwstr>
  </property>
  <property fmtid="{D5CDD505-2E9C-101B-9397-08002B2CF9AE}" pid="24" name="Mendeley Unique User Id_1">
    <vt:lpwstr>9b79217e-dc8f-3195-93f1-627d2376e22a</vt:lpwstr>
  </property>
</Properties>
</file>