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E5" w:rsidRPr="00E43A08" w:rsidRDefault="006C18E5" w:rsidP="006C18E5">
      <w:pPr>
        <w:pStyle w:val="Articletitle"/>
      </w:pPr>
      <w:r w:rsidRPr="00E43A08">
        <w:t>A multi-criteria methodology for evaluating alternative ultrasound devices</w:t>
      </w:r>
    </w:p>
    <w:p w:rsidR="006C18E5" w:rsidRPr="00E43A08" w:rsidRDefault="006C18E5" w:rsidP="006C18E5">
      <w:pPr>
        <w:pStyle w:val="Articletitle"/>
      </w:pPr>
    </w:p>
    <w:p w:rsidR="006C18E5" w:rsidRPr="00E43A08" w:rsidRDefault="006C18E5" w:rsidP="006C18E5">
      <w:pPr>
        <w:pStyle w:val="Articletitle"/>
      </w:pPr>
      <w:r w:rsidRPr="00E43A08">
        <w:t>Supplemental material</w:t>
      </w:r>
    </w:p>
    <w:p w:rsidR="006C18E5" w:rsidRPr="00E43A08" w:rsidRDefault="006C18E5" w:rsidP="006C18E5">
      <w:pPr>
        <w:pStyle w:val="Paragraph"/>
      </w:pPr>
      <w:r w:rsidRPr="00E43A08">
        <w:t xml:space="preserve">We propose the following meanings attributed to the hierarchy elements (listed in the order they appear in the hierarchy) to make the pairwise comparisons and properly formulate the questions to </w:t>
      </w:r>
      <w:r w:rsidR="00F512DE" w:rsidRPr="00E43A08">
        <w:t xml:space="preserve">the </w:t>
      </w:r>
      <w:r w:rsidRPr="00E43A08">
        <w:t>decision-maker. In particular, the syntax used to define the last level elements is: Element: benefit [indicators (standards)]. The meanings of the other elements do not provide indicators and standards because they inherit those of the connected lower level elements. An example is “</w:t>
      </w:r>
      <w:r w:rsidRPr="00E43A08">
        <w:rPr>
          <w:i/>
        </w:rPr>
        <w:t>Accessibility and reach zones</w:t>
      </w:r>
      <w:r w:rsidRPr="00E43A08">
        <w:t>: can be used by a larger number of people from a population with the widest range of characteristics to achieve a specified goal in a specified context of use [work area clearance, size of objects, action demand, coordination demand, stability demand (ISO 26800, 2011; ISO 14738, 2002; ISO 11064-4, 2013)]”, where “</w:t>
      </w:r>
      <w:r w:rsidRPr="00E43A08">
        <w:rPr>
          <w:i/>
        </w:rPr>
        <w:t>Accessibility and reach zones”</w:t>
      </w:r>
      <w:r w:rsidRPr="00E43A08">
        <w:t xml:space="preserve"> is a Sub-criterion, “can be used by a larger number of people from a population with the widest range of characteristics to achieve a specified goal in a specified context of use ” is the benefit, “work area clearance” is an indicator and “ISO 14738, 2002” is a “standard”.</w:t>
      </w:r>
    </w:p>
    <w:p w:rsidR="00B864B7" w:rsidRPr="00E43A08" w:rsidRDefault="00B864B7" w:rsidP="00B864B7">
      <w:pPr>
        <w:pStyle w:val="Newparagraph"/>
      </w:pPr>
      <w:r w:rsidRPr="00E43A08">
        <w:t>The question</w:t>
      </w:r>
      <w:r w:rsidR="006C18E5" w:rsidRPr="00E43A08">
        <w:t>s</w:t>
      </w:r>
      <w:r w:rsidRPr="00E43A08">
        <w:t xml:space="preserve"> </w:t>
      </w:r>
      <w:r w:rsidR="006C18E5" w:rsidRPr="00E43A08">
        <w:t xml:space="preserve">for the pairwise comparisons </w:t>
      </w:r>
      <w:r w:rsidRPr="00E43A08">
        <w:t xml:space="preserve">of how to evaluate the elements with respect to </w:t>
      </w:r>
      <w:r w:rsidR="006C18E5" w:rsidRPr="00E43A08">
        <w:t>each final level criterion can</w:t>
      </w:r>
      <w:r w:rsidRPr="00E43A08">
        <w:t xml:space="preserve"> be defined</w:t>
      </w:r>
      <w:r w:rsidR="006C18E5" w:rsidRPr="00E43A08">
        <w:t xml:space="preserve"> as in this</w:t>
      </w:r>
      <w:r w:rsidRPr="00E43A08">
        <w:t xml:space="preserve"> example: “How much more is </w:t>
      </w:r>
      <w:r w:rsidRPr="00E43A08">
        <w:rPr>
          <w:i/>
        </w:rPr>
        <w:t xml:space="preserve">Efforts and movements </w:t>
      </w:r>
      <w:r w:rsidRPr="00E43A08">
        <w:t xml:space="preserve">preferred over </w:t>
      </w:r>
      <w:r w:rsidRPr="00E43A08">
        <w:rPr>
          <w:i/>
        </w:rPr>
        <w:t>Postures</w:t>
      </w:r>
      <w:r w:rsidRPr="00E43A08">
        <w:t xml:space="preserve"> under the </w:t>
      </w:r>
      <w:r w:rsidRPr="00E43A08">
        <w:rPr>
          <w:i/>
        </w:rPr>
        <w:t>Biomechanics</w:t>
      </w:r>
      <w:r w:rsidRPr="00E43A08">
        <w:t xml:space="preserve"> Criterion?</w:t>
      </w:r>
      <w:proofErr w:type="gramStart"/>
      <w:r w:rsidRPr="00E43A08">
        <w:t>”.</w:t>
      </w:r>
      <w:proofErr w:type="gramEnd"/>
      <w:r w:rsidRPr="00E43A08">
        <w:t xml:space="preserve"> The value obtained from this comparison is included in the corresponding matrix. Based on the syntax specified, it is possible to construct the questions for all pairwise comparisons.</w:t>
      </w:r>
    </w:p>
    <w:p w:rsidR="00310C5D" w:rsidRPr="00E43A08" w:rsidRDefault="006C18E5" w:rsidP="00310C5D">
      <w:pPr>
        <w:pStyle w:val="Newparagraph"/>
      </w:pPr>
      <w:r w:rsidRPr="00E43A08">
        <w:t>The questions for the pairwise comparisons of how to evaluate the alternatives with respect to the element above can be defined as in th</w:t>
      </w:r>
      <w:r w:rsidR="00310C5D" w:rsidRPr="00E43A08">
        <w:t>e following</w:t>
      </w:r>
      <w:r w:rsidRPr="00E43A08">
        <w:t>:</w:t>
      </w:r>
      <w:r w:rsidR="00400385" w:rsidRPr="00E43A08">
        <w:t xml:space="preserve"> “How much does ALTERNATIVE X benefit over ALTERNATIVE Y under </w:t>
      </w:r>
      <w:r w:rsidR="00400385" w:rsidRPr="00E43A08">
        <w:rPr>
          <w:i/>
        </w:rPr>
        <w:t>Element</w:t>
      </w:r>
      <w:r w:rsidR="00400385" w:rsidRPr="00E43A08">
        <w:t>?</w:t>
      </w:r>
      <w:proofErr w:type="gramStart"/>
      <w:r w:rsidR="00400385" w:rsidRPr="00E43A08">
        <w:t>”.</w:t>
      </w:r>
      <w:proofErr w:type="gramEnd"/>
      <w:r w:rsidR="00400385" w:rsidRPr="00E43A08">
        <w:t xml:space="preserve"> For example, </w:t>
      </w:r>
      <w:r w:rsidR="00310C5D" w:rsidRPr="00E43A08">
        <w:t>a</w:t>
      </w:r>
      <w:r w:rsidR="00400385" w:rsidRPr="00E43A08">
        <w:t xml:space="preserve"> question is “How much less time and other resources does ALTERNATIVE 1 </w:t>
      </w:r>
      <w:r w:rsidR="00310C5D" w:rsidRPr="00E43A08">
        <w:t xml:space="preserve">(wireless device) </w:t>
      </w:r>
      <w:r w:rsidR="00400385" w:rsidRPr="00E43A08">
        <w:t xml:space="preserve">require to perform an ultrasound then ALTERNATIVE 2 </w:t>
      </w:r>
      <w:r w:rsidR="00310C5D" w:rsidRPr="00E43A08">
        <w:t>(</w:t>
      </w:r>
      <w:r w:rsidR="00444FF9" w:rsidRPr="00E43A08">
        <w:t>portable</w:t>
      </w:r>
      <w:r w:rsidR="00310C5D" w:rsidRPr="00E43A08">
        <w:t xml:space="preserve"> device) </w:t>
      </w:r>
      <w:r w:rsidR="00400385" w:rsidRPr="00E43A08">
        <w:t xml:space="preserve">under </w:t>
      </w:r>
      <w:r w:rsidR="00400385" w:rsidRPr="00E43A08">
        <w:rPr>
          <w:i/>
        </w:rPr>
        <w:t>Efficiency</w:t>
      </w:r>
      <w:r w:rsidR="00B32D25" w:rsidRPr="00E43A08">
        <w:t>?</w:t>
      </w:r>
      <w:proofErr w:type="gramStart"/>
      <w:r w:rsidR="00B32D25" w:rsidRPr="00E43A08">
        <w:t>”.</w:t>
      </w:r>
      <w:proofErr w:type="gramEnd"/>
    </w:p>
    <w:p w:rsidR="00B32D25" w:rsidRPr="00E43A08" w:rsidRDefault="00400385" w:rsidP="00310C5D">
      <w:pPr>
        <w:pStyle w:val="Newparagraph"/>
      </w:pPr>
      <w:r w:rsidRPr="00E43A08">
        <w:lastRenderedPageBreak/>
        <w:t>All matrices of pairwise comparison (</w:t>
      </w:r>
      <w:r w:rsidR="00310C5D" w:rsidRPr="00E43A08">
        <w:t xml:space="preserve">element and </w:t>
      </w:r>
      <w:r w:rsidRPr="00E43A08">
        <w:t xml:space="preserve">alternative evaluation matrices) </w:t>
      </w:r>
      <w:r w:rsidR="00310C5D" w:rsidRPr="00E43A08">
        <w:t xml:space="preserve">obtained in the case study </w:t>
      </w:r>
      <w:r w:rsidRPr="00E43A08">
        <w:t xml:space="preserve">are in </w:t>
      </w:r>
      <w:r w:rsidR="00310C5D" w:rsidRPr="00E43A08">
        <w:t>the following</w:t>
      </w:r>
      <w:r w:rsidRPr="00E43A08">
        <w:t>.</w:t>
      </w:r>
    </w:p>
    <w:p w:rsidR="00B32D25" w:rsidRPr="00E43A08" w:rsidRDefault="00B32D25" w:rsidP="00310C5D">
      <w:pPr>
        <w:pStyle w:val="Newparagraph"/>
        <w:rPr>
          <w:rStyle w:val="hps"/>
        </w:rPr>
      </w:pPr>
      <w:r w:rsidRPr="00E43A08">
        <w:t>To verify the consistency of comparisons, we calculated a measure called Consistency Ratio (CR) for each matrix</w:t>
      </w:r>
      <w:r w:rsidR="004F33AC" w:rsidRPr="00E43A08">
        <w:t xml:space="preserve">. In general, a CR of 0.10 or less is considered acceptable. If the CR is higher, it means that the input values are not consistent, i.e. are not reliable, and so the </w:t>
      </w:r>
      <w:r w:rsidR="004F33AC" w:rsidRPr="00E43A08">
        <w:rPr>
          <w:rStyle w:val="hps"/>
        </w:rPr>
        <w:t>comparisons</w:t>
      </w:r>
      <w:r w:rsidR="004F33AC" w:rsidRPr="00E43A08">
        <w:rPr>
          <w:rStyle w:val="shorttext"/>
        </w:rPr>
        <w:t xml:space="preserve"> </w:t>
      </w:r>
      <w:r w:rsidR="004F33AC" w:rsidRPr="00E43A08">
        <w:rPr>
          <w:rStyle w:val="hps"/>
        </w:rPr>
        <w:t xml:space="preserve">need to be revised in order to improve their consistency. </w:t>
      </w:r>
      <w:r w:rsidR="004F33AC" w:rsidRPr="00E43A08">
        <w:t>Since all matrices of this case study have a CR ≤ 0.10, the decision maker group has been sufficiently consistent in making pairwise comparisons.</w:t>
      </w:r>
    </w:p>
    <w:p w:rsidR="00332057" w:rsidRPr="00E43A08" w:rsidRDefault="00310C5D" w:rsidP="00310C5D">
      <w:pPr>
        <w:pStyle w:val="Titolo1"/>
      </w:pPr>
      <w:r w:rsidRPr="00E43A08">
        <w:t xml:space="preserve">Meanings of the </w:t>
      </w:r>
      <w:r w:rsidR="00332057" w:rsidRPr="00E43A08">
        <w:t>Strategic-Criteria: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Ergonomics, health and safety performance</w:t>
      </w:r>
      <w:r w:rsidRPr="00E43A08">
        <w:t>: allows to perform ultrasounds with a higher level of comfort, safety and health for the sonographer, considering the connected Criteria;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Production performance</w:t>
      </w:r>
      <w:r w:rsidRPr="00E43A08">
        <w:t xml:space="preserve">: allows </w:t>
      </w:r>
      <w:proofErr w:type="gramStart"/>
      <w:r w:rsidRPr="00E43A08">
        <w:t>to perform</w:t>
      </w:r>
      <w:proofErr w:type="gramEnd"/>
      <w:r w:rsidRPr="00E43A08">
        <w:t xml:space="preserve"> more and better ultrasounds</w:t>
      </w:r>
      <w:r w:rsidRPr="00E43A08">
        <w:rPr>
          <w:szCs w:val="23"/>
        </w:rPr>
        <w:t xml:space="preserve">, </w:t>
      </w:r>
      <w:r w:rsidRPr="00E43A08">
        <w:t>considering the connected Criteria.</w:t>
      </w:r>
    </w:p>
    <w:p w:rsidR="00310C5D" w:rsidRPr="00E43A08" w:rsidRDefault="00310C5D" w:rsidP="00310C5D">
      <w:pPr>
        <w:pStyle w:val="Titolo1"/>
      </w:pPr>
      <w:r w:rsidRPr="00E43A08">
        <w:t xml:space="preserve">Meanings of the </w:t>
      </w:r>
      <w:r w:rsidR="000C7045" w:rsidRPr="00E43A08">
        <w:t>Criteria</w:t>
      </w:r>
    </w:p>
    <w:p w:rsidR="00332057" w:rsidRPr="00E43A08" w:rsidRDefault="00332057" w:rsidP="00310C5D">
      <w:pPr>
        <w:pStyle w:val="Bulletedlist"/>
        <w:rPr>
          <w:szCs w:val="23"/>
        </w:rPr>
      </w:pPr>
      <w:r w:rsidRPr="00E43A08">
        <w:rPr>
          <w:i/>
          <w:szCs w:val="23"/>
        </w:rPr>
        <w:t>Biomechanics</w:t>
      </w:r>
      <w:r w:rsidRPr="00E43A08">
        <w:rPr>
          <w:szCs w:val="23"/>
        </w:rPr>
        <w:t xml:space="preserve">: allows a </w:t>
      </w:r>
      <w:r w:rsidRPr="00E43A08">
        <w:t>less risky</w:t>
      </w:r>
      <w:r w:rsidRPr="00E43A08">
        <w:rPr>
          <w:szCs w:val="23"/>
        </w:rPr>
        <w:t xml:space="preserve"> and more comfortable performing ultrasounds </w:t>
      </w:r>
      <w:r w:rsidRPr="00E43A08">
        <w:t>from a biomechanical point of view, considering the connected Sub-criteria;</w:t>
      </w:r>
    </w:p>
    <w:p w:rsidR="00332057" w:rsidRPr="00E43A08" w:rsidRDefault="00332057" w:rsidP="00310C5D">
      <w:pPr>
        <w:pStyle w:val="Bulletedlist"/>
        <w:rPr>
          <w:szCs w:val="23"/>
        </w:rPr>
      </w:pPr>
      <w:r w:rsidRPr="00E43A08">
        <w:rPr>
          <w:i/>
          <w:szCs w:val="23"/>
        </w:rPr>
        <w:t>Anthropometry</w:t>
      </w:r>
      <w:r w:rsidRPr="00E43A08">
        <w:rPr>
          <w:szCs w:val="23"/>
        </w:rPr>
        <w:t xml:space="preserve">: allows a </w:t>
      </w:r>
      <w:r w:rsidRPr="00E43A08">
        <w:t>less risky</w:t>
      </w:r>
      <w:r w:rsidRPr="00E43A08">
        <w:rPr>
          <w:szCs w:val="23"/>
        </w:rPr>
        <w:t xml:space="preserve"> and more comfortable performing ultrasounds </w:t>
      </w:r>
      <w:r w:rsidRPr="00E43A08">
        <w:t>from the anthropometric point of view, considering the connected Sub-criteria;</w:t>
      </w:r>
    </w:p>
    <w:p w:rsidR="00332057" w:rsidRPr="00E43A08" w:rsidRDefault="00332057" w:rsidP="00310C5D">
      <w:pPr>
        <w:pStyle w:val="Bulletedlist"/>
        <w:rPr>
          <w:szCs w:val="23"/>
        </w:rPr>
      </w:pPr>
      <w:r w:rsidRPr="00E43A08">
        <w:rPr>
          <w:i/>
          <w:szCs w:val="23"/>
        </w:rPr>
        <w:t>Cognitive ergonomics</w:t>
      </w:r>
      <w:r w:rsidRPr="00E43A08">
        <w:rPr>
          <w:szCs w:val="23"/>
        </w:rPr>
        <w:t xml:space="preserve">: allows a </w:t>
      </w:r>
      <w:r w:rsidRPr="00E43A08">
        <w:t>less risky</w:t>
      </w:r>
      <w:r w:rsidRPr="00E43A08">
        <w:rPr>
          <w:szCs w:val="23"/>
        </w:rPr>
        <w:t xml:space="preserve"> and more comfortable performing ultrasounds </w:t>
      </w:r>
      <w:r w:rsidRPr="00E43A08">
        <w:t>from a cognitive point of view, considering the connected Sub-criteria;</w:t>
      </w:r>
    </w:p>
    <w:p w:rsidR="00332057" w:rsidRPr="00E43A08" w:rsidRDefault="00332057" w:rsidP="00310C5D">
      <w:pPr>
        <w:pStyle w:val="Bulletedlist"/>
        <w:rPr>
          <w:szCs w:val="23"/>
        </w:rPr>
      </w:pPr>
      <w:r w:rsidRPr="00E43A08">
        <w:rPr>
          <w:i/>
          <w:szCs w:val="23"/>
        </w:rPr>
        <w:t>Work environment</w:t>
      </w:r>
      <w:r w:rsidRPr="00E43A08">
        <w:rPr>
          <w:szCs w:val="23"/>
        </w:rPr>
        <w:t xml:space="preserve">: allows a </w:t>
      </w:r>
      <w:r w:rsidRPr="00E43A08">
        <w:t>less risky</w:t>
      </w:r>
      <w:r w:rsidRPr="00E43A08">
        <w:rPr>
          <w:szCs w:val="23"/>
        </w:rPr>
        <w:t xml:space="preserve"> and more comfortable </w:t>
      </w:r>
      <w:r w:rsidRPr="00E43A08">
        <w:t>stay in the work environment, considering the connected Sub-criteria;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Work management</w:t>
      </w:r>
      <w:r w:rsidRPr="00E43A08">
        <w:t>: improves and eases the management of the sonographers’ work activities, considering the connected Sub-criteria;</w:t>
      </w:r>
    </w:p>
    <w:p w:rsidR="00332057" w:rsidRPr="00E43A08" w:rsidRDefault="00332057" w:rsidP="00310C5D">
      <w:pPr>
        <w:pStyle w:val="Bulletedlist"/>
        <w:rPr>
          <w:szCs w:val="23"/>
        </w:rPr>
      </w:pPr>
      <w:r w:rsidRPr="00E43A08">
        <w:rPr>
          <w:i/>
          <w:szCs w:val="23"/>
        </w:rPr>
        <w:lastRenderedPageBreak/>
        <w:t>Patient</w:t>
      </w:r>
      <w:r w:rsidRPr="00E43A08">
        <w:rPr>
          <w:szCs w:val="23"/>
        </w:rPr>
        <w:t xml:space="preserve">: allows a </w:t>
      </w:r>
      <w:r w:rsidRPr="00E43A08">
        <w:t>simpler interaction sonographer-patient and a more comfortable patient positioning</w:t>
      </w:r>
      <w:r w:rsidRPr="00E43A08">
        <w:rPr>
          <w:szCs w:val="23"/>
        </w:rPr>
        <w:t xml:space="preserve">, </w:t>
      </w:r>
      <w:r w:rsidRPr="00E43A08">
        <w:t>considering the connected Sub-criteria;</w:t>
      </w:r>
    </w:p>
    <w:p w:rsidR="00332057" w:rsidRPr="00E43A08" w:rsidRDefault="00332057" w:rsidP="00310C5D">
      <w:pPr>
        <w:pStyle w:val="Bulletedlist"/>
        <w:rPr>
          <w:szCs w:val="23"/>
        </w:rPr>
      </w:pPr>
      <w:r w:rsidRPr="00E43A08">
        <w:rPr>
          <w:i/>
          <w:szCs w:val="23"/>
        </w:rPr>
        <w:t>Productivity</w:t>
      </w:r>
      <w:r w:rsidRPr="00E43A08">
        <w:rPr>
          <w:szCs w:val="23"/>
        </w:rPr>
        <w:t xml:space="preserve">: </w:t>
      </w:r>
      <w:r w:rsidRPr="00E43A08">
        <w:t>increases the number of ultrasounds at the same cost</w:t>
      </w:r>
      <w:r w:rsidRPr="00E43A08">
        <w:rPr>
          <w:szCs w:val="23"/>
        </w:rPr>
        <w:t xml:space="preserve">, </w:t>
      </w:r>
      <w:r w:rsidRPr="00E43A08">
        <w:t>considering the connected Sub-criteria;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Capability</w:t>
      </w:r>
      <w:r w:rsidRPr="00E43A08">
        <w:t>: improves the ability to reali</w:t>
      </w:r>
      <w:r w:rsidR="002B3522">
        <w:t>s</w:t>
      </w:r>
      <w:r w:rsidRPr="00E43A08">
        <w:t>e an ultrasound that will fulfil its requirements, considering the connected Sub-criteria;</w:t>
      </w:r>
    </w:p>
    <w:p w:rsidR="00332057" w:rsidRPr="00E43A08" w:rsidRDefault="00332057" w:rsidP="00310C5D">
      <w:pPr>
        <w:pStyle w:val="Bulletedlist"/>
        <w:rPr>
          <w:szCs w:val="23"/>
        </w:rPr>
      </w:pPr>
      <w:r w:rsidRPr="00E43A08">
        <w:rPr>
          <w:i/>
          <w:szCs w:val="23"/>
        </w:rPr>
        <w:t>Flexibility</w:t>
      </w:r>
      <w:r w:rsidRPr="00E43A08">
        <w:rPr>
          <w:szCs w:val="23"/>
        </w:rPr>
        <w:t xml:space="preserve">: is more </w:t>
      </w:r>
      <w:r w:rsidRPr="00E43A08">
        <w:t>adaptable to different spatial requirements, considering the connected Sub-criteria;</w:t>
      </w:r>
    </w:p>
    <w:p w:rsidR="00332057" w:rsidRPr="00E43A08" w:rsidRDefault="00332057" w:rsidP="00310C5D">
      <w:pPr>
        <w:pStyle w:val="Bulletedlist"/>
        <w:rPr>
          <w:szCs w:val="23"/>
        </w:rPr>
      </w:pPr>
      <w:r w:rsidRPr="00E43A08">
        <w:rPr>
          <w:i/>
          <w:szCs w:val="23"/>
        </w:rPr>
        <w:t>Characteristics of the device</w:t>
      </w:r>
      <w:r w:rsidRPr="00E43A08">
        <w:rPr>
          <w:szCs w:val="23"/>
        </w:rPr>
        <w:t xml:space="preserve">: </w:t>
      </w:r>
      <w:proofErr w:type="gramStart"/>
      <w:r w:rsidRPr="00E43A08">
        <w:t>has better quality characteristics</w:t>
      </w:r>
      <w:proofErr w:type="gramEnd"/>
      <w:r w:rsidRPr="00E43A08">
        <w:t>, considering the connected Sub-criteria.</w:t>
      </w:r>
    </w:p>
    <w:p w:rsidR="00310C5D" w:rsidRPr="00E43A08" w:rsidRDefault="00310C5D" w:rsidP="00310C5D">
      <w:pPr>
        <w:pStyle w:val="Titolo1"/>
      </w:pPr>
      <w:r w:rsidRPr="00E43A08">
        <w:t>Meanings of the Sub-c</w:t>
      </w:r>
      <w:r w:rsidR="000C7045" w:rsidRPr="00E43A08">
        <w:t>riteria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Efforts and movements</w:t>
      </w:r>
      <w:r w:rsidRPr="00E43A08">
        <w:t>: allows the sonographer more comfortable efforts and movements, considering the connected Sub-sub-criteria;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Postures</w:t>
      </w:r>
      <w:r w:rsidRPr="00E43A08">
        <w:t xml:space="preserve">: improves the posture of the sonographer while </w:t>
      </w:r>
      <w:r w:rsidRPr="00E43A08">
        <w:rPr>
          <w:szCs w:val="23"/>
        </w:rPr>
        <w:t xml:space="preserve">performing </w:t>
      </w:r>
      <w:r w:rsidRPr="00E43A08">
        <w:t>an ultrasound, considering the connected Sub-sub-criteria;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Accessibility and reach zones</w:t>
      </w:r>
      <w:r w:rsidRPr="00E43A08">
        <w:t>: can be used by a larger number of people from a population with the widest range of characteristics to achieve a specified goal in a specified context of use [work area clearance, size of objects, action demand, coordination demand, stability demand (ISO 26800, 2011; ISO 14738, 2002; ISO 11064-4, 2013)];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Transducer size</w:t>
      </w:r>
      <w:r w:rsidRPr="00E43A08">
        <w:t>: has dimensions which reduce discomfort, difficulties and limitation for the usage from an anthropometrical point of view [dimensions of transducer, user population, anthropometric data (ISO 15537, 2004; ISO/TR 7250-2, 2010; ISO 7250-3, 2015)];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Visual requirement</w:t>
      </w:r>
      <w:r w:rsidRPr="00E43A08">
        <w:t>: allows a better view of visual targets [visual field, angles of view, viewing distance, size of the visual target (ISO 9241-5, 1998; ISO 14738, 2002; ISO 11064-4, 2013)];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lastRenderedPageBreak/>
        <w:t>Easy to understand</w:t>
      </w:r>
      <w:r w:rsidRPr="00E43A08">
        <w:t>: allows better perceptive and cognitive interaction between specified users and information devices to achieve specified goals in a specified context of use [task characteristics, information device characteristics, personal details, skills and knowledge, personal attributes (ISO 9241-11, 1998; ISO/TR 16982, 2002)];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Easy to use</w:t>
      </w:r>
      <w:r w:rsidRPr="00E43A08">
        <w:t>: allows better perceptive and cognitive interaction between specified users and command devices to achieve specified goals in a specified context of use [task characteristics, command device characteristics, personal details, skills and knowledge, personal attributes (ISO 9241-11, 1998; ISO/TR 16982, 2002)];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Mental stress</w:t>
      </w:r>
      <w:r w:rsidRPr="00E43A08">
        <w:t>: reduces the influences upon a human being from external sources and mental effects on the person [task demands, social and organisational factors, physical conditions, individual characteristics (ISO 10075, 1991; ISO 10075-2, 1996)];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Lighting environment</w:t>
      </w:r>
      <w:r w:rsidRPr="00E43A08">
        <w:t>: guarantees a greater visual comfort considering the required work tasks [</w:t>
      </w:r>
      <w:proofErr w:type="spellStart"/>
      <w:r w:rsidRPr="00E43A08">
        <w:t>illuminance</w:t>
      </w:r>
      <w:proofErr w:type="spellEnd"/>
      <w:r w:rsidRPr="00E43A08">
        <w:t xml:space="preserve"> and its distribution, luminance and glare, directionality, colour aspects, type of visual work tasks (ISO 8995-1, 2002; EN 12464-1, 2011)];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Space demands</w:t>
      </w:r>
      <w:r w:rsidRPr="00E43A08">
        <w:t>: guarantees a greater freedom of movement for a working area of equal size [clearances, dimensions of devices and objects, action demand, possibility for adopting different posture (ISO 14738, 2002; ISO 12100, 2010)];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Competence and training</w:t>
      </w:r>
      <w:r w:rsidRPr="00E43A08">
        <w:t>: requires lower training needs associated with its occupational health and safety risks [roles and responsibility, skills and knowledge, awareness, ability, information and training (WHO, 1998; OHSAS 18001, 2007; ISO 13485, 2016)];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Work experience</w:t>
      </w:r>
      <w:r w:rsidRPr="00E43A08">
        <w:t>: improves the use of acquired knowledge and experience [years experience, roles and responsibility, skills and knowledge (OHSAS 18001, 2007; ISO 13485, 2016)];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Motivation and satisfaction</w:t>
      </w:r>
      <w:r w:rsidRPr="00E43A08">
        <w:t xml:space="preserve">: guarantees greater pleasure and gratification in the performance of the work task and more positive attitudes towards the use of the device [perceived quality </w:t>
      </w:r>
      <w:r w:rsidRPr="00E43A08">
        <w:lastRenderedPageBreak/>
        <w:t>of working life, perceived mental demand, perceived physical demand, worker expectation (OHSAS 18002, 2008; ISO 9241-11, 1998)];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Training procedures</w:t>
      </w:r>
      <w:r w:rsidRPr="00E43A08">
        <w:t>: allows for easier establishment, implementation and maintenance of a training procedure [necessary competence, training and awareness (WHO, 1998; OHSAS 18001, 2007; ISO 13485, 2016)];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Comfort</w:t>
      </w:r>
      <w:r w:rsidRPr="00E43A08">
        <w:t>: is more comfortable for patients, primarily in terms of position at the beginning of the ultrasound and needs of repositioning, also considering that patients can be totally non-cooperating or partially cooperating [requested position of patient, requested mobility of patient (ISO/TR 12296, 2012; WHO, 2011)];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Communication</w:t>
      </w:r>
      <w:r w:rsidRPr="00E43A08">
        <w:t>: allows the sonographer to provide the patient with simpler instructions during the activity/ultrasound [necessary instructions, need for patient interaction (ISO 14155, 2011)];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Production capacity</w:t>
      </w:r>
      <w:r w:rsidRPr="00E43A08">
        <w:t>: allows a greater volume of activities/ultrasounds using the current resources [possible number of ultrasounds, feasible ultrasound rate, need for setup or breaks (ISO 9001, 2015)];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Costs</w:t>
      </w:r>
      <w:r w:rsidRPr="00E43A08">
        <w:t>: requires a lower initial monetary investment and less fixed and variable costs associated with administering the business on a day-to-day basis [costs of acquisition, operation, user training, support, maintenance (EN 1325, 2014)];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Efficiency</w:t>
      </w:r>
      <w:r w:rsidRPr="00E43A08">
        <w:t>: requires less time and other resources to achieve a result/ultrasound [processing time for an ultrasound, auxiliary equipment or materials (ISO 9000, 2015);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Effectiveness</w:t>
      </w:r>
      <w:r w:rsidRPr="00E43A08">
        <w:t>: allows a better result/ultrasound in terms of accuracy of diagnoses [behaviour of the medical device in relation to its intended use, quality characteristics of ultrasounds (ISO 9000, 2015; ISO 14155, 2011)];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Corporate image</w:t>
      </w:r>
      <w:r w:rsidRPr="00E43A08">
        <w:t>: allows a better sum of impressions and expectations built up in the mind of stakeholders [perceived added value, impact on stakeholders’ perception on the organi</w:t>
      </w:r>
      <w:r w:rsidR="002B3522">
        <w:t>s</w:t>
      </w:r>
      <w:r w:rsidRPr="00E43A08">
        <w:t>ation (BS 7000-10, 2008)];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lastRenderedPageBreak/>
        <w:t>Required space</w:t>
      </w:r>
      <w:r w:rsidRPr="00E43A08">
        <w:t>: is less rigid and has fewer requirements if the distribution of space changes [required areas, required facilities and utilities, special installation requirements (EN 15221-4, 2011)];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Layout</w:t>
      </w:r>
      <w:r w:rsidRPr="00E43A08">
        <w:t>: puts fewer constraints on the surrounding areas and other workstations if the distribution of space changes [sizes, potential incompatibilities with other activities (EN 15221-4, 2011)];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Availability</w:t>
      </w:r>
      <w:r w:rsidRPr="00E43A08">
        <w:t>: increases the ability to be in a state to perform as and when required [electrical system and/or battery reliability, durability, maintainability (EN 13306, 2010)];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Resolution</w:t>
      </w:r>
      <w:r w:rsidRPr="00E43A08">
        <w:t>: is able to distinguish two objects at a closer distance [diameter of the ultrasound beam, pulse length (WHO, 2011; ISO 9241-400, 2007)];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Quality of service</w:t>
      </w:r>
      <w:r w:rsidRPr="00E43A08">
        <w:t xml:space="preserve">: provides more robust healthcare services with clinically acceptable </w:t>
      </w:r>
      <w:r w:rsidRPr="00E43A08">
        <w:rPr>
          <w:lang w:eastAsia="it-IT"/>
        </w:rPr>
        <w:t>level of diagnostic accuracy [</w:t>
      </w:r>
      <w:proofErr w:type="spellStart"/>
      <w:r w:rsidRPr="00E43A08">
        <w:t>signaling</w:t>
      </w:r>
      <w:proofErr w:type="spellEnd"/>
      <w:r w:rsidRPr="00E43A08">
        <w:t xml:space="preserve"> speed, maximum turnaround time, data size, disconnect threshold (ISO/IEEE 11073-30300, 2004)].</w:t>
      </w:r>
    </w:p>
    <w:p w:rsidR="00310C5D" w:rsidRPr="00E43A08" w:rsidRDefault="00310C5D" w:rsidP="00310C5D">
      <w:pPr>
        <w:pStyle w:val="Titolo1"/>
      </w:pPr>
      <w:r w:rsidRPr="00E43A08">
        <w:t>Meanings of the Sub-sub-c</w:t>
      </w:r>
      <w:r w:rsidR="000C7045" w:rsidRPr="00E43A08">
        <w:t>riteria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Static strength</w:t>
      </w:r>
      <w:r w:rsidRPr="00E43A08">
        <w:t>: reduces the use of force related to static actions, which are fixed over time and where there is muscle contraction without motion [actual technical actions, static effort, duration and frequency (ISO 9241-5, 1998; ISO/TR 12295, 2014)];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Repetitiveness</w:t>
      </w:r>
      <w:r w:rsidRPr="00E43A08">
        <w:t>: reduces the tasks when a sonographer is continuously repeating the same work cycle, technical actions and movements [actual technical actions, frequency, recovery time [ISO 11228-3, 2007; EN 1005-5, 2007; ISO/TR 12295, 2014)];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Grip</w:t>
      </w:r>
      <w:r w:rsidRPr="00E43A08">
        <w:t xml:space="preserve">: allows the sonographer to hold the medical device with more favourable handgrip, i.e. power grip as an alternative to pinch and </w:t>
      </w:r>
      <w:proofErr w:type="spellStart"/>
      <w:r w:rsidRPr="00E43A08">
        <w:t>palmar</w:t>
      </w:r>
      <w:proofErr w:type="spellEnd"/>
      <w:r w:rsidRPr="00E43A08">
        <w:t xml:space="preserve"> grip [types of handgrip, duration and frequency, wrist movement [ISO 11228-3, 2007; EN 1005-5, 2007; ISO/TR 12295, 2014)];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lastRenderedPageBreak/>
        <w:t>Applied force</w:t>
      </w:r>
      <w:r w:rsidRPr="00E43A08">
        <w:t>: reduces the physical effort of the sonographer required to perform the technical actions during an ultrasound [actual technical actions, dynamic effort, duration and frequency [ISO 11228-3, 2007; EN 1005-3, 2008; ISO/TR 12295, 2014)];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Head and neck</w:t>
      </w:r>
      <w:r w:rsidRPr="00E43A08">
        <w:t xml:space="preserve">: improves the posture of hand and neck in order to reduce health risks and discomfort while </w:t>
      </w:r>
      <w:r w:rsidRPr="00E43A08">
        <w:rPr>
          <w:szCs w:val="23"/>
        </w:rPr>
        <w:t xml:space="preserve">performing </w:t>
      </w:r>
      <w:r w:rsidRPr="00E43A08">
        <w:t>an ultrasound [static postures, types and frequencies of movement [ISO 11226, 2000; EN 1005-4, 2008; ISO/TR 12295, 2014)];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Upper limbs</w:t>
      </w:r>
      <w:r w:rsidRPr="00E43A08">
        <w:t xml:space="preserve">: improves the posture of upper limbs in order to reduce health risks and discomfort while </w:t>
      </w:r>
      <w:r w:rsidRPr="00E43A08">
        <w:rPr>
          <w:szCs w:val="23"/>
        </w:rPr>
        <w:t xml:space="preserve">performing </w:t>
      </w:r>
      <w:r w:rsidRPr="00E43A08">
        <w:t>an ultrasound [static postures, types and frequencies of movement [ISO 11226, 2000; EN 1005-4, 2008; ISO/TR 12295, 2014)];</w:t>
      </w:r>
    </w:p>
    <w:p w:rsidR="00332057" w:rsidRPr="00E43A08" w:rsidRDefault="00332057" w:rsidP="00310C5D">
      <w:pPr>
        <w:pStyle w:val="Bulletedlist"/>
      </w:pPr>
      <w:r w:rsidRPr="00E43A08">
        <w:rPr>
          <w:i/>
        </w:rPr>
        <w:t>Trunk</w:t>
      </w:r>
      <w:r w:rsidRPr="00E43A08">
        <w:t xml:space="preserve">: improves the posture of trunk in order to reduce health risks and discomfort while </w:t>
      </w:r>
      <w:r w:rsidRPr="00E43A08">
        <w:rPr>
          <w:szCs w:val="23"/>
        </w:rPr>
        <w:t xml:space="preserve">performing </w:t>
      </w:r>
      <w:r w:rsidRPr="00E43A08">
        <w:t>an ultrasound [static postures, types and frequencies of movement [ISO 11226, 2000; EN 1005-4, 2008; ISO/TR 12295, 2014)].</w:t>
      </w:r>
    </w:p>
    <w:p w:rsidR="009B19D3" w:rsidRPr="00E43A08" w:rsidRDefault="000C7045" w:rsidP="00310C5D">
      <w:pPr>
        <w:pStyle w:val="Titolo1"/>
      </w:pPr>
      <w:r w:rsidRPr="00E43A08">
        <w:t>Standards</w:t>
      </w:r>
    </w:p>
    <w:p w:rsidR="009B19D3" w:rsidRPr="00E43A08" w:rsidRDefault="009B19D3" w:rsidP="00310C5D">
      <w:pPr>
        <w:pStyle w:val="Bulletedlist"/>
      </w:pPr>
      <w:r w:rsidRPr="00E43A08">
        <w:t>BS 7000-10, 2008. Design management systems. Vocabulary of terms used in design management.</w:t>
      </w:r>
    </w:p>
    <w:p w:rsidR="009B19D3" w:rsidRPr="00E43A08" w:rsidRDefault="009B19D3" w:rsidP="00310C5D">
      <w:pPr>
        <w:pStyle w:val="Bulletedlist"/>
      </w:pPr>
      <w:r w:rsidRPr="00E43A08">
        <w:t>EN 1005-3 (+A1), 2008. Safety of machinery - Human physical performance - Part 3: Recommended force limits for machinery operation.</w:t>
      </w:r>
    </w:p>
    <w:p w:rsidR="009B19D3" w:rsidRPr="00E43A08" w:rsidRDefault="009B19D3" w:rsidP="00310C5D">
      <w:pPr>
        <w:pStyle w:val="Bulletedlist"/>
      </w:pPr>
      <w:r w:rsidRPr="00E43A08">
        <w:t>EN 1005-4 (+A1), 2008. Safety of machinery - Human physical performance - Part 4: Evaluation of working postures and movements in relation to machinery.</w:t>
      </w:r>
    </w:p>
    <w:p w:rsidR="009B19D3" w:rsidRPr="00E43A08" w:rsidRDefault="009B19D3" w:rsidP="00310C5D">
      <w:pPr>
        <w:pStyle w:val="Bulletedlist"/>
      </w:pPr>
      <w:r w:rsidRPr="00E43A08">
        <w:t>EN 1005-5, 2007. Safety of machinery - Human physical performance - Part 5: Risk assessment for repetitive handling at high frequency.</w:t>
      </w:r>
    </w:p>
    <w:p w:rsidR="009B19D3" w:rsidRPr="00E43A08" w:rsidRDefault="009B19D3" w:rsidP="00310C5D">
      <w:pPr>
        <w:pStyle w:val="Bulletedlist"/>
      </w:pPr>
      <w:r w:rsidRPr="00E43A08">
        <w:t>EN 12464-1, 2011. Light and lighting - Lighting of work places - Part 1: Indoor work places.</w:t>
      </w:r>
    </w:p>
    <w:p w:rsidR="009B19D3" w:rsidRPr="00E43A08" w:rsidRDefault="009B19D3" w:rsidP="00310C5D">
      <w:pPr>
        <w:pStyle w:val="Bulletedlist"/>
      </w:pPr>
      <w:r w:rsidRPr="00E43A08">
        <w:t>EN 1325, 2014. Value Management - Vocabulary - Terms and definitions.</w:t>
      </w:r>
    </w:p>
    <w:p w:rsidR="009B19D3" w:rsidRPr="00E43A08" w:rsidRDefault="009B19D3" w:rsidP="00310C5D">
      <w:pPr>
        <w:pStyle w:val="Bulletedlist"/>
      </w:pPr>
      <w:r w:rsidRPr="00E43A08">
        <w:t>EN 13306, 2010. Maintenance - Maintenance terminology.</w:t>
      </w:r>
    </w:p>
    <w:p w:rsidR="009B19D3" w:rsidRPr="00E43A08" w:rsidRDefault="009B19D3" w:rsidP="00310C5D">
      <w:pPr>
        <w:pStyle w:val="Bulletedlist"/>
      </w:pPr>
      <w:r w:rsidRPr="00E43A08">
        <w:lastRenderedPageBreak/>
        <w:t>EN 15221-4, 2011. Facility management - Part 4: Taxonomy, classification and structures in facility management.</w:t>
      </w:r>
    </w:p>
    <w:p w:rsidR="009B19D3" w:rsidRPr="00E43A08" w:rsidRDefault="009B19D3" w:rsidP="00310C5D">
      <w:pPr>
        <w:pStyle w:val="Bulletedlist"/>
      </w:pPr>
      <w:r w:rsidRPr="00E43A08">
        <w:t xml:space="preserve">ISO 10075, 1991. Ergonomic principles related to mental work-load - General </w:t>
      </w:r>
      <w:proofErr w:type="gramStart"/>
      <w:r w:rsidRPr="00E43A08">
        <w:t>terms</w:t>
      </w:r>
      <w:proofErr w:type="gramEnd"/>
      <w:r w:rsidRPr="00E43A08">
        <w:t xml:space="preserve"> and definitions.</w:t>
      </w:r>
    </w:p>
    <w:p w:rsidR="009B19D3" w:rsidRPr="00E43A08" w:rsidRDefault="009B19D3" w:rsidP="00310C5D">
      <w:pPr>
        <w:pStyle w:val="Bulletedlist"/>
      </w:pPr>
      <w:r w:rsidRPr="00E43A08">
        <w:t>ISO 10075-2, 1996. Ergonomic principles related to mental workload - Part 2: Design principles.</w:t>
      </w:r>
    </w:p>
    <w:p w:rsidR="009B19D3" w:rsidRPr="00E43A08" w:rsidRDefault="009B19D3" w:rsidP="00310C5D">
      <w:pPr>
        <w:pStyle w:val="Bulletedlist"/>
      </w:pPr>
      <w:r w:rsidRPr="00E43A08">
        <w:t>ISO 11064-4, 2013. Ergonomic design of control centres -- Part 4: Layout and dimensions of workstations.</w:t>
      </w:r>
    </w:p>
    <w:p w:rsidR="009B19D3" w:rsidRPr="00E43A08" w:rsidRDefault="009B19D3" w:rsidP="00310C5D">
      <w:pPr>
        <w:pStyle w:val="Bulletedlist"/>
      </w:pPr>
      <w:r w:rsidRPr="00E43A08">
        <w:t xml:space="preserve">ISO 11226, 2000. Ergonomics - Evaluation of static working postures (including </w:t>
      </w:r>
      <w:proofErr w:type="spellStart"/>
      <w:r w:rsidRPr="00E43A08">
        <w:t>Cor</w:t>
      </w:r>
      <w:proofErr w:type="spellEnd"/>
      <w:r w:rsidRPr="00E43A08">
        <w:t xml:space="preserve"> 1:2006).</w:t>
      </w:r>
    </w:p>
    <w:p w:rsidR="009B19D3" w:rsidRPr="00E43A08" w:rsidRDefault="009B19D3" w:rsidP="00310C5D">
      <w:pPr>
        <w:pStyle w:val="Bulletedlist"/>
      </w:pPr>
      <w:r w:rsidRPr="00E43A08">
        <w:t>ISO 11228-1, 2003. Ergonomics - Manual handling - Part 1: Lifting and carrying.</w:t>
      </w:r>
    </w:p>
    <w:p w:rsidR="009B19D3" w:rsidRPr="00E43A08" w:rsidRDefault="009B19D3" w:rsidP="00310C5D">
      <w:pPr>
        <w:pStyle w:val="Bulletedlist"/>
      </w:pPr>
      <w:r w:rsidRPr="00E43A08">
        <w:t>ISO 11228-2, 2007. Ergonomics - Manual handling - Part 2: Pushing and pulling.</w:t>
      </w:r>
    </w:p>
    <w:p w:rsidR="009B19D3" w:rsidRPr="00E43A08" w:rsidRDefault="009B19D3" w:rsidP="00310C5D">
      <w:pPr>
        <w:pStyle w:val="Bulletedlist"/>
      </w:pPr>
      <w:r w:rsidRPr="00E43A08">
        <w:t>ISO 11228-3, 2007. Ergonomics - Manual handling - Part 3: Handling of low loads at high frequency.</w:t>
      </w:r>
    </w:p>
    <w:p w:rsidR="009B19D3" w:rsidRPr="00E43A08" w:rsidRDefault="009B19D3" w:rsidP="00310C5D">
      <w:pPr>
        <w:pStyle w:val="Bulletedlist"/>
      </w:pPr>
      <w:r w:rsidRPr="00E43A08">
        <w:t>ISO 12100, 2010. Safety of machinery - General principles for design - Risk assessment and risk reduction.</w:t>
      </w:r>
    </w:p>
    <w:p w:rsidR="009B19D3" w:rsidRPr="00E43A08" w:rsidRDefault="009B19D3" w:rsidP="00310C5D">
      <w:pPr>
        <w:pStyle w:val="Bulletedlist"/>
      </w:pPr>
      <w:r w:rsidRPr="00E43A08">
        <w:t>ISO 13485, 2016. Medical devices - Quality management systems - Requirements for regulatory purposes.</w:t>
      </w:r>
    </w:p>
    <w:p w:rsidR="009B19D3" w:rsidRPr="00E43A08" w:rsidRDefault="009B19D3" w:rsidP="00310C5D">
      <w:pPr>
        <w:pStyle w:val="Bulletedlist"/>
      </w:pPr>
      <w:r w:rsidRPr="00E43A08">
        <w:t xml:space="preserve">ISO 14155, 2011. Clinical investigation of medical devices for human subjects - Good clinical practice (including </w:t>
      </w:r>
      <w:proofErr w:type="spellStart"/>
      <w:r w:rsidRPr="00E43A08">
        <w:t>Cor</w:t>
      </w:r>
      <w:proofErr w:type="spellEnd"/>
      <w:r w:rsidRPr="00E43A08">
        <w:t xml:space="preserve"> 1:2011).</w:t>
      </w:r>
    </w:p>
    <w:p w:rsidR="009B19D3" w:rsidRPr="00E43A08" w:rsidRDefault="009B19D3" w:rsidP="00310C5D">
      <w:pPr>
        <w:pStyle w:val="Bulletedlist"/>
      </w:pPr>
      <w:r w:rsidRPr="00E43A08">
        <w:t xml:space="preserve">ISO 14738, 2002. Safety of machinery - Anthropometric requirements for the design of workstations at machinery (including </w:t>
      </w:r>
      <w:proofErr w:type="spellStart"/>
      <w:r w:rsidRPr="00E43A08">
        <w:t>Cor</w:t>
      </w:r>
      <w:proofErr w:type="spellEnd"/>
      <w:r w:rsidRPr="00E43A08">
        <w:t xml:space="preserve"> 1:2003 and </w:t>
      </w:r>
      <w:proofErr w:type="spellStart"/>
      <w:r w:rsidRPr="00E43A08">
        <w:t>Cor</w:t>
      </w:r>
      <w:proofErr w:type="spellEnd"/>
      <w:r w:rsidRPr="00E43A08">
        <w:t xml:space="preserve"> 2:2005).</w:t>
      </w:r>
    </w:p>
    <w:p w:rsidR="009B19D3" w:rsidRPr="00E43A08" w:rsidRDefault="009B19D3" w:rsidP="00310C5D">
      <w:pPr>
        <w:pStyle w:val="Bulletedlist"/>
      </w:pPr>
      <w:r w:rsidRPr="00E43A08">
        <w:t>ISO 15537, 2004. Principles for selecting and using test persons for testing anthropometric aspects of industrial products and designs.</w:t>
      </w:r>
    </w:p>
    <w:p w:rsidR="009B19D3" w:rsidRPr="00E43A08" w:rsidRDefault="009B19D3" w:rsidP="00310C5D">
      <w:pPr>
        <w:pStyle w:val="Bulletedlist"/>
      </w:pPr>
      <w:r w:rsidRPr="00E43A08">
        <w:lastRenderedPageBreak/>
        <w:t>ISO 7250-3, 2015. Basic human body measurements for technological design - Part 3: Worldwide and regional design ranges for use in product standards.</w:t>
      </w:r>
    </w:p>
    <w:p w:rsidR="009B19D3" w:rsidRPr="00E43A08" w:rsidRDefault="009B19D3" w:rsidP="00310C5D">
      <w:pPr>
        <w:pStyle w:val="Bulletedlist"/>
      </w:pPr>
      <w:r w:rsidRPr="00E43A08">
        <w:t xml:space="preserve">ISO 8995-1, 2002. Lighting of work places - Part 1: Indoor (including </w:t>
      </w:r>
      <w:proofErr w:type="spellStart"/>
      <w:r w:rsidRPr="00E43A08">
        <w:t>Cor</w:t>
      </w:r>
      <w:proofErr w:type="spellEnd"/>
      <w:r w:rsidRPr="00E43A08">
        <w:t xml:space="preserve"> 1:2005).</w:t>
      </w:r>
    </w:p>
    <w:p w:rsidR="009B19D3" w:rsidRPr="00E43A08" w:rsidRDefault="009B19D3" w:rsidP="00310C5D">
      <w:pPr>
        <w:pStyle w:val="Bulletedlist"/>
      </w:pPr>
      <w:r w:rsidRPr="00E43A08">
        <w:t>ISO 9000, 2015. Quality management systems - Fundamentals and vocabulary.</w:t>
      </w:r>
    </w:p>
    <w:p w:rsidR="009B19D3" w:rsidRPr="00E43A08" w:rsidRDefault="009B19D3" w:rsidP="00310C5D">
      <w:pPr>
        <w:pStyle w:val="Bulletedlist"/>
      </w:pPr>
      <w:r w:rsidRPr="00E43A08">
        <w:t>ISO 9001, 2015, Quality management systems - Requirements.</w:t>
      </w:r>
    </w:p>
    <w:p w:rsidR="009B19D3" w:rsidRPr="00E43A08" w:rsidRDefault="009B19D3" w:rsidP="00310C5D">
      <w:pPr>
        <w:pStyle w:val="Bulletedlist"/>
      </w:pPr>
      <w:r w:rsidRPr="00E43A08">
        <w:t>ISO 9241-11, 1998. Ergonomic requirements for office work with visual display terminals (VDTs) - Part 11: Guidance on usability.</w:t>
      </w:r>
    </w:p>
    <w:p w:rsidR="009B19D3" w:rsidRPr="00E43A08" w:rsidRDefault="009B19D3" w:rsidP="00310C5D">
      <w:pPr>
        <w:pStyle w:val="Bulletedlist"/>
      </w:pPr>
      <w:r w:rsidRPr="00E43A08">
        <w:t>ISO 9241-5, 1998. Ergonomic requirements for office work with visual display terminals (VDTs) - Part 5: Workstation layout and postural requirements.</w:t>
      </w:r>
    </w:p>
    <w:p w:rsidR="009B19D3" w:rsidRPr="00E43A08" w:rsidRDefault="009B19D3" w:rsidP="00310C5D">
      <w:pPr>
        <w:pStyle w:val="Bulletedlist"/>
      </w:pPr>
      <w:r w:rsidRPr="00E43A08">
        <w:t>ISO 9241-400, 2007. Ergonomics of human - system interaction - Part 400: Principles and requirements for physical input devices.</w:t>
      </w:r>
    </w:p>
    <w:p w:rsidR="009B19D3" w:rsidRPr="00E43A08" w:rsidRDefault="009B19D3" w:rsidP="00310C5D">
      <w:pPr>
        <w:pStyle w:val="Bulletedlist"/>
      </w:pPr>
      <w:r w:rsidRPr="00E43A08">
        <w:t>ISO/IEEE 11073-30300, 2004. Health informatics - Point-of-care medical device communication - Part 30300: Transport profile - Infrared wireless.</w:t>
      </w:r>
    </w:p>
    <w:p w:rsidR="009B19D3" w:rsidRPr="00E43A08" w:rsidRDefault="009B19D3" w:rsidP="00310C5D">
      <w:pPr>
        <w:pStyle w:val="Bulletedlist"/>
      </w:pPr>
      <w:r w:rsidRPr="00E43A08">
        <w:t xml:space="preserve">ISO/TR 7250-2, 2010. Basic human body measurements for technological design - Part 2: Statistical summaries of body measurements from national populations (including </w:t>
      </w:r>
      <w:proofErr w:type="spellStart"/>
      <w:r w:rsidRPr="00E43A08">
        <w:t>Amd</w:t>
      </w:r>
      <w:proofErr w:type="spellEnd"/>
      <w:r w:rsidRPr="00E43A08">
        <w:t xml:space="preserve"> 1:2013).</w:t>
      </w:r>
    </w:p>
    <w:p w:rsidR="009B19D3" w:rsidRPr="00E43A08" w:rsidRDefault="009B19D3" w:rsidP="00310C5D">
      <w:pPr>
        <w:pStyle w:val="Bulletedlist"/>
      </w:pPr>
      <w:r w:rsidRPr="00E43A08">
        <w:t>ISO/TR 12295, 2014. Ergonomics - Application document for International Standards on manual handling (ISO 11228-1, ISO 11228-2 and ISO 11228-3) and evaluation of static working postures (ISO 11226).</w:t>
      </w:r>
    </w:p>
    <w:p w:rsidR="009B19D3" w:rsidRPr="00E43A08" w:rsidRDefault="009B19D3" w:rsidP="00310C5D">
      <w:pPr>
        <w:pStyle w:val="Bulletedlist"/>
      </w:pPr>
      <w:r w:rsidRPr="00E43A08">
        <w:t>ISO/TR 12296, 2012. Ergonomics - Manual handling of people in the healthcare sector.</w:t>
      </w:r>
    </w:p>
    <w:p w:rsidR="009B19D3" w:rsidRPr="00E43A08" w:rsidRDefault="009B19D3" w:rsidP="00310C5D">
      <w:pPr>
        <w:pStyle w:val="Bulletedlist"/>
      </w:pPr>
      <w:r w:rsidRPr="00E43A08">
        <w:t>ISO/TR 16982, 2002. Ergonomics of human-system interaction - Usability methods supporting human-centred design.</w:t>
      </w:r>
    </w:p>
    <w:p w:rsidR="009B19D3" w:rsidRPr="00E43A08" w:rsidRDefault="009B19D3" w:rsidP="00310C5D">
      <w:pPr>
        <w:pStyle w:val="Bulletedlist"/>
      </w:pPr>
      <w:r w:rsidRPr="00E43A08">
        <w:t>OHSAS 18001, 2007. Occupational health and safety management systems. Requirements.</w:t>
      </w:r>
    </w:p>
    <w:p w:rsidR="009B19D3" w:rsidRPr="00E43A08" w:rsidRDefault="009B19D3" w:rsidP="00310C5D">
      <w:pPr>
        <w:pStyle w:val="Bulletedlist"/>
      </w:pPr>
      <w:r w:rsidRPr="00E43A08">
        <w:t>OHSAS 18002, 2008. Occupational health and safety management systems. Guidelines for the implementation of OHSAS 18001:2007.</w:t>
      </w:r>
    </w:p>
    <w:p w:rsidR="009B19D3" w:rsidRPr="00E43A08" w:rsidRDefault="009B19D3" w:rsidP="00310C5D">
      <w:pPr>
        <w:pStyle w:val="Bulletedlist"/>
      </w:pPr>
      <w:r w:rsidRPr="00E43A08">
        <w:lastRenderedPageBreak/>
        <w:t>WHO, 1998. Training in diagnostic ultrasound: essentials, principles, and standards. Technical Report Series 875, World Health Organization.</w:t>
      </w:r>
    </w:p>
    <w:p w:rsidR="009B19D3" w:rsidRPr="00E43A08" w:rsidRDefault="009B19D3" w:rsidP="00310C5D">
      <w:pPr>
        <w:pStyle w:val="Bulletedlist"/>
      </w:pPr>
      <w:r w:rsidRPr="00E43A08">
        <w:t>WHO, 2011. Manual of Diagnostic Ultrasound. Volume 1, Second Edition, World Health Organization.</w:t>
      </w:r>
    </w:p>
    <w:p w:rsidR="00310C5D" w:rsidRPr="00E43A08" w:rsidRDefault="00310C5D" w:rsidP="00310C5D">
      <w:pPr>
        <w:pStyle w:val="Titolo1"/>
      </w:pPr>
      <w:r w:rsidRPr="00E43A08">
        <w:t>Element evaluation matrices (case study)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651"/>
        <w:gridCol w:w="651"/>
        <w:gridCol w:w="1276"/>
      </w:tblGrid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GOAL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Ergonomics, health and safety performance (ES)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0.16667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Production performance (PP)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0.83333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6"/>
        <w:gridCol w:w="648"/>
        <w:gridCol w:w="648"/>
        <w:gridCol w:w="648"/>
        <w:gridCol w:w="648"/>
        <w:gridCol w:w="648"/>
        <w:gridCol w:w="649"/>
        <w:gridCol w:w="1276"/>
      </w:tblGrid>
      <w:tr w:rsidR="00310C5D" w:rsidRPr="00E43A08" w:rsidTr="00310C5D">
        <w:trPr>
          <w:trHeight w:val="31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ERGONOMICS, HEALTH AND SAFETY PERFORMANCE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BI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Biomechanics (BI)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0.44103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Anthropometry (AN)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0.22623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Cognitive ergonomics (CE)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0.16157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Work environment (WE)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0.02890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Work management (WM)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0.08275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Patient (PA)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0.05952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CR=0.09172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695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640"/>
        <w:gridCol w:w="640"/>
        <w:gridCol w:w="1170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PRODUCTION PERFORMANCE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FL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Productivity (PR)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0.10492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Capability (CA)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0.59212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Flexibility (FL)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0.05394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Characteristics of the device (CD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0.24902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CR=0.05233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651"/>
        <w:gridCol w:w="651"/>
        <w:gridCol w:w="1276"/>
      </w:tblGrid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BIOMECHANICS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Efforts and movements (EM)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0.83333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Postures (PO)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0.16667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640"/>
        <w:gridCol w:w="1276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ANTHROPOMETRY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VR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Accessibility and reach zones (AR)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0.08096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Transducer size (TS)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0.73064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Visual requirement (VR)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0.18839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640"/>
        <w:gridCol w:w="1276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COGNITIVE ERGONOMICS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Easy to understand (EA)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0.11939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Easy to use (EU)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0.74705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Mental stress (MS)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0.13356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CR=0.01211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651"/>
        <w:gridCol w:w="651"/>
        <w:gridCol w:w="1276"/>
      </w:tblGrid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WORK ENVIRONMENT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SD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Lighting environment (LE)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0.50000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Space demands (SD)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0.50000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640"/>
        <w:gridCol w:w="640"/>
        <w:gridCol w:w="1276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WORK MANAGEMENT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Competence and training (CT)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0.19165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Work experience (WE)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0.17854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Motivation and satisfaction (MS)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0.56447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Training procedures (TP)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0.06534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CR=0.08437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651"/>
        <w:gridCol w:w="651"/>
        <w:gridCol w:w="1276"/>
      </w:tblGrid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PATIENT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Comfort (CO)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0.50000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Communication (CM)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0.50000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651"/>
        <w:gridCol w:w="651"/>
        <w:gridCol w:w="1276"/>
      </w:tblGrid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PRODUCTIVITY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Production capacity (PC)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0.16667</w:t>
            </w:r>
          </w:p>
        </w:tc>
      </w:tr>
      <w:tr w:rsidR="00310C5D" w:rsidRPr="00E43A08" w:rsidTr="00310C5D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Costs (CO)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0.83333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640"/>
        <w:gridCol w:w="1276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CAPABILITY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Efficiency (EF)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0.64912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Effectiveness (EE)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0.27895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Corporate image (CI)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0.07193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1276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FLEXIBILITY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Required space (RS)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0.7500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Layout (LA)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0.2500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640"/>
        <w:gridCol w:w="1276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CHARACTERISTICS OF THE DEVICE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QS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Availability (AV)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0.06667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Resolution (RE)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0.46667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Quality of service (QS)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0.46667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CR=0.00000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640"/>
        <w:gridCol w:w="640"/>
        <w:gridCol w:w="1276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EFFORTS AND MOVEMENTS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GR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Static strength (SS)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0.05122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Repetitiveness (RE)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0.09724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Grip (GR)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0.64280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Applied force (AF)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0.20874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CR=0.09003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3306"/>
        <w:gridCol w:w="640"/>
        <w:gridCol w:w="640"/>
        <w:gridCol w:w="640"/>
        <w:gridCol w:w="1276"/>
      </w:tblGrid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POSTURES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HN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UL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Head and neck (HN)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Upper limbs (UL)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Trunk (TR)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0.25828</w:t>
            </w:r>
          </w:p>
        </w:tc>
      </w:tr>
      <w:tr w:rsidR="00310C5D" w:rsidRPr="00E43A08" w:rsidTr="00310C5D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Titolo1"/>
      </w:pPr>
      <w:r w:rsidRPr="00E43A08">
        <w:t>Alternative evaluation matrices (case study)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ACCESSIBILITY AND REACH ZONES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444FF9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>Portable</w:t>
            </w:r>
            <w:r w:rsidRPr="00E43A08">
              <w:rPr>
                <w:lang w:eastAsia="it-IT"/>
              </w:rPr>
              <w:t xml:space="preserve"> 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444FF9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0.73064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0.08096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0.18839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TRANSDUCER SIZE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VISUAL REQUIREMENT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0.73064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0.18839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0.08096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EASY TO UNDERSTAND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0.65864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0.18517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0.15618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CR=0.02795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EASY TO USE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0.78539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0.14882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0.06579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CR=0.07721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MENTAL STRESS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LIGHTING ENVIRONMENT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0.71429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0.14286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0.14286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CR=0.00000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SPACE DEMANDS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0.75140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0.17818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0.07042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CR=0.02795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COMPETENCE AND TRAINING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WORK EXPERIENCE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MOTIVATION AND SATISFACTION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0.78539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0.14882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0.06579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CR=0.07721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TRAINING PROCEDURE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COMFORT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0.73064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0.18839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0.08096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COMMUNICATION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0.73064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0.18839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0.08096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PRODUCTION CAPACITY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0.25828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COSTS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EFFICIENCY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0.25828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EFFECTIVENESS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0.27895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0.07193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0.64912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310C5D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CORPORATE IMAGE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0.25828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REQUIRED SPACE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 xml:space="preserve">Local </w:t>
            </w:r>
            <w:r w:rsidRPr="00E43A08">
              <w:rPr>
                <w:lang w:eastAsia="it-IT"/>
              </w:rPr>
              <w:lastRenderedPageBreak/>
              <w:t>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0.78539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0.14882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0.06579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CR=0.07721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LAYOUT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0.78539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0.14882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0.06579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CR=0.07721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AVAILABILITY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0.71429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0.14286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0.14286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CR=0.00000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RESOLUTION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0.18839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0.08096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0.73064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QUALITY OF SERVICE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0.64912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0.07193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0.27895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CR=0.06239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STATIC STRENGTH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lastRenderedPageBreak/>
              <w:t>REPETITIVENESS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GRIP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0.07782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0.43526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0.48692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CR=0.01211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APPLIED FORCE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0.63699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0.25829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0.10473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CR=0.03703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HEAD AND NECK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0.78539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0.14882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0.06579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CR=0.07721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UPPER LIMBS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0.78539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0.14882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0.06579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CR=0.07721</w:t>
            </w:r>
          </w:p>
        </w:tc>
      </w:tr>
    </w:tbl>
    <w:p w:rsidR="00310C5D" w:rsidRPr="00E43A08" w:rsidRDefault="00310C5D" w:rsidP="000C7045">
      <w:pPr>
        <w:pStyle w:val="Paragrap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746"/>
        <w:gridCol w:w="1746"/>
        <w:gridCol w:w="1746"/>
        <w:gridCol w:w="1276"/>
      </w:tblGrid>
      <w:tr w:rsidR="00310C5D" w:rsidRPr="00E43A08" w:rsidTr="00310C5D">
        <w:trPr>
          <w:trHeight w:val="285"/>
        </w:trPr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TRUNCK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(Wireless device)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rPr>
                <w:lang w:eastAsia="it-IT"/>
              </w:rPr>
              <w:t xml:space="preserve">Portable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(</w:t>
            </w:r>
            <w:r w:rsidR="00444FF9" w:rsidRPr="00E43A08">
              <w:t>Cart-based</w:t>
            </w:r>
            <w:r w:rsidR="00444FF9" w:rsidRPr="00E43A08">
              <w:rPr>
                <w:lang w:eastAsia="it-IT"/>
              </w:rPr>
              <w:t xml:space="preserve"> </w:t>
            </w:r>
            <w:r w:rsidRPr="00E43A08">
              <w:rPr>
                <w:lang w:eastAsia="it-IT"/>
              </w:rPr>
              <w:t>device)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Local priorities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0.78539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2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0.14882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Alternative 3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1/3</w:t>
            </w: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0.06579</w:t>
            </w:r>
          </w:p>
        </w:tc>
      </w:tr>
      <w:tr w:rsidR="00310C5D" w:rsidRPr="00E43A08" w:rsidTr="00310C5D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  <w:vAlign w:val="center"/>
          </w:tcPr>
          <w:p w:rsidR="00310C5D" w:rsidRPr="00E43A08" w:rsidRDefault="00310C5D" w:rsidP="00310C5D">
            <w:pPr>
              <w:jc w:val="left"/>
              <w:rPr>
                <w:sz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C5D" w:rsidRPr="00E43A08" w:rsidRDefault="00310C5D" w:rsidP="000C7045">
            <w:pPr>
              <w:rPr>
                <w:lang w:eastAsia="it-IT"/>
              </w:rPr>
            </w:pPr>
            <w:r w:rsidRPr="00E43A08">
              <w:rPr>
                <w:lang w:eastAsia="it-IT"/>
              </w:rPr>
              <w:t>CR=0.07721</w:t>
            </w:r>
          </w:p>
        </w:tc>
      </w:tr>
    </w:tbl>
    <w:p w:rsidR="00310C5D" w:rsidRPr="00245A06" w:rsidRDefault="00310C5D" w:rsidP="000C7045">
      <w:pPr>
        <w:pStyle w:val="Paragraph"/>
        <w:rPr>
          <w:sz w:val="10"/>
        </w:rPr>
      </w:pPr>
    </w:p>
    <w:sectPr w:rsidR="00310C5D" w:rsidRPr="00245A06" w:rsidSect="00DC5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8E0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E1B0C"/>
    <w:multiLevelType w:val="hybridMultilevel"/>
    <w:tmpl w:val="95322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5C44"/>
    <w:multiLevelType w:val="hybridMultilevel"/>
    <w:tmpl w:val="AB741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57EA"/>
    <w:multiLevelType w:val="hybridMultilevel"/>
    <w:tmpl w:val="77A22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EB"/>
    <w:multiLevelType w:val="hybridMultilevel"/>
    <w:tmpl w:val="1376F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2F0C"/>
    <w:multiLevelType w:val="hybridMultilevel"/>
    <w:tmpl w:val="3BE2A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55C3"/>
    <w:multiLevelType w:val="hybridMultilevel"/>
    <w:tmpl w:val="DF08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A792A"/>
    <w:multiLevelType w:val="hybridMultilevel"/>
    <w:tmpl w:val="30E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55A7E"/>
    <w:multiLevelType w:val="hybridMultilevel"/>
    <w:tmpl w:val="BEA8E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66BE2"/>
    <w:multiLevelType w:val="hybridMultilevel"/>
    <w:tmpl w:val="2E803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E0D60"/>
    <w:multiLevelType w:val="hybridMultilevel"/>
    <w:tmpl w:val="852A0464"/>
    <w:lvl w:ilvl="0" w:tplc="7FC8A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E56E8"/>
    <w:multiLevelType w:val="hybridMultilevel"/>
    <w:tmpl w:val="7B04B4CE"/>
    <w:lvl w:ilvl="0" w:tplc="BEC4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283"/>
  <w:characterSpacingControl w:val="doNotCompress"/>
  <w:compat/>
  <w:rsids>
    <w:rsidRoot w:val="00332057"/>
    <w:rsid w:val="000B35C5"/>
    <w:rsid w:val="000C7045"/>
    <w:rsid w:val="00245A06"/>
    <w:rsid w:val="002B3522"/>
    <w:rsid w:val="002F6421"/>
    <w:rsid w:val="00310C5D"/>
    <w:rsid w:val="00310CF4"/>
    <w:rsid w:val="00332057"/>
    <w:rsid w:val="00400385"/>
    <w:rsid w:val="00444FF9"/>
    <w:rsid w:val="004F33AC"/>
    <w:rsid w:val="00501507"/>
    <w:rsid w:val="00537467"/>
    <w:rsid w:val="005D503D"/>
    <w:rsid w:val="005E41C2"/>
    <w:rsid w:val="006C18E5"/>
    <w:rsid w:val="007B1F6A"/>
    <w:rsid w:val="007D2A5A"/>
    <w:rsid w:val="00877BE2"/>
    <w:rsid w:val="008A65B6"/>
    <w:rsid w:val="009B19D3"/>
    <w:rsid w:val="00B21E6E"/>
    <w:rsid w:val="00B221AB"/>
    <w:rsid w:val="00B32D25"/>
    <w:rsid w:val="00B864B7"/>
    <w:rsid w:val="00CA6837"/>
    <w:rsid w:val="00DA0300"/>
    <w:rsid w:val="00DC598C"/>
    <w:rsid w:val="00DE5A9C"/>
    <w:rsid w:val="00E36AAA"/>
    <w:rsid w:val="00E43A08"/>
    <w:rsid w:val="00EE6E28"/>
    <w:rsid w:val="00F512DE"/>
    <w:rsid w:val="00F7440A"/>
    <w:rsid w:val="00F8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able"/>
    <w:qFormat/>
    <w:rsid w:val="000C7045"/>
    <w:pPr>
      <w:spacing w:after="0" w:line="264" w:lineRule="auto"/>
      <w:jc w:val="both"/>
    </w:pPr>
    <w:rPr>
      <w:rFonts w:ascii="Times New Roman" w:eastAsia="Times New Roman" w:hAnsi="Times New Roman" w:cs="Arial"/>
      <w:sz w:val="20"/>
      <w:szCs w:val="20"/>
      <w:lang w:val="en-GB"/>
    </w:rPr>
  </w:style>
  <w:style w:type="paragraph" w:styleId="Titolo1">
    <w:name w:val="heading 1"/>
    <w:basedOn w:val="Normale"/>
    <w:next w:val="Paragraph"/>
    <w:link w:val="Titolo1Carattere"/>
    <w:uiPriority w:val="9"/>
    <w:qFormat/>
    <w:rsid w:val="00310C5D"/>
    <w:pPr>
      <w:keepNext/>
      <w:spacing w:before="360" w:after="60" w:line="360" w:lineRule="auto"/>
      <w:ind w:right="567"/>
      <w:contextualSpacing/>
      <w:jc w:val="left"/>
      <w:outlineLvl w:val="0"/>
    </w:pPr>
    <w:rPr>
      <w:b/>
      <w:bCs/>
      <w:kern w:val="32"/>
      <w:sz w:val="24"/>
      <w:szCs w:val="32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0C5D"/>
    <w:pPr>
      <w:spacing w:before="200"/>
      <w:outlineLvl w:val="1"/>
    </w:pPr>
    <w:rPr>
      <w:b/>
      <w:bCs/>
      <w:sz w:val="22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310C5D"/>
    <w:pPr>
      <w:tabs>
        <w:tab w:val="right" w:pos="8789"/>
      </w:tabs>
      <w:jc w:val="left"/>
      <w:outlineLvl w:val="2"/>
    </w:pPr>
    <w:rPr>
      <w:rFonts w:cs="Times New Roman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10C5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10C5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10C5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0C5D"/>
    <w:pPr>
      <w:outlineLvl w:val="6"/>
    </w:pPr>
    <w:rPr>
      <w:rFonts w:ascii="Cambria" w:hAnsi="Cambria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0C5D"/>
    <w:pPr>
      <w:outlineLvl w:val="7"/>
    </w:pPr>
    <w:rPr>
      <w:rFonts w:ascii="Cambria" w:hAnsi="Cambri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0C5D"/>
    <w:pPr>
      <w:outlineLvl w:val="8"/>
    </w:pPr>
    <w:rPr>
      <w:rFonts w:ascii="Cambria" w:hAnsi="Cambria"/>
      <w:i/>
      <w:iCs/>
      <w:spacing w:val="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next w:val="Newparagraph"/>
    <w:qFormat/>
    <w:rsid w:val="00501507"/>
    <w:pPr>
      <w:widowControl w:val="0"/>
      <w:spacing w:before="240" w:line="480" w:lineRule="auto"/>
      <w:jc w:val="left"/>
    </w:pPr>
    <w:rPr>
      <w:rFonts w:cs="Times New Roman"/>
      <w:sz w:val="24"/>
      <w:szCs w:val="24"/>
      <w:lang w:eastAsia="en-GB"/>
    </w:rPr>
  </w:style>
  <w:style w:type="paragraph" w:customStyle="1" w:styleId="Newparagraph">
    <w:name w:val="New paragraph"/>
    <w:basedOn w:val="Normale"/>
    <w:qFormat/>
    <w:rsid w:val="00B864B7"/>
    <w:pPr>
      <w:spacing w:line="480" w:lineRule="auto"/>
      <w:ind w:firstLine="720"/>
      <w:jc w:val="left"/>
    </w:pPr>
    <w:rPr>
      <w:rFonts w:cs="Times New Roman"/>
      <w:sz w:val="24"/>
      <w:szCs w:val="24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0C5D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0C5D"/>
    <w:rPr>
      <w:rFonts w:ascii="Arial" w:eastAsia="Times New Roman" w:hAnsi="Arial" w:cs="Arial"/>
      <w:b/>
      <w:bCs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rsid w:val="00310C5D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10C5D"/>
    <w:rPr>
      <w:rFonts w:ascii="Cambria" w:eastAsia="Times New Roman" w:hAnsi="Cambria" w:cs="Arial"/>
      <w:b/>
      <w:bCs/>
      <w:i/>
      <w:iCs/>
      <w:sz w:val="20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10C5D"/>
    <w:rPr>
      <w:rFonts w:ascii="Cambria" w:eastAsia="Times New Roman" w:hAnsi="Cambria" w:cs="Arial"/>
      <w:b/>
      <w:bCs/>
      <w:color w:val="7F7F7F"/>
      <w:sz w:val="20"/>
      <w:szCs w:val="20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C1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C18E5"/>
    <w:rPr>
      <w:rFonts w:ascii="Tahoma" w:eastAsia="Times New Roman" w:hAnsi="Tahoma" w:cs="Tahoma"/>
      <w:sz w:val="16"/>
      <w:szCs w:val="16"/>
      <w:lang w:val="en-GB"/>
    </w:rPr>
  </w:style>
  <w:style w:type="paragraph" w:customStyle="1" w:styleId="Articletitle">
    <w:name w:val="Article title"/>
    <w:basedOn w:val="Normale"/>
    <w:next w:val="Normale"/>
    <w:qFormat/>
    <w:rsid w:val="006C18E5"/>
    <w:pPr>
      <w:spacing w:after="120" w:line="360" w:lineRule="auto"/>
      <w:jc w:val="left"/>
    </w:pPr>
    <w:rPr>
      <w:rFonts w:cs="Times New Roman"/>
      <w:b/>
      <w:sz w:val="28"/>
      <w:szCs w:val="24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310C5D"/>
    <w:pPr>
      <w:widowControl/>
      <w:numPr>
        <w:numId w:val="4"/>
      </w:numPr>
      <w:spacing w:after="24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10C5D"/>
    <w:rPr>
      <w:rFonts w:ascii="Cambria" w:eastAsia="Times New Roman" w:hAnsi="Cambria" w:cs="Arial"/>
      <w:b/>
      <w:bCs/>
      <w:i/>
      <w:iCs/>
      <w:color w:val="7F7F7F"/>
      <w:sz w:val="20"/>
      <w:szCs w:val="20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0C5D"/>
    <w:rPr>
      <w:rFonts w:ascii="Cambria" w:eastAsia="Times New Roman" w:hAnsi="Cambria" w:cs="Arial"/>
      <w:i/>
      <w:iCs/>
      <w:sz w:val="20"/>
      <w:szCs w:val="20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0C5D"/>
    <w:rPr>
      <w:rFonts w:ascii="Cambria" w:eastAsia="Times New Roman" w:hAnsi="Cambria" w:cs="Arial"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0C5D"/>
    <w:rPr>
      <w:rFonts w:ascii="Cambria" w:eastAsia="Times New Roman" w:hAnsi="Cambria" w:cs="Arial"/>
      <w:i/>
      <w:iCs/>
      <w:spacing w:val="5"/>
      <w:sz w:val="20"/>
      <w:szCs w:val="20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C5D"/>
    <w:rPr>
      <w:rFonts w:ascii="Tahoma" w:eastAsia="Times New Roman" w:hAnsi="Tahoma" w:cs="Tahoma"/>
      <w:sz w:val="16"/>
      <w:szCs w:val="16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Carpredefinitoparagrafo"/>
    <w:link w:val="Soggettocommento"/>
    <w:uiPriority w:val="99"/>
    <w:semiHidden/>
    <w:rsid w:val="000C7045"/>
    <w:rPr>
      <w:b/>
      <w:bCs/>
      <w:sz w:val="20"/>
      <w:szCs w:val="20"/>
    </w:rPr>
  </w:style>
  <w:style w:type="paragraph" w:styleId="Soggettocommento">
    <w:name w:val="annotation subject"/>
    <w:basedOn w:val="Normale"/>
    <w:link w:val="SoggettocommentoCarattere"/>
    <w:uiPriority w:val="99"/>
    <w:semiHidden/>
    <w:unhideWhenUsed/>
    <w:rsid w:val="000C7045"/>
    <w:rPr>
      <w:b/>
      <w:bCs/>
    </w:rPr>
  </w:style>
  <w:style w:type="character" w:customStyle="1" w:styleId="hps">
    <w:name w:val="hps"/>
    <w:basedOn w:val="Carpredefinitoparagrafo"/>
    <w:rsid w:val="00B32D25"/>
  </w:style>
  <w:style w:type="character" w:customStyle="1" w:styleId="shorttext">
    <w:name w:val="short_text"/>
    <w:basedOn w:val="Carpredefinitoparagrafo"/>
    <w:rsid w:val="00B3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Brescia</Company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Marciano</dc:creator>
  <cp:lastModifiedBy>Filippo Marciano</cp:lastModifiedBy>
  <cp:revision>8</cp:revision>
  <cp:lastPrinted>2018-10-16T14:16:00Z</cp:lastPrinted>
  <dcterms:created xsi:type="dcterms:W3CDTF">2018-10-16T08:33:00Z</dcterms:created>
  <dcterms:modified xsi:type="dcterms:W3CDTF">2019-04-09T15:40:00Z</dcterms:modified>
</cp:coreProperties>
</file>