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4879203"/>
    <w:p w:rsidR="00BB054A" w:rsidRPr="006D6DA3" w:rsidRDefault="00BB054A" w:rsidP="00202BC6">
      <w:pPr>
        <w:jc w:val="center"/>
        <w:outlineLvl w:val="0"/>
        <w:rPr>
          <w:sz w:val="72"/>
          <w:szCs w:val="72"/>
        </w:rPr>
      </w:pPr>
      <w:r w:rsidRPr="006D6DA3">
        <w:rPr>
          <w:sz w:val="72"/>
          <w:szCs w:val="7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6D6DA3">
        <w:rPr>
          <w:sz w:val="72"/>
          <w:szCs w:val="72"/>
        </w:rPr>
        <w:instrText>ADDIN CNKISM.UserStyle</w:instrText>
      </w:r>
      <w:r w:rsidRPr="006D6DA3">
        <w:rPr>
          <w:sz w:val="72"/>
          <w:szCs w:val="72"/>
        </w:rPr>
      </w:r>
      <w:r w:rsidRPr="006D6DA3">
        <w:rPr>
          <w:sz w:val="72"/>
          <w:szCs w:val="72"/>
        </w:rPr>
        <w:fldChar w:fldCharType="end"/>
      </w:r>
      <w:r w:rsidRPr="006D6DA3">
        <w:rPr>
          <w:sz w:val="72"/>
          <w:szCs w:val="72"/>
        </w:rPr>
        <w:t>Supplementary information</w:t>
      </w:r>
    </w:p>
    <w:p w:rsidR="00BB054A" w:rsidRPr="006D6DA3" w:rsidRDefault="00BB054A" w:rsidP="00202BC6">
      <w:pPr>
        <w:spacing w:line="360" w:lineRule="auto"/>
        <w:jc w:val="center"/>
        <w:outlineLvl w:val="0"/>
        <w:rPr>
          <w:b/>
          <w:sz w:val="32"/>
          <w:szCs w:val="32"/>
        </w:rPr>
      </w:pPr>
    </w:p>
    <w:p w:rsidR="00BB054A" w:rsidRPr="006D6DA3" w:rsidRDefault="00BB054A" w:rsidP="00202BC6">
      <w:pPr>
        <w:spacing w:line="360" w:lineRule="auto"/>
        <w:jc w:val="center"/>
        <w:outlineLvl w:val="0"/>
        <w:rPr>
          <w:b/>
          <w:sz w:val="32"/>
          <w:szCs w:val="32"/>
        </w:rPr>
      </w:pPr>
    </w:p>
    <w:p w:rsidR="00BB054A" w:rsidRPr="006D6DA3" w:rsidRDefault="00BB054A" w:rsidP="00202BC6">
      <w:pPr>
        <w:spacing w:line="360" w:lineRule="auto"/>
        <w:jc w:val="center"/>
        <w:outlineLvl w:val="0"/>
        <w:rPr>
          <w:b/>
          <w:sz w:val="32"/>
          <w:szCs w:val="32"/>
        </w:rPr>
      </w:pPr>
    </w:p>
    <w:p w:rsidR="00BB054A" w:rsidRPr="006D6DA3" w:rsidRDefault="00BB054A" w:rsidP="009833AF">
      <w:pPr>
        <w:spacing w:line="360" w:lineRule="auto"/>
        <w:jc w:val="center"/>
        <w:outlineLvl w:val="0"/>
        <w:rPr>
          <w:b/>
          <w:sz w:val="32"/>
          <w:szCs w:val="32"/>
        </w:rPr>
      </w:pPr>
      <w:bookmarkStart w:id="1" w:name="_Hlk534835825"/>
      <w:bookmarkStart w:id="2" w:name="_Hlk988969"/>
      <w:bookmarkEnd w:id="0"/>
      <w:r w:rsidRPr="006D6DA3">
        <w:rPr>
          <w:b/>
          <w:sz w:val="32"/>
          <w:szCs w:val="32"/>
        </w:rPr>
        <w:t xml:space="preserve">The </w:t>
      </w:r>
      <w:bookmarkStart w:id="3" w:name="_Hlk534299241"/>
      <w:r w:rsidRPr="006D6DA3">
        <w:rPr>
          <w:b/>
          <w:sz w:val="32"/>
          <w:szCs w:val="32"/>
        </w:rPr>
        <w:t>soil</w:t>
      </w:r>
      <w:bookmarkStart w:id="4" w:name="_Hlk534302675"/>
      <w:r w:rsidRPr="006D6DA3">
        <w:rPr>
          <w:b/>
          <w:sz w:val="32"/>
          <w:szCs w:val="32"/>
        </w:rPr>
        <w:t xml:space="preserve"> displacement </w:t>
      </w:r>
      <w:bookmarkEnd w:id="4"/>
      <w:r w:rsidRPr="006D6DA3">
        <w:rPr>
          <w:b/>
          <w:sz w:val="32"/>
          <w:szCs w:val="32"/>
        </w:rPr>
        <w:t>measurement</w:t>
      </w:r>
      <w:bookmarkEnd w:id="3"/>
      <w:r w:rsidRPr="006D6DA3">
        <w:rPr>
          <w:b/>
          <w:sz w:val="32"/>
          <w:szCs w:val="32"/>
        </w:rPr>
        <w:t xml:space="preserve"> of mercury emission flux of the </w:t>
      </w:r>
      <w:bookmarkStart w:id="5" w:name="_Hlk534282171"/>
      <w:bookmarkStart w:id="6" w:name="_Hlk534394895"/>
      <w:r w:rsidRPr="006D6DA3">
        <w:rPr>
          <w:b/>
          <w:sz w:val="32"/>
          <w:szCs w:val="32"/>
        </w:rPr>
        <w:t>sewage</w:t>
      </w:r>
      <w:bookmarkEnd w:id="5"/>
      <w:r w:rsidRPr="006D6DA3">
        <w:rPr>
          <w:b/>
          <w:sz w:val="32"/>
          <w:szCs w:val="32"/>
        </w:rPr>
        <w:t xml:space="preserve"> irrigation</w:t>
      </w:r>
      <w:bookmarkEnd w:id="6"/>
      <w:r w:rsidRPr="006D6DA3">
        <w:rPr>
          <w:b/>
          <w:sz w:val="32"/>
          <w:szCs w:val="32"/>
        </w:rPr>
        <w:t xml:space="preserve"> farmlands in northern China</w:t>
      </w:r>
      <w:bookmarkEnd w:id="1"/>
    </w:p>
    <w:p w:rsidR="00BB054A" w:rsidRPr="006D6DA3" w:rsidRDefault="00BB054A" w:rsidP="009833AF">
      <w:pPr>
        <w:spacing w:line="360" w:lineRule="auto"/>
        <w:jc w:val="center"/>
      </w:pPr>
      <w:bookmarkStart w:id="7" w:name="_Hlk989045"/>
      <w:bookmarkStart w:id="8" w:name="OLE_LINK30"/>
      <w:bookmarkStart w:id="9" w:name="OLE_LINK1"/>
      <w:bookmarkStart w:id="10" w:name="OLE_LINK2"/>
      <w:bookmarkStart w:id="11" w:name="OLE_LINK9"/>
      <w:bookmarkStart w:id="12" w:name="OLE_LINK24"/>
      <w:r w:rsidRPr="006D6DA3">
        <w:t xml:space="preserve">Yu Gao </w:t>
      </w:r>
      <w:r w:rsidRPr="006D6DA3">
        <w:rPr>
          <w:vertAlign w:val="superscript"/>
        </w:rPr>
        <w:t>a, b</w:t>
      </w:r>
      <w:r w:rsidRPr="006D6DA3">
        <w:t xml:space="preserve">, </w:t>
      </w:r>
      <w:r w:rsidRPr="006D6DA3">
        <w:rPr>
          <w:rFonts w:hint="eastAsia"/>
        </w:rPr>
        <w:t>Zhangwei</w:t>
      </w:r>
      <w:r w:rsidRPr="006D6DA3">
        <w:t xml:space="preserve"> Wang </w:t>
      </w:r>
      <w:r w:rsidRPr="006D6DA3">
        <w:rPr>
          <w:vertAlign w:val="superscript"/>
        </w:rPr>
        <w:t>a, b</w:t>
      </w:r>
      <w:r w:rsidRPr="006D6DA3">
        <w:t xml:space="preserve">, Chunjie Wang </w:t>
      </w:r>
      <w:r w:rsidRPr="006D6DA3">
        <w:rPr>
          <w:vertAlign w:val="superscript"/>
        </w:rPr>
        <w:t>a</w:t>
      </w:r>
      <w:r w:rsidRPr="006D6DA3">
        <w:t xml:space="preserve">, </w:t>
      </w:r>
      <w:r w:rsidRPr="006D6DA3">
        <w:rPr>
          <w:rFonts w:hint="eastAsia"/>
        </w:rPr>
        <w:t>Xiaoshan</w:t>
      </w:r>
      <w:r w:rsidRPr="006D6DA3">
        <w:t xml:space="preserve"> </w:t>
      </w:r>
      <w:r w:rsidRPr="006D6DA3">
        <w:rPr>
          <w:rFonts w:hint="eastAsia"/>
        </w:rPr>
        <w:t>Zhang</w:t>
      </w:r>
      <w:r w:rsidRPr="006D6DA3">
        <w:t xml:space="preserve"> </w:t>
      </w:r>
      <w:r w:rsidRPr="006D6DA3">
        <w:rPr>
          <w:vertAlign w:val="superscript"/>
        </w:rPr>
        <w:t>a, b</w:t>
      </w:r>
      <w:r w:rsidRPr="006D6DA3">
        <w:t xml:space="preserve"> </w:t>
      </w:r>
      <w:r w:rsidRPr="006D6DA3">
        <w:rPr>
          <w:vertAlign w:val="superscript"/>
        </w:rPr>
        <w:t>*</w:t>
      </w:r>
      <w:bookmarkEnd w:id="7"/>
    </w:p>
    <w:p w:rsidR="00BB054A" w:rsidRPr="006D6DA3" w:rsidRDefault="00BB054A" w:rsidP="009833AF">
      <w:pPr>
        <w:spacing w:line="360" w:lineRule="auto"/>
        <w:jc w:val="center"/>
      </w:pPr>
    </w:p>
    <w:bookmarkEnd w:id="8"/>
    <w:p w:rsidR="00BB054A" w:rsidRPr="006D6DA3" w:rsidRDefault="00BB054A" w:rsidP="009833AF">
      <w:pPr>
        <w:spacing w:line="360" w:lineRule="auto"/>
        <w:jc w:val="center"/>
      </w:pPr>
    </w:p>
    <w:p w:rsidR="00BB054A" w:rsidRPr="006D6DA3" w:rsidRDefault="00BB054A" w:rsidP="009833AF">
      <w:pPr>
        <w:spacing w:line="360" w:lineRule="auto"/>
        <w:rPr>
          <w:sz w:val="28"/>
          <w:szCs w:val="28"/>
          <w:vertAlign w:val="superscript"/>
        </w:rPr>
      </w:pPr>
    </w:p>
    <w:p w:rsidR="00BB054A" w:rsidRPr="006D6DA3" w:rsidRDefault="00BB054A" w:rsidP="009833AF">
      <w:pPr>
        <w:spacing w:line="360" w:lineRule="auto"/>
        <w:rPr>
          <w:sz w:val="18"/>
          <w:szCs w:val="18"/>
          <w:vertAlign w:val="superscript"/>
        </w:rPr>
      </w:pPr>
    </w:p>
    <w:p w:rsidR="00BB054A" w:rsidRPr="006D6DA3" w:rsidRDefault="00BB054A" w:rsidP="009833AF">
      <w:pPr>
        <w:spacing w:line="360" w:lineRule="auto"/>
        <w:rPr>
          <w:i/>
          <w:sz w:val="18"/>
          <w:szCs w:val="18"/>
        </w:rPr>
      </w:pPr>
      <w:r w:rsidRPr="006D6DA3">
        <w:rPr>
          <w:rFonts w:hint="eastAsia"/>
          <w:sz w:val="18"/>
          <w:szCs w:val="18"/>
          <w:vertAlign w:val="superscript"/>
        </w:rPr>
        <w:t xml:space="preserve">a </w:t>
      </w:r>
      <w:bookmarkStart w:id="13" w:name="OLE_LINK11"/>
      <w:bookmarkStart w:id="14" w:name="OLE_LINK12"/>
      <w:r w:rsidRPr="006D6DA3">
        <w:rPr>
          <w:i/>
          <w:sz w:val="18"/>
          <w:szCs w:val="18"/>
        </w:rPr>
        <w:t>Research Center for Eco-Environmental Sciences, Chinese Academy of Sciences</w:t>
      </w:r>
      <w:bookmarkEnd w:id="13"/>
      <w:bookmarkEnd w:id="14"/>
      <w:r w:rsidRPr="006D6DA3">
        <w:rPr>
          <w:i/>
          <w:sz w:val="18"/>
          <w:szCs w:val="18"/>
        </w:rPr>
        <w:t>,</w:t>
      </w:r>
      <w:r w:rsidRPr="006D6DA3">
        <w:rPr>
          <w:rFonts w:hint="eastAsia"/>
          <w:i/>
          <w:sz w:val="18"/>
          <w:szCs w:val="18"/>
        </w:rPr>
        <w:t xml:space="preserve"> </w:t>
      </w:r>
      <w:r w:rsidRPr="006D6DA3">
        <w:rPr>
          <w:i/>
          <w:sz w:val="18"/>
          <w:szCs w:val="18"/>
        </w:rPr>
        <w:t>No. 18 Shuang Qing Road, Beijing 100085, China</w:t>
      </w:r>
    </w:p>
    <w:p w:rsidR="00BB054A" w:rsidRPr="006D6DA3" w:rsidRDefault="00BB054A" w:rsidP="009833AF">
      <w:pPr>
        <w:spacing w:line="360" w:lineRule="auto"/>
        <w:rPr>
          <w:i/>
          <w:sz w:val="18"/>
          <w:szCs w:val="18"/>
        </w:rPr>
      </w:pPr>
      <w:r w:rsidRPr="006D6DA3">
        <w:rPr>
          <w:rFonts w:hint="eastAsia"/>
          <w:sz w:val="18"/>
          <w:szCs w:val="18"/>
          <w:vertAlign w:val="superscript"/>
        </w:rPr>
        <w:t xml:space="preserve">b </w:t>
      </w:r>
      <w:r w:rsidRPr="006D6DA3">
        <w:rPr>
          <w:rFonts w:hint="eastAsia"/>
          <w:i/>
          <w:sz w:val="18"/>
          <w:szCs w:val="18"/>
        </w:rPr>
        <w:t>University of</w:t>
      </w:r>
      <w:r w:rsidRPr="006D6DA3">
        <w:rPr>
          <w:i/>
          <w:sz w:val="18"/>
          <w:szCs w:val="18"/>
        </w:rPr>
        <w:t xml:space="preserve"> </w:t>
      </w:r>
      <w:r w:rsidRPr="006D6DA3">
        <w:rPr>
          <w:rFonts w:hint="eastAsia"/>
          <w:i/>
          <w:sz w:val="18"/>
          <w:szCs w:val="18"/>
        </w:rPr>
        <w:t>Chinese Academy of Sciences</w:t>
      </w:r>
      <w:r w:rsidRPr="006D6DA3">
        <w:rPr>
          <w:i/>
          <w:sz w:val="18"/>
          <w:szCs w:val="18"/>
        </w:rPr>
        <w:t>, Beijing 100049, China</w:t>
      </w:r>
    </w:p>
    <w:bookmarkEnd w:id="9"/>
    <w:bookmarkEnd w:id="10"/>
    <w:p w:rsidR="00BB054A" w:rsidRPr="006D6DA3" w:rsidRDefault="00BB054A" w:rsidP="009833AF">
      <w:pPr>
        <w:spacing w:line="360" w:lineRule="auto"/>
        <w:jc w:val="center"/>
        <w:rPr>
          <w:b/>
        </w:rPr>
      </w:pPr>
    </w:p>
    <w:p w:rsidR="00BB054A" w:rsidRPr="006D6DA3" w:rsidRDefault="00BB054A" w:rsidP="009833AF">
      <w:pPr>
        <w:spacing w:line="360" w:lineRule="auto"/>
        <w:jc w:val="center"/>
        <w:rPr>
          <w:b/>
        </w:rPr>
      </w:pPr>
    </w:p>
    <w:p w:rsidR="00BB054A" w:rsidRPr="006D6DA3" w:rsidRDefault="00BB054A" w:rsidP="009833AF">
      <w:pPr>
        <w:spacing w:line="360" w:lineRule="auto"/>
        <w:jc w:val="center"/>
        <w:rPr>
          <w:b/>
        </w:rPr>
      </w:pPr>
    </w:p>
    <w:p w:rsidR="00BB054A" w:rsidRPr="006D6DA3" w:rsidRDefault="00BB054A" w:rsidP="009833AF">
      <w:pPr>
        <w:autoSpaceDE w:val="0"/>
        <w:autoSpaceDN w:val="0"/>
        <w:adjustRightInd w:val="0"/>
        <w:spacing w:line="360" w:lineRule="auto"/>
        <w:jc w:val="center"/>
        <w:rPr>
          <w:b/>
          <w:szCs w:val="21"/>
        </w:rPr>
      </w:pPr>
    </w:p>
    <w:bookmarkEnd w:id="11"/>
    <w:bookmarkEnd w:id="12"/>
    <w:p w:rsidR="00BB054A" w:rsidRPr="006D6DA3" w:rsidRDefault="00BB054A" w:rsidP="009833AF">
      <w:pPr>
        <w:autoSpaceDE w:val="0"/>
        <w:autoSpaceDN w:val="0"/>
        <w:adjustRightInd w:val="0"/>
        <w:spacing w:line="360" w:lineRule="auto"/>
        <w:jc w:val="center"/>
        <w:rPr>
          <w:szCs w:val="21"/>
        </w:rPr>
      </w:pPr>
      <w:r w:rsidRPr="006D6DA3">
        <w:rPr>
          <w:szCs w:val="21"/>
        </w:rPr>
        <w:t>*</w:t>
      </w:r>
      <w:r w:rsidRPr="006D6DA3">
        <w:rPr>
          <w:rFonts w:hint="eastAsia"/>
          <w:szCs w:val="21"/>
        </w:rPr>
        <w:t xml:space="preserve"> </w:t>
      </w:r>
      <w:r w:rsidRPr="006D6DA3">
        <w:rPr>
          <w:szCs w:val="21"/>
        </w:rPr>
        <w:t>Corresponding author.</w:t>
      </w:r>
      <w:r w:rsidRPr="006D6DA3">
        <w:rPr>
          <w:rFonts w:hint="eastAsia"/>
          <w:szCs w:val="21"/>
        </w:rPr>
        <w:t xml:space="preserve"> </w:t>
      </w:r>
      <w:r w:rsidRPr="006D6DA3">
        <w:rPr>
          <w:szCs w:val="21"/>
        </w:rPr>
        <w:t xml:space="preserve">Tel./Fax: +86 10 </w:t>
      </w:r>
      <w:bookmarkStart w:id="15" w:name="_Hlk989169"/>
      <w:r w:rsidRPr="006D6DA3">
        <w:rPr>
          <w:szCs w:val="21"/>
        </w:rPr>
        <w:t>62849</w:t>
      </w:r>
      <w:r w:rsidRPr="006D6DA3">
        <w:rPr>
          <w:rFonts w:hint="eastAsia"/>
          <w:szCs w:val="21"/>
        </w:rPr>
        <w:t>573</w:t>
      </w:r>
      <w:bookmarkEnd w:id="15"/>
      <w:r w:rsidRPr="006D6DA3">
        <w:rPr>
          <w:rFonts w:hint="eastAsia"/>
          <w:szCs w:val="21"/>
        </w:rPr>
        <w:t>.</w:t>
      </w:r>
    </w:p>
    <w:p w:rsidR="00BB054A" w:rsidRPr="006D6DA3" w:rsidRDefault="00BB054A" w:rsidP="009833AF">
      <w:pPr>
        <w:spacing w:beforeLines="50" w:before="156" w:afterLines="50" w:after="156" w:line="360" w:lineRule="auto"/>
        <w:jc w:val="center"/>
        <w:rPr>
          <w:szCs w:val="21"/>
        </w:rPr>
      </w:pPr>
      <w:r w:rsidRPr="006D6DA3">
        <w:rPr>
          <w:i/>
          <w:szCs w:val="21"/>
        </w:rPr>
        <w:t>E</w:t>
      </w:r>
      <w:r w:rsidRPr="006D6DA3">
        <w:rPr>
          <w:rFonts w:hint="eastAsia"/>
          <w:i/>
          <w:szCs w:val="21"/>
        </w:rPr>
        <w:t>-</w:t>
      </w:r>
      <w:r w:rsidRPr="006D6DA3">
        <w:rPr>
          <w:i/>
          <w:szCs w:val="21"/>
        </w:rPr>
        <w:t>mail</w:t>
      </w:r>
      <w:r w:rsidRPr="006D6DA3">
        <w:rPr>
          <w:rFonts w:hint="eastAsia"/>
          <w:i/>
          <w:szCs w:val="21"/>
        </w:rPr>
        <w:t xml:space="preserve"> address</w:t>
      </w:r>
      <w:r w:rsidRPr="006D6DA3">
        <w:rPr>
          <w:szCs w:val="21"/>
        </w:rPr>
        <w:t>: zhangxsh@rcees.ac.cn (</w:t>
      </w:r>
      <w:r w:rsidRPr="006D6DA3">
        <w:rPr>
          <w:rFonts w:hint="eastAsia"/>
          <w:szCs w:val="21"/>
        </w:rPr>
        <w:t>X</w:t>
      </w:r>
      <w:r w:rsidRPr="006D6DA3">
        <w:rPr>
          <w:szCs w:val="21"/>
        </w:rPr>
        <w:t>. Zhang).</w:t>
      </w:r>
    </w:p>
    <w:bookmarkEnd w:id="2"/>
    <w:p w:rsidR="00BB054A" w:rsidRPr="006D6DA3" w:rsidRDefault="00BB054A" w:rsidP="00C17483">
      <w:pPr>
        <w:spacing w:beforeLines="50" w:before="156" w:afterLines="50" w:after="156" w:line="360" w:lineRule="auto"/>
        <w:rPr>
          <w:b/>
          <w:sz w:val="24"/>
          <w:szCs w:val="24"/>
        </w:rPr>
      </w:pPr>
    </w:p>
    <w:p w:rsidR="00BB054A" w:rsidRPr="006D6DA3" w:rsidRDefault="00BB054A" w:rsidP="00C17483">
      <w:pPr>
        <w:spacing w:beforeLines="50" w:before="156" w:afterLines="50" w:after="156" w:line="360" w:lineRule="auto"/>
        <w:rPr>
          <w:b/>
          <w:sz w:val="24"/>
          <w:szCs w:val="24"/>
        </w:rPr>
        <w:sectPr w:rsidR="00BB054A" w:rsidRPr="006D6DA3" w:rsidSect="00CD4A51">
          <w:footerReference w:type="default" r:id="rId4"/>
          <w:pgSz w:w="11906" w:h="16838"/>
          <w:pgMar w:top="1440" w:right="1800" w:bottom="1440" w:left="1800" w:header="851" w:footer="992" w:gutter="0"/>
          <w:cols w:space="425"/>
          <w:docGrid w:type="lines" w:linePitch="312"/>
        </w:sectPr>
      </w:pPr>
    </w:p>
    <w:p w:rsidR="00BB054A" w:rsidRPr="006D6DA3" w:rsidRDefault="00BB054A" w:rsidP="00FE1527">
      <w:pPr>
        <w:spacing w:beforeLines="50" w:before="156" w:afterLines="50" w:after="156" w:line="480" w:lineRule="auto"/>
        <w:outlineLvl w:val="1"/>
        <w:rPr>
          <w:b/>
          <w:i/>
          <w:sz w:val="24"/>
          <w:szCs w:val="21"/>
        </w:rPr>
      </w:pPr>
      <w:r w:rsidRPr="006D6DA3">
        <w:rPr>
          <w:b/>
          <w:i/>
          <w:sz w:val="24"/>
          <w:szCs w:val="21"/>
        </w:rPr>
        <w:lastRenderedPageBreak/>
        <w:t>S 2.1. Design of soil displacement measurement</w:t>
      </w:r>
    </w:p>
    <w:p w:rsidR="00BB054A" w:rsidRPr="006D6DA3" w:rsidRDefault="00BB054A" w:rsidP="00CB594A">
      <w:pPr>
        <w:spacing w:beforeLines="50" w:before="156" w:afterLines="50" w:after="156" w:line="360" w:lineRule="auto"/>
        <w:rPr>
          <w:sz w:val="22"/>
        </w:rPr>
      </w:pPr>
      <w:r w:rsidRPr="006D6DA3">
        <w:rPr>
          <w:sz w:val="22"/>
        </w:rPr>
        <w:t>The specific conditions are as follows: first, in early June 2016, summer maize was planted in the experimental plots with plant spacing of 20 cm and row spacing of 30 cm. Subsequently, winter wheat was sown with plant spacing of 0.6 cm and row spacing of 30 cm in the experimental plots after maize harvest and plots rotation tillage in early Oct</w:t>
      </w:r>
      <w:r>
        <w:rPr>
          <w:sz w:val="22"/>
        </w:rPr>
        <w:t>ober</w:t>
      </w:r>
      <w:r w:rsidRPr="006D6DA3">
        <w:rPr>
          <w:sz w:val="22"/>
        </w:rPr>
        <w:t xml:space="preserve"> of the same year. Finally, after the winter wheat harvest in early Jun</w:t>
      </w:r>
      <w:r>
        <w:rPr>
          <w:rFonts w:hint="eastAsia"/>
          <w:sz w:val="22"/>
        </w:rPr>
        <w:t>e</w:t>
      </w:r>
      <w:r w:rsidRPr="006D6DA3">
        <w:rPr>
          <w:sz w:val="22"/>
        </w:rPr>
        <w:t xml:space="preserve"> 2017, the next maize was grown in the same way as in 2016. </w:t>
      </w:r>
    </w:p>
    <w:p w:rsidR="00BB054A" w:rsidRPr="006D6DA3" w:rsidRDefault="00BB054A" w:rsidP="00FF035E">
      <w:pPr>
        <w:spacing w:beforeLines="50" w:before="156" w:afterLines="50" w:after="156" w:line="480" w:lineRule="auto"/>
        <w:outlineLvl w:val="1"/>
        <w:rPr>
          <w:b/>
          <w:i/>
          <w:sz w:val="24"/>
          <w:szCs w:val="21"/>
        </w:rPr>
      </w:pPr>
      <w:r w:rsidRPr="006D6DA3">
        <w:rPr>
          <w:rFonts w:hint="eastAsia"/>
          <w:b/>
          <w:i/>
          <w:sz w:val="24"/>
          <w:szCs w:val="21"/>
        </w:rPr>
        <w:t>S</w:t>
      </w:r>
      <w:r w:rsidRPr="006D6DA3">
        <w:rPr>
          <w:b/>
          <w:i/>
          <w:sz w:val="24"/>
          <w:szCs w:val="21"/>
        </w:rPr>
        <w:t xml:space="preserve"> 2.2. Measurement of soil-air TGM exchange flux</w:t>
      </w:r>
    </w:p>
    <w:p w:rsidR="00BB054A" w:rsidRPr="006D6DA3" w:rsidRDefault="00BB054A" w:rsidP="00CB594A">
      <w:pPr>
        <w:spacing w:beforeLines="50" w:before="156" w:afterLines="50" w:after="156" w:line="360" w:lineRule="auto"/>
        <w:rPr>
          <w:sz w:val="22"/>
        </w:rPr>
      </w:pPr>
      <w:r w:rsidRPr="006D6DA3">
        <w:rPr>
          <w:kern w:val="0"/>
          <w:sz w:val="22"/>
          <w:lang w:val="en"/>
        </w:rPr>
        <w:t xml:space="preserve">Current international methods for measuring soil-air TGM exchange flux are </w:t>
      </w:r>
      <w:r w:rsidRPr="006D6DA3">
        <w:rPr>
          <w:kern w:val="0"/>
          <w:sz w:val="22"/>
        </w:rPr>
        <w:t xml:space="preserve">dynamic flux chamber </w:t>
      </w:r>
      <w:r w:rsidRPr="006D6DA3">
        <w:rPr>
          <w:kern w:val="0"/>
          <w:sz w:val="22"/>
          <w:lang w:val="en"/>
        </w:rPr>
        <w:t xml:space="preserve">method (DFC) and micrometeorological </w:t>
      </w:r>
      <w:proofErr w:type="gramStart"/>
      <w:r w:rsidRPr="006D6DA3">
        <w:rPr>
          <w:kern w:val="0"/>
          <w:sz w:val="22"/>
          <w:lang w:val="en"/>
        </w:rPr>
        <w:t>method</w:t>
      </w:r>
      <w:r w:rsidRPr="006D6DA3">
        <w:rPr>
          <w:noProof/>
          <w:kern w:val="0"/>
          <w:sz w:val="22"/>
          <w:lang w:val="en"/>
        </w:rPr>
        <w:t>(</w:t>
      </w:r>
      <w:proofErr w:type="gramEnd"/>
      <w:r w:rsidRPr="006D6DA3">
        <w:rPr>
          <w:noProof/>
          <w:kern w:val="0"/>
          <w:sz w:val="22"/>
          <w:lang w:val="en"/>
        </w:rPr>
        <w:t>Feng et al., 2011)</w:t>
      </w:r>
      <w:r w:rsidRPr="006D6DA3">
        <w:rPr>
          <w:kern w:val="0"/>
          <w:sz w:val="22"/>
          <w:lang w:val="en"/>
        </w:rPr>
        <w:t xml:space="preserve">. However, the micrometeorological method is applicable to the large area of uniform underlying surface, and it is required that the atmospheric conditions are constant during the observation </w:t>
      </w:r>
      <w:proofErr w:type="gramStart"/>
      <w:r w:rsidRPr="006D6DA3">
        <w:rPr>
          <w:kern w:val="0"/>
          <w:sz w:val="22"/>
          <w:lang w:val="en"/>
        </w:rPr>
        <w:t>period</w:t>
      </w:r>
      <w:r w:rsidRPr="006D6DA3">
        <w:rPr>
          <w:noProof/>
          <w:kern w:val="0"/>
          <w:sz w:val="22"/>
          <w:lang w:val="en"/>
        </w:rPr>
        <w:t>(</w:t>
      </w:r>
      <w:proofErr w:type="gramEnd"/>
      <w:r w:rsidRPr="006D6DA3">
        <w:rPr>
          <w:noProof/>
          <w:kern w:val="0"/>
          <w:sz w:val="22"/>
          <w:lang w:val="en"/>
        </w:rPr>
        <w:t>Feng et al., 2011)</w:t>
      </w:r>
      <w:r w:rsidRPr="006D6DA3">
        <w:rPr>
          <w:kern w:val="0"/>
          <w:sz w:val="22"/>
          <w:lang w:val="en"/>
        </w:rPr>
        <w:t xml:space="preserve">. So, it is not suitable for the observation with large time spans and large changes in meteorological factors. Moreover, the data measured by the micrometeorological method are mostly soil-air-crop composite TGM fluxes of farmland ecosystems rather than soil-air TGM exchange fluxes. Although the DFC method has some limitations, it has the advantage of simplicity and practicability. The coverage of the </w:t>
      </w:r>
      <w:r w:rsidRPr="006D6DA3">
        <w:rPr>
          <w:kern w:val="0"/>
          <w:sz w:val="22"/>
        </w:rPr>
        <w:t xml:space="preserve">chamber </w:t>
      </w:r>
      <w:r w:rsidRPr="006D6DA3">
        <w:rPr>
          <w:kern w:val="0"/>
          <w:sz w:val="22"/>
          <w:lang w:val="en"/>
        </w:rPr>
        <w:t>is usually less than 1 m</w:t>
      </w:r>
      <w:r w:rsidRPr="006D6DA3">
        <w:rPr>
          <w:kern w:val="0"/>
          <w:sz w:val="22"/>
          <w:vertAlign w:val="superscript"/>
          <w:lang w:val="en"/>
        </w:rPr>
        <w:t>2</w:t>
      </w:r>
      <w:r w:rsidRPr="006D6DA3">
        <w:rPr>
          <w:kern w:val="0"/>
          <w:sz w:val="22"/>
          <w:lang w:val="en"/>
        </w:rPr>
        <w:t>, which is suitable for the observation of soil-air TGM exchange flux under the crop canopy in field plots. The DFC method has been used by many research groups at home and abroad,</w:t>
      </w:r>
      <w:r w:rsidRPr="006D6DA3">
        <w:rPr>
          <w:kern w:val="0"/>
        </w:rPr>
        <w:t xml:space="preserve"> </w:t>
      </w:r>
      <w:r w:rsidRPr="006D6DA3">
        <w:rPr>
          <w:kern w:val="0"/>
          <w:sz w:val="22"/>
          <w:lang w:val="en"/>
        </w:rPr>
        <w:t xml:space="preserve">Such as </w:t>
      </w:r>
      <w:proofErr w:type="spellStart"/>
      <w:r w:rsidRPr="006D6DA3">
        <w:rPr>
          <w:kern w:val="0"/>
          <w:sz w:val="22"/>
          <w:lang w:val="en"/>
        </w:rPr>
        <w:t>Gustin</w:t>
      </w:r>
      <w:proofErr w:type="spellEnd"/>
      <w:r w:rsidRPr="006D6DA3">
        <w:rPr>
          <w:kern w:val="0"/>
          <w:sz w:val="22"/>
          <w:lang w:val="en"/>
        </w:rPr>
        <w:t xml:space="preserve">, Lindberg and Carpi groups in USA </w:t>
      </w:r>
      <w:r w:rsidRPr="006D6DA3">
        <w:rPr>
          <w:noProof/>
          <w:kern w:val="0"/>
          <w:szCs w:val="21"/>
        </w:rPr>
        <w:t>(Briggs et al., 2014; Carpi et al., 2014; Eckley et al., 2011; Eckley et al., 2016; Miller et al., 2011)</w:t>
      </w:r>
      <w:r w:rsidRPr="006D6DA3">
        <w:rPr>
          <w:kern w:val="0"/>
          <w:sz w:val="22"/>
          <w:lang w:val="en"/>
        </w:rPr>
        <w:t xml:space="preserve">, </w:t>
      </w:r>
      <w:proofErr w:type="spellStart"/>
      <w:r w:rsidRPr="006D6DA3">
        <w:rPr>
          <w:kern w:val="0"/>
          <w:sz w:val="22"/>
          <w:lang w:val="en"/>
        </w:rPr>
        <w:t>Poissant</w:t>
      </w:r>
      <w:proofErr w:type="spellEnd"/>
      <w:r w:rsidRPr="006D6DA3">
        <w:rPr>
          <w:kern w:val="0"/>
          <w:sz w:val="22"/>
          <w:lang w:val="en"/>
        </w:rPr>
        <w:t xml:space="preserve">, Schroeder and St. Louis groups in Canada </w:t>
      </w:r>
      <w:r w:rsidRPr="006D6DA3">
        <w:rPr>
          <w:noProof/>
          <w:kern w:val="0"/>
          <w:szCs w:val="21"/>
        </w:rPr>
        <w:t>(Poissant et al., 2004; Schroeder et al., 2005)</w:t>
      </w:r>
      <w:r w:rsidRPr="006D6DA3">
        <w:rPr>
          <w:kern w:val="0"/>
          <w:sz w:val="22"/>
          <w:lang w:val="en"/>
        </w:rPr>
        <w:t xml:space="preserve">, </w:t>
      </w:r>
      <w:proofErr w:type="spellStart"/>
      <w:r w:rsidRPr="006D6DA3">
        <w:rPr>
          <w:kern w:val="0"/>
          <w:sz w:val="22"/>
          <w:lang w:val="en"/>
        </w:rPr>
        <w:t>Ebinghaus</w:t>
      </w:r>
      <w:proofErr w:type="spellEnd"/>
      <w:r w:rsidRPr="006D6DA3">
        <w:rPr>
          <w:kern w:val="0"/>
          <w:sz w:val="22"/>
          <w:lang w:val="en"/>
        </w:rPr>
        <w:t xml:space="preserve">, Ferrara, Horvat and Lindqvist groups in Europe </w:t>
      </w:r>
      <w:r w:rsidRPr="006D6DA3">
        <w:rPr>
          <w:noProof/>
          <w:kern w:val="0"/>
          <w:szCs w:val="21"/>
        </w:rPr>
        <w:t>(Ebinghaus et al., 2011; Eckley et al., 2015; Ferrara et al., 1998; Kock et al., 2005; Xiao et al., 1991)</w:t>
      </w:r>
      <w:r w:rsidRPr="006D6DA3">
        <w:rPr>
          <w:kern w:val="0"/>
          <w:sz w:val="22"/>
          <w:lang w:val="en"/>
        </w:rPr>
        <w:t xml:space="preserve">, Kim group in Korea </w:t>
      </w:r>
      <w:r w:rsidRPr="006D6DA3">
        <w:rPr>
          <w:noProof/>
          <w:kern w:val="0"/>
          <w:szCs w:val="21"/>
        </w:rPr>
        <w:t>(Eckley et al., 2016)</w:t>
      </w:r>
      <w:r w:rsidRPr="006D6DA3">
        <w:rPr>
          <w:kern w:val="0"/>
          <w:sz w:val="22"/>
          <w:lang w:val="en"/>
        </w:rPr>
        <w:t xml:space="preserve">, Feng </w:t>
      </w:r>
      <w:proofErr w:type="spellStart"/>
      <w:r w:rsidRPr="006D6DA3">
        <w:rPr>
          <w:kern w:val="0"/>
          <w:sz w:val="22"/>
          <w:lang w:val="en"/>
        </w:rPr>
        <w:t>Xinbin</w:t>
      </w:r>
      <w:proofErr w:type="spellEnd"/>
      <w:r w:rsidRPr="006D6DA3">
        <w:rPr>
          <w:kern w:val="0"/>
          <w:sz w:val="22"/>
          <w:lang w:val="en"/>
        </w:rPr>
        <w:t xml:space="preserve">, Wang </w:t>
      </w:r>
      <w:proofErr w:type="spellStart"/>
      <w:r w:rsidRPr="006D6DA3">
        <w:rPr>
          <w:kern w:val="0"/>
          <w:sz w:val="22"/>
          <w:lang w:val="en"/>
        </w:rPr>
        <w:t>Dingyong</w:t>
      </w:r>
      <w:proofErr w:type="spellEnd"/>
      <w:r w:rsidRPr="006D6DA3">
        <w:rPr>
          <w:kern w:val="0"/>
          <w:sz w:val="22"/>
          <w:lang w:val="en"/>
        </w:rPr>
        <w:t xml:space="preserve">, </w:t>
      </w:r>
      <w:proofErr w:type="spellStart"/>
      <w:r w:rsidRPr="006D6DA3">
        <w:rPr>
          <w:kern w:val="0"/>
          <w:sz w:val="22"/>
          <w:lang w:val="en"/>
        </w:rPr>
        <w:t>Duan</w:t>
      </w:r>
      <w:proofErr w:type="spellEnd"/>
      <w:r w:rsidRPr="006D6DA3">
        <w:rPr>
          <w:kern w:val="0"/>
          <w:sz w:val="22"/>
          <w:lang w:val="en"/>
        </w:rPr>
        <w:t xml:space="preserve"> Lei</w:t>
      </w:r>
      <w:r w:rsidRPr="006D6DA3">
        <w:rPr>
          <w:rFonts w:hint="eastAsia"/>
          <w:kern w:val="0"/>
          <w:sz w:val="22"/>
          <w:lang w:val="en"/>
        </w:rPr>
        <w:t>，</w:t>
      </w:r>
      <w:r w:rsidRPr="006D6DA3">
        <w:rPr>
          <w:kern w:val="0"/>
          <w:sz w:val="22"/>
          <w:lang w:val="en"/>
        </w:rPr>
        <w:t xml:space="preserve"> Zhang Xiaoshan groups </w:t>
      </w:r>
      <w:r w:rsidRPr="006D6DA3">
        <w:rPr>
          <w:noProof/>
          <w:kern w:val="0"/>
          <w:szCs w:val="21"/>
        </w:rPr>
        <w:t>(Du, 2014; Fu et al., 2012; Wang et al., 2016; Zhou et al., 2017)</w:t>
      </w:r>
      <w:r w:rsidRPr="006D6DA3">
        <w:rPr>
          <w:kern w:val="0"/>
          <w:szCs w:val="21"/>
        </w:rPr>
        <w:t xml:space="preserve"> </w:t>
      </w:r>
      <w:r w:rsidRPr="006D6DA3">
        <w:rPr>
          <w:kern w:val="0"/>
          <w:sz w:val="22"/>
          <w:lang w:val="en"/>
        </w:rPr>
        <w:t xml:space="preserve">and so on, to measure the TGM exchange flux between the various surface interface of terrestrial ecosystems and the atmosphere. Moreover, it is different from other terrestrial ecosystems that farmland soil is mixed more evenly in topsoil layer due to long-term and frequent cultivation. </w:t>
      </w:r>
      <w:r w:rsidRPr="006D6DA3">
        <w:rPr>
          <w:kern w:val="0"/>
          <w:sz w:val="22"/>
          <w:lang w:val="en"/>
        </w:rPr>
        <w:lastRenderedPageBreak/>
        <w:t>The measured data of DFC method are more representative and reliable than other terrestrial ecosystems. Due to limited field test conditions, the automatic mercury measurement system, which requires large amounts of electrical energy, has not been adopted. In addition, although the automatic sampling system can improve the time resolution of observation, it is necessary to measure the soil-air TGM exchange rate of the five test plots in turn, which makes the observation data in different plots have a certain time difference and may reduce the comparability of the data.</w:t>
      </w:r>
    </w:p>
    <w:p w:rsidR="00BB054A" w:rsidRPr="006D6DA3" w:rsidRDefault="00BB054A" w:rsidP="00CB594A">
      <w:pPr>
        <w:spacing w:beforeLines="50" w:before="156" w:afterLines="50" w:after="156" w:line="360" w:lineRule="auto"/>
        <w:rPr>
          <w:kern w:val="0"/>
          <w:sz w:val="22"/>
          <w:lang w:val="en"/>
        </w:rPr>
      </w:pPr>
      <w:r w:rsidRPr="006D6DA3">
        <w:rPr>
          <w:sz w:val="22"/>
        </w:rPr>
        <w:t>This study was carried out between Aug</w:t>
      </w:r>
      <w:r w:rsidRPr="006D6DA3">
        <w:rPr>
          <w:rFonts w:hint="eastAsia"/>
          <w:sz w:val="22"/>
        </w:rPr>
        <w:t>u</w:t>
      </w:r>
      <w:r w:rsidRPr="006D6DA3">
        <w:rPr>
          <w:sz w:val="22"/>
        </w:rPr>
        <w:t>st and next July from 2016 to 2017, lasting 225 days. Measurements of soil-air TGM flux and meteorological parameters started at early August, 2016. Subsequently, after the maize harvested and the plots plough, the measurement of TGM flux during winter wheat lasted from October 10 to Jun</w:t>
      </w:r>
      <w:r w:rsidRPr="006D6DA3">
        <w:rPr>
          <w:rFonts w:hint="eastAsia"/>
          <w:sz w:val="22"/>
        </w:rPr>
        <w:t>e</w:t>
      </w:r>
      <w:r w:rsidRPr="006D6DA3">
        <w:rPr>
          <w:sz w:val="22"/>
        </w:rPr>
        <w:t xml:space="preserve"> 10 in the following year. After the harvest of winter wheat, an experiment was added to observe the TGM exchange flux during seeding season of the maize until July 10, 2017.</w:t>
      </w:r>
    </w:p>
    <w:p w:rsidR="00BB054A" w:rsidRPr="006D6DA3" w:rsidRDefault="00BB054A" w:rsidP="00CB594A">
      <w:pPr>
        <w:spacing w:beforeLines="50" w:before="156" w:afterLines="50" w:after="156" w:line="360" w:lineRule="auto"/>
        <w:rPr>
          <w:kern w:val="0"/>
          <w:sz w:val="22"/>
          <w:lang w:val="en"/>
        </w:rPr>
      </w:pPr>
      <w:r w:rsidRPr="006D6DA3">
        <w:rPr>
          <w:kern w:val="0"/>
          <w:sz w:val="22"/>
          <w:lang w:val="en"/>
        </w:rPr>
        <w:t xml:space="preserve">The summer maize growth period was divided into five stages: </w:t>
      </w:r>
      <w:bookmarkStart w:id="16" w:name="_Hlk9241996"/>
      <w:r w:rsidRPr="006D6DA3">
        <w:rPr>
          <w:kern w:val="0"/>
          <w:sz w:val="22"/>
          <w:lang w:val="en"/>
        </w:rPr>
        <w:t>tillage-sowing</w:t>
      </w:r>
      <w:bookmarkEnd w:id="16"/>
      <w:r w:rsidRPr="006D6DA3">
        <w:rPr>
          <w:kern w:val="0"/>
          <w:sz w:val="22"/>
          <w:lang w:val="en"/>
        </w:rPr>
        <w:t xml:space="preserve"> (Jun</w:t>
      </w:r>
      <w:r w:rsidRPr="006D6DA3">
        <w:rPr>
          <w:rFonts w:hint="eastAsia"/>
          <w:kern w:val="0"/>
          <w:sz w:val="22"/>
          <w:lang w:val="en"/>
        </w:rPr>
        <w:t>e</w:t>
      </w:r>
      <w:r w:rsidRPr="006D6DA3">
        <w:rPr>
          <w:kern w:val="0"/>
          <w:sz w:val="22"/>
          <w:lang w:val="en"/>
        </w:rPr>
        <w:t xml:space="preserve"> 11~20, 2017), seed</w:t>
      </w:r>
      <w:r w:rsidRPr="006D6DA3">
        <w:rPr>
          <w:rFonts w:hint="eastAsia"/>
          <w:kern w:val="0"/>
          <w:sz w:val="22"/>
          <w:lang w:val="en"/>
        </w:rPr>
        <w:t>l</w:t>
      </w:r>
      <w:r w:rsidRPr="006D6DA3">
        <w:rPr>
          <w:kern w:val="0"/>
          <w:sz w:val="22"/>
          <w:lang w:val="en"/>
        </w:rPr>
        <w:t xml:space="preserve">ing (June 21~28, 2017), early jointing (June 29~July 10, 2017), jointing-heading (August 6~31, 2016) and milky-maturity (September 1~30, 2016); and the wheat growth period was consisted of six stages: tillage-sowing (October 1~13, 2016), seedling (October 14~November 5, 2016), overwintering (January 4~19, 2017), regreening (March 14~31, 2017), jointing(April 1~30, 2017) and heading-milky (May 1~June 10, 2017), basically modular in month </w:t>
      </w:r>
      <w:r w:rsidRPr="006D6DA3">
        <w:rPr>
          <w:noProof/>
          <w:kern w:val="0"/>
          <w:sz w:val="22"/>
          <w:lang w:val="en"/>
        </w:rPr>
        <w:t>(Fan et al., 2016; Ihsan et al., 2016; Luo et al., 2017)</w:t>
      </w:r>
      <w:r w:rsidRPr="006D6DA3">
        <w:rPr>
          <w:kern w:val="0"/>
          <w:sz w:val="22"/>
          <w:lang w:val="en"/>
        </w:rPr>
        <w:t xml:space="preserve">. The flux data coverage was 81 % of maize growth and 58 % of wheat season. The reasons for the gaps mainly resulted from the operation time of </w:t>
      </w:r>
      <w:r w:rsidRPr="006D6DA3">
        <w:rPr>
          <w:sz w:val="22"/>
        </w:rPr>
        <w:t>Luancheng station-CAS,</w:t>
      </w:r>
      <w:r w:rsidRPr="006D6DA3">
        <w:rPr>
          <w:kern w:val="0"/>
          <w:sz w:val="22"/>
          <w:lang w:val="en"/>
        </w:rPr>
        <w:t xml:space="preserve"> calibration, reference and power failures. In addition, the gaps in wheat period was concentrated in winter (late November, December and February), when vegetative growth extremely slowed and changes in environmental factors were not significant due to the harshness of the climate. Therefore, the observation period could well represent the duration of a full year period.</w:t>
      </w:r>
    </w:p>
    <w:p w:rsidR="00BB054A" w:rsidRPr="006D6DA3" w:rsidRDefault="00BB054A" w:rsidP="00CB594A">
      <w:pPr>
        <w:spacing w:beforeLines="50" w:before="156" w:afterLines="50" w:after="156" w:line="360" w:lineRule="auto"/>
        <w:rPr>
          <w:kern w:val="0"/>
          <w:sz w:val="22"/>
          <w:lang w:val="en"/>
        </w:rPr>
      </w:pPr>
      <w:r w:rsidRPr="006D6DA3">
        <w:rPr>
          <w:kern w:val="0"/>
          <w:sz w:val="22"/>
          <w:lang w:val="en"/>
        </w:rPr>
        <w:t>Our semi-cylindrical and quartz chamber was 10 cm high and 30 cm long with a footprint of 0.06 m</w:t>
      </w:r>
      <w:r w:rsidRPr="006D6DA3">
        <w:rPr>
          <w:kern w:val="0"/>
          <w:sz w:val="22"/>
          <w:vertAlign w:val="superscript"/>
          <w:lang w:val="en"/>
        </w:rPr>
        <w:t xml:space="preserve">2 </w:t>
      </w:r>
      <w:r w:rsidRPr="006D6DA3">
        <w:rPr>
          <w:kern w:val="0"/>
          <w:sz w:val="22"/>
          <w:lang w:val="en"/>
        </w:rPr>
        <w:t>(0.2m*0.3m)</w:t>
      </w:r>
      <w:r w:rsidRPr="006D6DA3">
        <w:rPr>
          <w:sz w:val="22"/>
        </w:rPr>
        <w:t xml:space="preserve"> </w:t>
      </w:r>
      <w:r w:rsidRPr="006D6DA3">
        <w:rPr>
          <w:kern w:val="0"/>
          <w:sz w:val="22"/>
          <w:lang w:val="en"/>
        </w:rPr>
        <w:t xml:space="preserve">and an internal volume of 4.71 L. In this observation, we used sets of improved DFCs to measure the </w:t>
      </w:r>
      <w:r w:rsidRPr="006D6DA3">
        <w:rPr>
          <w:i/>
          <w:kern w:val="0"/>
          <w:sz w:val="22"/>
          <w:lang w:val="en"/>
        </w:rPr>
        <w:t>C</w:t>
      </w:r>
      <w:r w:rsidRPr="006D6DA3">
        <w:rPr>
          <w:kern w:val="0"/>
          <w:sz w:val="22"/>
          <w:vertAlign w:val="subscript"/>
          <w:lang w:val="en"/>
        </w:rPr>
        <w:t>O</w:t>
      </w:r>
      <w:r w:rsidRPr="006D6DA3">
        <w:rPr>
          <w:kern w:val="0"/>
          <w:sz w:val="22"/>
          <w:lang w:val="en"/>
        </w:rPr>
        <w:t xml:space="preserve"> and </w:t>
      </w:r>
      <w:r w:rsidRPr="006D6DA3">
        <w:rPr>
          <w:i/>
          <w:kern w:val="0"/>
          <w:sz w:val="22"/>
          <w:lang w:val="en"/>
        </w:rPr>
        <w:t>C</w:t>
      </w:r>
      <w:r w:rsidRPr="006D6DA3">
        <w:rPr>
          <w:kern w:val="0"/>
          <w:sz w:val="22"/>
          <w:vertAlign w:val="subscript"/>
          <w:lang w:val="en"/>
        </w:rPr>
        <w:t>i</w:t>
      </w:r>
      <w:r w:rsidRPr="006D6DA3">
        <w:rPr>
          <w:kern w:val="0"/>
          <w:sz w:val="22"/>
          <w:lang w:val="en"/>
        </w:rPr>
        <w:t xml:space="preserve">: one chamber was open-bottom to measure </w:t>
      </w:r>
      <w:r w:rsidRPr="006D6DA3">
        <w:rPr>
          <w:i/>
          <w:kern w:val="0"/>
          <w:sz w:val="22"/>
          <w:lang w:val="en"/>
        </w:rPr>
        <w:t>C</w:t>
      </w:r>
      <w:r w:rsidRPr="006D6DA3">
        <w:rPr>
          <w:kern w:val="0"/>
          <w:sz w:val="22"/>
          <w:vertAlign w:val="subscript"/>
          <w:lang w:val="en"/>
        </w:rPr>
        <w:t>O</w:t>
      </w:r>
      <w:r w:rsidRPr="006D6DA3">
        <w:rPr>
          <w:kern w:val="0"/>
          <w:sz w:val="22"/>
          <w:lang w:val="en"/>
        </w:rPr>
        <w:t xml:space="preserve">, and </w:t>
      </w:r>
      <w:r w:rsidRPr="006D6DA3">
        <w:rPr>
          <w:kern w:val="0"/>
          <w:sz w:val="22"/>
          <w:lang w:val="en"/>
        </w:rPr>
        <w:lastRenderedPageBreak/>
        <w:t xml:space="preserve">the other one was close-bottom by quartz plate to measure </w:t>
      </w:r>
      <w:r w:rsidRPr="006D6DA3">
        <w:rPr>
          <w:i/>
          <w:kern w:val="0"/>
          <w:sz w:val="22"/>
          <w:lang w:val="en"/>
        </w:rPr>
        <w:t>C</w:t>
      </w:r>
      <w:r w:rsidRPr="006D6DA3">
        <w:rPr>
          <w:kern w:val="0"/>
          <w:sz w:val="22"/>
          <w:vertAlign w:val="subscript"/>
          <w:lang w:val="en"/>
        </w:rPr>
        <w:t>i</w:t>
      </w:r>
      <w:r w:rsidRPr="006D6DA3">
        <w:rPr>
          <w:kern w:val="0"/>
          <w:sz w:val="22"/>
          <w:lang w:val="en"/>
        </w:rPr>
        <w:t xml:space="preserve">. Both of DFCs were placed </w:t>
      </w:r>
      <w:r w:rsidRPr="006D6DA3">
        <w:rPr>
          <w:sz w:val="22"/>
        </w:rPr>
        <w:t>under the canopy in the test plots</w:t>
      </w:r>
      <w:r w:rsidRPr="006D6DA3">
        <w:rPr>
          <w:kern w:val="0"/>
          <w:sz w:val="22"/>
          <w:lang w:val="en"/>
        </w:rPr>
        <w:t xml:space="preserve"> under the normally growing crop canopy, and the sample soil was used to seal the open-bottom of the flux box in contact with the soil surface. A </w:t>
      </w:r>
      <w:r w:rsidRPr="006D6DA3">
        <w:rPr>
          <w:kern w:val="0"/>
          <w:sz w:val="22"/>
        </w:rPr>
        <w:t>gold cartridge</w:t>
      </w:r>
      <w:r w:rsidRPr="006D6DA3">
        <w:rPr>
          <w:kern w:val="0"/>
          <w:sz w:val="22"/>
          <w:lang w:val="en"/>
        </w:rPr>
        <w:t xml:space="preserve"> was connected to the outlet of the chamber to trap Hg at a sample flow rate of 0.036 m</w:t>
      </w:r>
      <w:r w:rsidRPr="006D6DA3">
        <w:rPr>
          <w:kern w:val="0"/>
          <w:sz w:val="22"/>
          <w:vertAlign w:val="superscript"/>
          <w:lang w:val="en"/>
        </w:rPr>
        <w:t>3</w:t>
      </w:r>
      <w:r w:rsidRPr="006D6DA3">
        <w:rPr>
          <w:kern w:val="0"/>
          <w:sz w:val="22"/>
          <w:lang w:val="en"/>
        </w:rPr>
        <w:t xml:space="preserve"> h</w:t>
      </w:r>
      <w:r w:rsidRPr="006D6DA3">
        <w:rPr>
          <w:kern w:val="0"/>
          <w:sz w:val="22"/>
          <w:vertAlign w:val="superscript"/>
          <w:lang w:val="en"/>
        </w:rPr>
        <w:t>-1</w:t>
      </w:r>
      <w:r w:rsidRPr="006D6DA3">
        <w:rPr>
          <w:kern w:val="0"/>
          <w:sz w:val="22"/>
          <w:lang w:val="en"/>
        </w:rPr>
        <w:t xml:space="preserve">. </w:t>
      </w:r>
      <w:bookmarkStart w:id="17" w:name="_Hlk500162575"/>
      <w:r w:rsidRPr="006D6DA3">
        <w:rPr>
          <w:kern w:val="0"/>
          <w:sz w:val="22"/>
          <w:lang w:val="en"/>
        </w:rPr>
        <w:t xml:space="preserve">A soda lime drying tube made by Teflon was placed to remove moisture from the air and supplely filter large particles in the air. The soda lime was placed before every gold </w:t>
      </w:r>
      <w:r w:rsidRPr="006D6DA3">
        <w:rPr>
          <w:sz w:val="22"/>
        </w:rPr>
        <w:t>cartridge</w:t>
      </w:r>
      <w:r w:rsidRPr="006D6DA3">
        <w:rPr>
          <w:kern w:val="0"/>
          <w:sz w:val="22"/>
          <w:lang w:val="en"/>
        </w:rPr>
        <w:t>.</w:t>
      </w:r>
      <w:bookmarkEnd w:id="17"/>
      <w:r w:rsidRPr="006D6DA3">
        <w:rPr>
          <w:kern w:val="0"/>
          <w:sz w:val="22"/>
          <w:lang w:val="en"/>
        </w:rPr>
        <w:t xml:space="preserve"> </w:t>
      </w:r>
    </w:p>
    <w:p w:rsidR="00BB054A" w:rsidRPr="006D6DA3" w:rsidRDefault="00BB054A" w:rsidP="00CB594A">
      <w:pPr>
        <w:spacing w:beforeLines="50" w:before="156" w:afterLines="50" w:after="156" w:line="360" w:lineRule="auto"/>
        <w:rPr>
          <w:kern w:val="0"/>
          <w:sz w:val="22"/>
          <w:lang w:val="en"/>
        </w:rPr>
      </w:pPr>
      <w:r w:rsidRPr="006D6DA3">
        <w:rPr>
          <w:sz w:val="22"/>
        </w:rPr>
        <w:t xml:space="preserve">Several measures were taken to maintain high standard measurements. </w:t>
      </w:r>
      <w:r w:rsidRPr="006D6DA3">
        <w:rPr>
          <w:kern w:val="0"/>
          <w:sz w:val="22"/>
          <w:lang w:val="en"/>
        </w:rPr>
        <w:t xml:space="preserve">Quartz glass has many advantages as a construction material used in chambers for the determination of surface-air TGM flux measurement in both background and enrich soils </w:t>
      </w:r>
      <w:r w:rsidRPr="006D6DA3">
        <w:rPr>
          <w:noProof/>
          <w:kern w:val="0"/>
          <w:sz w:val="22"/>
          <w:lang w:val="en"/>
        </w:rPr>
        <w:t>(Ci et al., 2016a)</w:t>
      </w:r>
      <w:r w:rsidRPr="006D6DA3">
        <w:rPr>
          <w:kern w:val="0"/>
          <w:sz w:val="22"/>
          <w:lang w:val="en"/>
        </w:rPr>
        <w:t xml:space="preserve">. </w:t>
      </w:r>
      <w:r w:rsidRPr="006D6DA3">
        <w:rPr>
          <w:sz w:val="22"/>
        </w:rPr>
        <w:t>In this study</w:t>
      </w:r>
      <w:r w:rsidRPr="006D6DA3">
        <w:rPr>
          <w:sz w:val="22"/>
        </w:rPr>
        <w:t>，</w:t>
      </w:r>
      <w:r w:rsidRPr="006D6DA3">
        <w:rPr>
          <w:sz w:val="22"/>
        </w:rPr>
        <w:t>e</w:t>
      </w:r>
      <w:r w:rsidRPr="006D6DA3">
        <w:rPr>
          <w:kern w:val="0"/>
          <w:sz w:val="22"/>
          <w:lang w:val="en"/>
        </w:rPr>
        <w:t xml:space="preserve">very DFC was heated at 650 ℃ lasting more than 12 hours before the experiment. During the sampling process, the DFCs were cleaned once every week with ultrapure water and cleaned once more after each precipitation. All of the pipelines used to connect the DFCs, the </w:t>
      </w:r>
      <w:r w:rsidRPr="006D6DA3">
        <w:rPr>
          <w:kern w:val="0"/>
          <w:sz w:val="22"/>
        </w:rPr>
        <w:t>gold cartridges</w:t>
      </w:r>
      <w:r w:rsidRPr="006D6DA3">
        <w:rPr>
          <w:kern w:val="0"/>
          <w:sz w:val="22"/>
          <w:lang w:val="en"/>
        </w:rPr>
        <w:t>, soda lime trap and integrating flow meters were made of Teflon. As a result, the blank flux values of the system were found to be very low (mean SD: 0.01~0.02 ng m</w:t>
      </w:r>
      <w:r w:rsidRPr="006D6DA3">
        <w:rPr>
          <w:kern w:val="0"/>
          <w:sz w:val="22"/>
          <w:vertAlign w:val="superscript"/>
          <w:lang w:val="en"/>
        </w:rPr>
        <w:t>-2</w:t>
      </w:r>
      <w:r w:rsidRPr="006D6DA3">
        <w:rPr>
          <w:kern w:val="0"/>
          <w:sz w:val="22"/>
          <w:lang w:val="en"/>
        </w:rPr>
        <w:t xml:space="preserve"> h</w:t>
      </w:r>
      <w:r w:rsidRPr="006D6DA3">
        <w:rPr>
          <w:kern w:val="0"/>
          <w:sz w:val="22"/>
          <w:vertAlign w:val="superscript"/>
          <w:lang w:val="en"/>
        </w:rPr>
        <w:t>-1</w:t>
      </w:r>
      <w:r w:rsidRPr="006D6DA3">
        <w:rPr>
          <w:kern w:val="0"/>
          <w:sz w:val="22"/>
          <w:lang w:val="en"/>
        </w:rPr>
        <w:t xml:space="preserve">) and were not significantly different throughout the entire study </w:t>
      </w:r>
      <w:r w:rsidRPr="006D6DA3">
        <w:rPr>
          <w:kern w:val="0"/>
          <w:sz w:val="22"/>
        </w:rPr>
        <w:t>period</w:t>
      </w:r>
      <w:r w:rsidRPr="006D6DA3">
        <w:rPr>
          <w:kern w:val="0"/>
          <w:sz w:val="22"/>
          <w:lang w:val="en"/>
        </w:rPr>
        <w:t xml:space="preserve">. In addition, the difference could be ignored during calculating by using Eq. (1) in respect of using the open-bottom and close-bottom DFCs. Moreover, the DFCs were moved to another part of the test plot every day, in order to minimize the impact on soil physical and chemical properties. </w:t>
      </w:r>
    </w:p>
    <w:p w:rsidR="00BB054A" w:rsidRPr="006D6DA3" w:rsidRDefault="00BB054A" w:rsidP="00CB594A">
      <w:pPr>
        <w:spacing w:beforeLines="50" w:before="156" w:afterLines="50" w:after="156" w:line="360" w:lineRule="auto"/>
        <w:rPr>
          <w:kern w:val="0"/>
          <w:sz w:val="22"/>
          <w:lang w:val="en"/>
        </w:rPr>
      </w:pPr>
      <w:r w:rsidRPr="006D6DA3">
        <w:rPr>
          <w:kern w:val="0"/>
          <w:sz w:val="22"/>
          <w:lang w:val="en"/>
        </w:rPr>
        <w:t xml:space="preserve">Before and after the experiment, the collection efficiency, and parallelism of </w:t>
      </w:r>
      <w:r w:rsidRPr="006D6DA3">
        <w:rPr>
          <w:sz w:val="22"/>
        </w:rPr>
        <w:t>gold cartridges</w:t>
      </w:r>
      <w:r w:rsidRPr="006D6DA3">
        <w:rPr>
          <w:kern w:val="0"/>
          <w:sz w:val="22"/>
          <w:lang w:val="en"/>
        </w:rPr>
        <w:t xml:space="preserve"> were measured. The collection efficiency of </w:t>
      </w:r>
      <w:r w:rsidRPr="006D6DA3">
        <w:rPr>
          <w:kern w:val="0"/>
          <w:sz w:val="22"/>
        </w:rPr>
        <w:t>gold cartridges</w:t>
      </w:r>
      <w:r w:rsidRPr="006D6DA3" w:rsidDel="007035A0">
        <w:rPr>
          <w:kern w:val="0"/>
          <w:sz w:val="22"/>
          <w:lang w:val="en"/>
        </w:rPr>
        <w:t xml:space="preserve"> </w:t>
      </w:r>
      <w:r w:rsidRPr="006D6DA3">
        <w:rPr>
          <w:kern w:val="0"/>
          <w:sz w:val="22"/>
          <w:lang w:val="en"/>
        </w:rPr>
        <w:t xml:space="preserve">was determined by multiple measurements using gold </w:t>
      </w:r>
      <w:r w:rsidRPr="006D6DA3">
        <w:rPr>
          <w:sz w:val="22"/>
        </w:rPr>
        <w:t>cartridges</w:t>
      </w:r>
      <w:r w:rsidRPr="006D6DA3">
        <w:rPr>
          <w:kern w:val="0"/>
          <w:sz w:val="22"/>
          <w:lang w:val="en"/>
        </w:rPr>
        <w:t xml:space="preserve"> in series in laboratory at a range of 1.0 to 30.0 ng m</w:t>
      </w:r>
      <w:r w:rsidRPr="006D6DA3">
        <w:rPr>
          <w:kern w:val="0"/>
          <w:sz w:val="22"/>
          <w:vertAlign w:val="superscript"/>
          <w:lang w:val="en"/>
        </w:rPr>
        <w:t>-3</w:t>
      </w:r>
      <w:r w:rsidRPr="006D6DA3">
        <w:rPr>
          <w:kern w:val="0"/>
          <w:sz w:val="22"/>
          <w:lang w:val="en"/>
        </w:rPr>
        <w:t xml:space="preserve"> of Hg concentration, the results showed that no breakthrough at the sample flow rate of 0.036 m</w:t>
      </w:r>
      <w:r w:rsidRPr="006D6DA3">
        <w:rPr>
          <w:kern w:val="0"/>
          <w:sz w:val="22"/>
          <w:vertAlign w:val="superscript"/>
          <w:lang w:val="en"/>
        </w:rPr>
        <w:t>-3</w:t>
      </w:r>
      <w:r w:rsidRPr="006D6DA3">
        <w:rPr>
          <w:kern w:val="0"/>
          <w:sz w:val="22"/>
          <w:lang w:val="en"/>
        </w:rPr>
        <w:t xml:space="preserve"> h</w:t>
      </w:r>
      <w:r w:rsidRPr="006D6DA3">
        <w:rPr>
          <w:kern w:val="0"/>
          <w:sz w:val="22"/>
          <w:vertAlign w:val="superscript"/>
          <w:lang w:val="en"/>
        </w:rPr>
        <w:t>-1</w:t>
      </w:r>
      <w:r w:rsidRPr="006D6DA3">
        <w:rPr>
          <w:kern w:val="0"/>
          <w:sz w:val="22"/>
          <w:lang w:val="en"/>
        </w:rPr>
        <w:t xml:space="preserve"> for 12 hours. And the recovery efficiency was between 97.8~102.3 %. It is stated that the </w:t>
      </w:r>
      <w:r w:rsidRPr="006D6DA3">
        <w:rPr>
          <w:kern w:val="0"/>
          <w:sz w:val="22"/>
        </w:rPr>
        <w:t>gold cartridges</w:t>
      </w:r>
      <w:r w:rsidRPr="006D6DA3">
        <w:rPr>
          <w:kern w:val="0"/>
          <w:sz w:val="22"/>
          <w:lang w:val="en"/>
        </w:rPr>
        <w:t xml:space="preserve"> used in this test met the test requirements. </w:t>
      </w:r>
      <w:r w:rsidRPr="006D6DA3">
        <w:rPr>
          <w:sz w:val="22"/>
        </w:rPr>
        <w:t xml:space="preserve">All the gold traps were tested by CVAFS detector (Brooks Rand III, US EPA, Method 1631, 1999) for mercury quantiﬁcation, using dual gold trap amalgamation procedure after every sampling </w:t>
      </w:r>
      <w:r w:rsidRPr="006D6DA3">
        <w:rPr>
          <w:noProof/>
          <w:sz w:val="22"/>
        </w:rPr>
        <w:t>(Ci et al., 2011; Ci et al., 2016b)</w:t>
      </w:r>
      <w:r w:rsidRPr="006D6DA3">
        <w:rPr>
          <w:sz w:val="22"/>
        </w:rPr>
        <w:t>. The method detection limit was 0.03 ng m</w:t>
      </w:r>
      <w:r w:rsidRPr="006D6DA3">
        <w:rPr>
          <w:sz w:val="22"/>
          <w:vertAlign w:val="superscript"/>
        </w:rPr>
        <w:t>-3</w:t>
      </w:r>
      <w:r w:rsidRPr="006D6DA3">
        <w:rPr>
          <w:sz w:val="22"/>
        </w:rPr>
        <w:t xml:space="preserve"> and the precision was 3 ± 2 %. </w:t>
      </w:r>
      <w:r w:rsidRPr="006D6DA3">
        <w:rPr>
          <w:kern w:val="0"/>
          <w:sz w:val="22"/>
          <w:lang w:val="en"/>
        </w:rPr>
        <w:t>And the soda lime drying tubes were purified by Hg-free high purity argon gas for an hour before use.</w:t>
      </w:r>
    </w:p>
    <w:p w:rsidR="00BB054A" w:rsidRPr="006D6DA3" w:rsidRDefault="00BB054A" w:rsidP="00C7627C">
      <w:pPr>
        <w:widowControl/>
        <w:jc w:val="left"/>
        <w:outlineLvl w:val="0"/>
        <w:rPr>
          <w:kern w:val="0"/>
          <w:sz w:val="24"/>
          <w:szCs w:val="24"/>
          <w:lang w:val="en"/>
        </w:rPr>
      </w:pPr>
      <w:r w:rsidRPr="006D6DA3">
        <w:rPr>
          <w:kern w:val="0"/>
          <w:sz w:val="24"/>
          <w:szCs w:val="24"/>
          <w:lang w:val="en"/>
        </w:rPr>
        <w:br w:type="page"/>
      </w:r>
    </w:p>
    <w:p w:rsidR="00BB054A" w:rsidRPr="006D6DA3" w:rsidRDefault="00BB054A" w:rsidP="00F92AF9">
      <w:pPr>
        <w:spacing w:beforeLines="50" w:before="156" w:afterLines="50" w:after="156" w:line="360" w:lineRule="auto"/>
        <w:jc w:val="left"/>
        <w:outlineLvl w:val="1"/>
        <w:rPr>
          <w:b/>
          <w:kern w:val="0"/>
          <w:sz w:val="24"/>
          <w:szCs w:val="24"/>
          <w:lang w:val="en"/>
        </w:rPr>
      </w:pPr>
      <w:r w:rsidRPr="006D6DA3">
        <w:rPr>
          <w:rFonts w:hint="eastAsia"/>
          <w:b/>
          <w:kern w:val="0"/>
          <w:sz w:val="24"/>
          <w:szCs w:val="24"/>
          <w:lang w:val="en"/>
        </w:rPr>
        <w:lastRenderedPageBreak/>
        <w:t>Table</w:t>
      </w:r>
      <w:r w:rsidRPr="006D6DA3">
        <w:rPr>
          <w:b/>
          <w:kern w:val="0"/>
          <w:sz w:val="24"/>
          <w:szCs w:val="24"/>
          <w:lang w:val="en"/>
        </w:rPr>
        <w:t xml:space="preserve"> S</w:t>
      </w:r>
      <w:r w:rsidRPr="006D6DA3">
        <w:rPr>
          <w:rFonts w:hint="eastAsia"/>
          <w:b/>
          <w:kern w:val="0"/>
          <w:sz w:val="24"/>
          <w:szCs w:val="24"/>
          <w:lang w:val="en"/>
        </w:rPr>
        <w:t xml:space="preserve"> captions</w:t>
      </w:r>
    </w:p>
    <w:p w:rsidR="00BB054A" w:rsidRPr="006D6DA3" w:rsidRDefault="00BB054A" w:rsidP="00395198">
      <w:pPr>
        <w:widowControl/>
        <w:jc w:val="left"/>
        <w:rPr>
          <w:b/>
          <w:kern w:val="0"/>
          <w:sz w:val="22"/>
          <w:lang w:val="en"/>
        </w:rPr>
      </w:pPr>
      <w:r w:rsidRPr="006D6DA3">
        <w:rPr>
          <w:b/>
          <w:kern w:val="0"/>
          <w:sz w:val="22"/>
          <w:lang w:val="en"/>
        </w:rPr>
        <w:t xml:space="preserve">Table S 1 </w:t>
      </w:r>
    </w:p>
    <w:p w:rsidR="00BB054A" w:rsidRPr="006D6DA3" w:rsidRDefault="00BB054A" w:rsidP="00395198">
      <w:pPr>
        <w:widowControl/>
        <w:jc w:val="left"/>
        <w:rPr>
          <w:kern w:val="0"/>
          <w:sz w:val="22"/>
          <w:lang w:val="en"/>
        </w:rPr>
      </w:pPr>
      <w:r w:rsidRPr="006D6DA3">
        <w:rPr>
          <w:kern w:val="0"/>
          <w:sz w:val="22"/>
          <w:lang w:val="en"/>
        </w:rPr>
        <w:t>Coefficient of correlation between soil-air TGM exchange flux and ambient-air TGM</w:t>
      </w:r>
      <w:r w:rsidRPr="006D6DA3">
        <w:rPr>
          <w:b/>
          <w:kern w:val="0"/>
          <w:sz w:val="22"/>
          <w:lang w:val="en"/>
        </w:rPr>
        <w:t xml:space="preserve"> </w:t>
      </w:r>
      <w:r w:rsidRPr="006D6DA3">
        <w:rPr>
          <w:kern w:val="0"/>
          <w:sz w:val="22"/>
          <w:lang w:val="en"/>
        </w:rPr>
        <w:t>concentration.</w:t>
      </w:r>
    </w:p>
    <w:p w:rsidR="00BB054A" w:rsidRPr="006D6DA3" w:rsidRDefault="00BB054A" w:rsidP="00395198">
      <w:pPr>
        <w:widowControl/>
        <w:jc w:val="left"/>
        <w:rPr>
          <w:sz w:val="22"/>
        </w:rPr>
      </w:pPr>
      <w:r w:rsidRPr="006D6DA3">
        <w:rPr>
          <w:sz w:val="22"/>
        </w:rPr>
        <w:br w:type="page"/>
      </w:r>
    </w:p>
    <w:p w:rsidR="00BB054A" w:rsidRPr="006D6DA3" w:rsidRDefault="00BB054A" w:rsidP="00F92AF9">
      <w:pPr>
        <w:pStyle w:val="a7"/>
        <w:keepNext/>
        <w:rPr>
          <w:rFonts w:ascii="Times New Roman" w:hAnsi="Times New Roman" w:cs="Times New Roman"/>
          <w:b/>
          <w:sz w:val="22"/>
          <w:szCs w:val="22"/>
        </w:rPr>
      </w:pPr>
      <w:r w:rsidRPr="006D6DA3">
        <w:rPr>
          <w:rFonts w:ascii="Times New Roman" w:hAnsi="Times New Roman" w:cs="Times New Roman"/>
          <w:b/>
          <w:sz w:val="22"/>
          <w:szCs w:val="22"/>
        </w:rPr>
        <w:lastRenderedPageBreak/>
        <w:t xml:space="preserve">Table S </w:t>
      </w:r>
      <w:r>
        <w:rPr>
          <w:rFonts w:ascii="Times New Roman" w:hAnsi="Times New Roman" w:cs="Times New Roman"/>
          <w:b/>
          <w:sz w:val="22"/>
          <w:szCs w:val="22"/>
        </w:rPr>
        <w:t>1</w:t>
      </w:r>
      <w:r w:rsidRPr="006D6DA3">
        <w:rPr>
          <w:rFonts w:ascii="Times New Roman" w:hAnsi="Times New Roman" w:cs="Times New Roman"/>
          <w:b/>
          <w:sz w:val="22"/>
          <w:szCs w:val="22"/>
        </w:rPr>
        <w:t xml:space="preserve"> </w:t>
      </w:r>
    </w:p>
    <w:p w:rsidR="00BB054A" w:rsidRPr="006D6DA3" w:rsidRDefault="00BB054A" w:rsidP="0026594F">
      <w:pPr>
        <w:rPr>
          <w:sz w:val="22"/>
        </w:rPr>
      </w:pPr>
      <w:r w:rsidRPr="006D6DA3">
        <w:rPr>
          <w:sz w:val="22"/>
        </w:rPr>
        <w:t>Coefficient of correlation between soil-air TGM exchange flux and ambient-air TGM concentration.</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3261"/>
        <w:gridCol w:w="983"/>
        <w:gridCol w:w="2030"/>
        <w:gridCol w:w="2032"/>
      </w:tblGrid>
      <w:tr w:rsidR="00BB054A" w:rsidRPr="006D6DA3" w:rsidTr="008364A1">
        <w:trPr>
          <w:trHeight w:val="276"/>
          <w:jc w:val="center"/>
        </w:trPr>
        <w:tc>
          <w:tcPr>
            <w:tcW w:w="1963" w:type="pct"/>
            <w:tcBorders>
              <w:top w:val="single" w:sz="12" w:space="0" w:color="auto"/>
              <w:bottom w:val="nil"/>
            </w:tcBorders>
            <w:vAlign w:val="center"/>
          </w:tcPr>
          <w:p w:rsidR="00BB054A" w:rsidRPr="006D6DA3" w:rsidRDefault="00BB054A" w:rsidP="00903FB4">
            <w:pPr>
              <w:widowControl/>
              <w:rPr>
                <w:kern w:val="0"/>
                <w:sz w:val="24"/>
                <w:szCs w:val="24"/>
              </w:rPr>
            </w:pPr>
          </w:p>
        </w:tc>
        <w:tc>
          <w:tcPr>
            <w:tcW w:w="592" w:type="pct"/>
            <w:tcBorders>
              <w:top w:val="single" w:sz="12" w:space="0" w:color="auto"/>
              <w:bottom w:val="nil"/>
            </w:tcBorders>
            <w:shd w:val="clear" w:color="auto" w:fill="auto"/>
            <w:noWrap/>
            <w:vAlign w:val="center"/>
            <w:hideMark/>
          </w:tcPr>
          <w:p w:rsidR="00BB054A" w:rsidRPr="006D6DA3" w:rsidRDefault="00BB054A" w:rsidP="00903FB4">
            <w:pPr>
              <w:widowControl/>
              <w:rPr>
                <w:kern w:val="0"/>
                <w:sz w:val="24"/>
                <w:szCs w:val="24"/>
              </w:rPr>
            </w:pPr>
          </w:p>
        </w:tc>
        <w:tc>
          <w:tcPr>
            <w:tcW w:w="2445" w:type="pct"/>
            <w:gridSpan w:val="2"/>
            <w:tcBorders>
              <w:top w:val="single" w:sz="12" w:space="0" w:color="auto"/>
              <w:bottom w:val="nil"/>
            </w:tcBorders>
            <w:shd w:val="clear" w:color="auto" w:fill="auto"/>
            <w:noWrap/>
            <w:vAlign w:val="center"/>
            <w:hideMark/>
          </w:tcPr>
          <w:p w:rsidR="00BB054A" w:rsidRPr="006D6DA3" w:rsidRDefault="00BB054A" w:rsidP="00903FB4">
            <w:pPr>
              <w:widowControl/>
              <w:rPr>
                <w:rFonts w:eastAsia="等线"/>
                <w:kern w:val="0"/>
                <w:sz w:val="22"/>
              </w:rPr>
            </w:pPr>
            <w:r w:rsidRPr="006D6DA3">
              <w:rPr>
                <w:rFonts w:eastAsia="等线"/>
                <w:kern w:val="0"/>
                <w:sz w:val="22"/>
              </w:rPr>
              <w:t>Ambient-air TGM</w:t>
            </w:r>
          </w:p>
        </w:tc>
      </w:tr>
      <w:tr w:rsidR="00BB054A" w:rsidRPr="006D6DA3" w:rsidTr="008364A1">
        <w:trPr>
          <w:trHeight w:val="276"/>
          <w:jc w:val="center"/>
        </w:trPr>
        <w:tc>
          <w:tcPr>
            <w:tcW w:w="1963" w:type="pct"/>
            <w:tcBorders>
              <w:top w:val="nil"/>
              <w:bottom w:val="single" w:sz="4" w:space="0" w:color="auto"/>
            </w:tcBorders>
            <w:vAlign w:val="center"/>
          </w:tcPr>
          <w:p w:rsidR="00BB054A" w:rsidRPr="006D6DA3" w:rsidRDefault="00BB054A" w:rsidP="00903FB4">
            <w:pPr>
              <w:widowControl/>
              <w:rPr>
                <w:kern w:val="0"/>
                <w:sz w:val="24"/>
                <w:szCs w:val="24"/>
              </w:rPr>
            </w:pPr>
          </w:p>
        </w:tc>
        <w:tc>
          <w:tcPr>
            <w:tcW w:w="592" w:type="pct"/>
            <w:tcBorders>
              <w:top w:val="nil"/>
              <w:bottom w:val="single" w:sz="4" w:space="0" w:color="auto"/>
            </w:tcBorders>
            <w:shd w:val="clear" w:color="auto" w:fill="auto"/>
            <w:noWrap/>
            <w:vAlign w:val="center"/>
          </w:tcPr>
          <w:p w:rsidR="00BB054A" w:rsidRPr="006D6DA3" w:rsidRDefault="00BB054A" w:rsidP="00903FB4">
            <w:pPr>
              <w:widowControl/>
              <w:rPr>
                <w:kern w:val="0"/>
                <w:sz w:val="24"/>
                <w:szCs w:val="24"/>
              </w:rPr>
            </w:pPr>
          </w:p>
        </w:tc>
        <w:tc>
          <w:tcPr>
            <w:tcW w:w="1222" w:type="pct"/>
            <w:tcBorders>
              <w:top w:val="nil"/>
              <w:bottom w:val="single" w:sz="4" w:space="0" w:color="auto"/>
            </w:tcBorders>
            <w:shd w:val="clear" w:color="auto" w:fill="auto"/>
            <w:noWrap/>
            <w:vAlign w:val="center"/>
          </w:tcPr>
          <w:p w:rsidR="00BB054A" w:rsidRPr="006D6DA3" w:rsidRDefault="00BB054A" w:rsidP="00903FB4">
            <w:pPr>
              <w:widowControl/>
              <w:rPr>
                <w:rFonts w:eastAsiaTheme="minorEastAsia"/>
                <w:kern w:val="0"/>
                <w:sz w:val="20"/>
                <w:szCs w:val="20"/>
              </w:rPr>
            </w:pPr>
            <w:r w:rsidRPr="006D6DA3">
              <w:rPr>
                <w:rFonts w:eastAsiaTheme="minorEastAsia" w:hint="eastAsia"/>
                <w:kern w:val="0"/>
                <w:sz w:val="20"/>
                <w:szCs w:val="20"/>
              </w:rPr>
              <w:t>M</w:t>
            </w:r>
            <w:r w:rsidRPr="006D6DA3">
              <w:rPr>
                <w:rFonts w:eastAsiaTheme="minorEastAsia"/>
                <w:kern w:val="0"/>
                <w:sz w:val="20"/>
                <w:szCs w:val="20"/>
              </w:rPr>
              <w:t>aize season</w:t>
            </w:r>
          </w:p>
        </w:tc>
        <w:tc>
          <w:tcPr>
            <w:tcW w:w="1223" w:type="pct"/>
            <w:tcBorders>
              <w:top w:val="nil"/>
              <w:bottom w:val="single" w:sz="4" w:space="0" w:color="auto"/>
            </w:tcBorders>
            <w:shd w:val="clear" w:color="auto" w:fill="auto"/>
            <w:noWrap/>
            <w:vAlign w:val="center"/>
          </w:tcPr>
          <w:p w:rsidR="00BB054A" w:rsidRPr="006D6DA3" w:rsidRDefault="00BB054A" w:rsidP="00903FB4">
            <w:pPr>
              <w:widowControl/>
              <w:rPr>
                <w:rFonts w:eastAsia="等线"/>
                <w:kern w:val="0"/>
                <w:sz w:val="22"/>
              </w:rPr>
            </w:pPr>
            <w:r w:rsidRPr="006D6DA3">
              <w:rPr>
                <w:rFonts w:eastAsia="等线" w:hint="eastAsia"/>
                <w:kern w:val="0"/>
                <w:sz w:val="22"/>
              </w:rPr>
              <w:t>W</w:t>
            </w:r>
            <w:r w:rsidRPr="006D6DA3">
              <w:rPr>
                <w:rFonts w:eastAsia="等线"/>
                <w:kern w:val="0"/>
                <w:sz w:val="22"/>
              </w:rPr>
              <w:t>heat season</w:t>
            </w:r>
          </w:p>
        </w:tc>
      </w:tr>
      <w:tr w:rsidR="00BB054A" w:rsidRPr="006D6DA3" w:rsidTr="008364A1">
        <w:trPr>
          <w:trHeight w:val="276"/>
          <w:jc w:val="center"/>
        </w:trPr>
        <w:tc>
          <w:tcPr>
            <w:tcW w:w="1963" w:type="pct"/>
            <w:vMerge w:val="restart"/>
            <w:tcBorders>
              <w:top w:val="single" w:sz="4" w:space="0" w:color="auto"/>
            </w:tcBorders>
            <w:vAlign w:val="center"/>
          </w:tcPr>
          <w:p w:rsidR="00BB054A" w:rsidRPr="006D6DA3" w:rsidRDefault="00BB054A" w:rsidP="00903FB4">
            <w:pPr>
              <w:widowControl/>
              <w:rPr>
                <w:rFonts w:eastAsia="等线"/>
                <w:kern w:val="0"/>
                <w:sz w:val="22"/>
              </w:rPr>
            </w:pPr>
            <w:r w:rsidRPr="006D6DA3">
              <w:rPr>
                <w:rFonts w:eastAsia="等线" w:hint="eastAsia"/>
                <w:kern w:val="0"/>
                <w:sz w:val="22"/>
              </w:rPr>
              <w:t>S</w:t>
            </w:r>
            <w:r w:rsidRPr="006D6DA3">
              <w:rPr>
                <w:rFonts w:eastAsia="等线"/>
                <w:kern w:val="0"/>
                <w:sz w:val="22"/>
              </w:rPr>
              <w:t>oil-air TGM exchange flux</w:t>
            </w:r>
          </w:p>
        </w:tc>
        <w:tc>
          <w:tcPr>
            <w:tcW w:w="592" w:type="pct"/>
            <w:tcBorders>
              <w:top w:val="single" w:sz="4" w:space="0" w:color="auto"/>
            </w:tcBorders>
            <w:shd w:val="clear" w:color="auto" w:fill="auto"/>
            <w:noWrap/>
            <w:vAlign w:val="center"/>
            <w:hideMark/>
          </w:tcPr>
          <w:p w:rsidR="00BB054A" w:rsidRPr="006D6DA3" w:rsidRDefault="00BB054A" w:rsidP="00903FB4">
            <w:pPr>
              <w:widowControl/>
              <w:rPr>
                <w:rFonts w:eastAsia="等线"/>
                <w:kern w:val="0"/>
                <w:sz w:val="22"/>
              </w:rPr>
            </w:pPr>
            <w:r w:rsidRPr="006D6DA3">
              <w:rPr>
                <w:rFonts w:eastAsia="等线"/>
                <w:kern w:val="0"/>
                <w:sz w:val="22"/>
              </w:rPr>
              <w:t>TY</w:t>
            </w:r>
          </w:p>
        </w:tc>
        <w:tc>
          <w:tcPr>
            <w:tcW w:w="1222" w:type="pct"/>
            <w:tcBorders>
              <w:top w:val="single" w:sz="4" w:space="0" w:color="auto"/>
            </w:tcBorders>
            <w:shd w:val="clear" w:color="auto" w:fill="auto"/>
            <w:noWrap/>
            <w:vAlign w:val="center"/>
            <w:hideMark/>
          </w:tcPr>
          <w:p w:rsidR="00BB054A" w:rsidRPr="006D6DA3" w:rsidRDefault="00BB054A" w:rsidP="00903FB4">
            <w:pPr>
              <w:widowControl/>
              <w:rPr>
                <w:rFonts w:eastAsia="等线"/>
                <w:kern w:val="0"/>
                <w:sz w:val="22"/>
              </w:rPr>
            </w:pPr>
            <w:r w:rsidRPr="006D6DA3">
              <w:rPr>
                <w:rFonts w:eastAsia="等线"/>
                <w:kern w:val="0"/>
                <w:sz w:val="22"/>
              </w:rPr>
              <w:t>-0.24</w:t>
            </w:r>
            <w:r w:rsidRPr="006D6DA3">
              <w:rPr>
                <w:rFonts w:eastAsia="等线"/>
                <w:kern w:val="0"/>
                <w:sz w:val="22"/>
                <w:vertAlign w:val="superscript"/>
              </w:rPr>
              <w:t>**</w:t>
            </w:r>
          </w:p>
        </w:tc>
        <w:tc>
          <w:tcPr>
            <w:tcW w:w="1223" w:type="pct"/>
            <w:tcBorders>
              <w:top w:val="single" w:sz="4" w:space="0" w:color="auto"/>
            </w:tcBorders>
            <w:shd w:val="clear" w:color="auto" w:fill="auto"/>
            <w:noWrap/>
            <w:vAlign w:val="center"/>
            <w:hideMark/>
          </w:tcPr>
          <w:p w:rsidR="00BB054A" w:rsidRPr="006D6DA3" w:rsidRDefault="00BB054A" w:rsidP="00903FB4">
            <w:pPr>
              <w:widowControl/>
              <w:rPr>
                <w:rFonts w:eastAsia="等线"/>
                <w:kern w:val="0"/>
                <w:sz w:val="22"/>
              </w:rPr>
            </w:pPr>
            <w:r w:rsidRPr="006D6DA3">
              <w:rPr>
                <w:rFonts w:eastAsia="等线"/>
                <w:kern w:val="0"/>
                <w:sz w:val="22"/>
              </w:rPr>
              <w:t>-0.89</w:t>
            </w:r>
            <w:r w:rsidRPr="006D6DA3">
              <w:rPr>
                <w:rFonts w:eastAsia="等线"/>
                <w:kern w:val="0"/>
                <w:sz w:val="22"/>
                <w:vertAlign w:val="superscript"/>
              </w:rPr>
              <w:t>**</w:t>
            </w:r>
          </w:p>
        </w:tc>
      </w:tr>
      <w:tr w:rsidR="00BB054A" w:rsidRPr="006D6DA3" w:rsidTr="008364A1">
        <w:trPr>
          <w:trHeight w:val="276"/>
          <w:jc w:val="center"/>
        </w:trPr>
        <w:tc>
          <w:tcPr>
            <w:tcW w:w="1963" w:type="pct"/>
            <w:vMerge/>
            <w:vAlign w:val="center"/>
          </w:tcPr>
          <w:p w:rsidR="00BB054A" w:rsidRPr="006D6DA3" w:rsidRDefault="00BB054A" w:rsidP="00903FB4">
            <w:pPr>
              <w:widowControl/>
              <w:rPr>
                <w:rFonts w:eastAsia="等线"/>
                <w:kern w:val="0"/>
                <w:sz w:val="22"/>
              </w:rPr>
            </w:pPr>
          </w:p>
        </w:tc>
        <w:tc>
          <w:tcPr>
            <w:tcW w:w="592" w:type="pct"/>
            <w:shd w:val="clear" w:color="auto" w:fill="auto"/>
            <w:noWrap/>
            <w:vAlign w:val="center"/>
            <w:hideMark/>
          </w:tcPr>
          <w:p w:rsidR="00BB054A" w:rsidRPr="006D6DA3" w:rsidRDefault="00BB054A" w:rsidP="00903FB4">
            <w:pPr>
              <w:widowControl/>
              <w:rPr>
                <w:rFonts w:eastAsia="等线"/>
                <w:kern w:val="0"/>
                <w:sz w:val="22"/>
              </w:rPr>
            </w:pPr>
            <w:r w:rsidRPr="006D6DA3">
              <w:rPr>
                <w:rFonts w:eastAsia="等线"/>
                <w:kern w:val="0"/>
                <w:sz w:val="22"/>
              </w:rPr>
              <w:t>LC</w:t>
            </w:r>
          </w:p>
        </w:tc>
        <w:tc>
          <w:tcPr>
            <w:tcW w:w="1222" w:type="pct"/>
            <w:shd w:val="clear" w:color="auto" w:fill="auto"/>
            <w:noWrap/>
            <w:vAlign w:val="center"/>
            <w:hideMark/>
          </w:tcPr>
          <w:p w:rsidR="00BB054A" w:rsidRPr="006D6DA3" w:rsidRDefault="00BB054A" w:rsidP="00903FB4">
            <w:pPr>
              <w:widowControl/>
              <w:rPr>
                <w:rFonts w:eastAsia="等线"/>
                <w:kern w:val="0"/>
                <w:sz w:val="22"/>
              </w:rPr>
            </w:pPr>
            <w:r w:rsidRPr="006D6DA3">
              <w:rPr>
                <w:rFonts w:eastAsia="等线"/>
                <w:kern w:val="0"/>
                <w:sz w:val="22"/>
              </w:rPr>
              <w:t>-0.22</w:t>
            </w:r>
            <w:r w:rsidRPr="006D6DA3">
              <w:rPr>
                <w:rFonts w:eastAsia="等线"/>
                <w:kern w:val="0"/>
                <w:sz w:val="22"/>
                <w:vertAlign w:val="superscript"/>
              </w:rPr>
              <w:t>**</w:t>
            </w:r>
          </w:p>
        </w:tc>
        <w:tc>
          <w:tcPr>
            <w:tcW w:w="1223" w:type="pct"/>
            <w:shd w:val="clear" w:color="auto" w:fill="auto"/>
            <w:noWrap/>
            <w:vAlign w:val="center"/>
            <w:hideMark/>
          </w:tcPr>
          <w:p w:rsidR="00BB054A" w:rsidRPr="006D6DA3" w:rsidRDefault="00BB054A" w:rsidP="00903FB4">
            <w:pPr>
              <w:widowControl/>
              <w:rPr>
                <w:rFonts w:eastAsia="等线"/>
                <w:kern w:val="0"/>
                <w:sz w:val="22"/>
              </w:rPr>
            </w:pPr>
            <w:r w:rsidRPr="006D6DA3">
              <w:rPr>
                <w:rFonts w:eastAsia="等线"/>
                <w:kern w:val="0"/>
                <w:sz w:val="22"/>
              </w:rPr>
              <w:t>-0.89</w:t>
            </w:r>
            <w:r w:rsidRPr="006D6DA3">
              <w:rPr>
                <w:rFonts w:eastAsia="等线"/>
                <w:kern w:val="0"/>
                <w:sz w:val="22"/>
                <w:vertAlign w:val="superscript"/>
              </w:rPr>
              <w:t>**</w:t>
            </w:r>
          </w:p>
        </w:tc>
      </w:tr>
      <w:tr w:rsidR="00BB054A" w:rsidRPr="006D6DA3" w:rsidTr="008364A1">
        <w:trPr>
          <w:trHeight w:val="276"/>
          <w:jc w:val="center"/>
        </w:trPr>
        <w:tc>
          <w:tcPr>
            <w:tcW w:w="1963" w:type="pct"/>
            <w:vMerge/>
            <w:vAlign w:val="center"/>
          </w:tcPr>
          <w:p w:rsidR="00BB054A" w:rsidRPr="006D6DA3" w:rsidRDefault="00BB054A" w:rsidP="00903FB4">
            <w:pPr>
              <w:widowControl/>
              <w:rPr>
                <w:rFonts w:eastAsia="等线"/>
                <w:kern w:val="0"/>
                <w:sz w:val="22"/>
              </w:rPr>
            </w:pPr>
          </w:p>
        </w:tc>
        <w:tc>
          <w:tcPr>
            <w:tcW w:w="592" w:type="pct"/>
            <w:shd w:val="clear" w:color="auto" w:fill="auto"/>
            <w:noWrap/>
            <w:vAlign w:val="center"/>
            <w:hideMark/>
          </w:tcPr>
          <w:p w:rsidR="00BB054A" w:rsidRPr="006D6DA3" w:rsidRDefault="00BB054A" w:rsidP="00903FB4">
            <w:pPr>
              <w:widowControl/>
              <w:rPr>
                <w:rFonts w:eastAsia="等线"/>
                <w:kern w:val="0"/>
                <w:sz w:val="22"/>
              </w:rPr>
            </w:pPr>
            <w:r w:rsidRPr="006D6DA3">
              <w:rPr>
                <w:rFonts w:eastAsia="等线"/>
                <w:kern w:val="0"/>
                <w:sz w:val="22"/>
              </w:rPr>
              <w:t>TJ</w:t>
            </w:r>
          </w:p>
        </w:tc>
        <w:tc>
          <w:tcPr>
            <w:tcW w:w="1222" w:type="pct"/>
            <w:shd w:val="clear" w:color="auto" w:fill="auto"/>
            <w:noWrap/>
            <w:vAlign w:val="center"/>
            <w:hideMark/>
          </w:tcPr>
          <w:p w:rsidR="00BB054A" w:rsidRPr="006D6DA3" w:rsidRDefault="00BB054A" w:rsidP="00903FB4">
            <w:pPr>
              <w:widowControl/>
              <w:rPr>
                <w:rFonts w:eastAsia="等线"/>
                <w:kern w:val="0"/>
                <w:sz w:val="22"/>
              </w:rPr>
            </w:pPr>
            <w:r w:rsidRPr="006D6DA3">
              <w:rPr>
                <w:rFonts w:eastAsia="等线"/>
                <w:kern w:val="0"/>
                <w:sz w:val="22"/>
              </w:rPr>
              <w:t>-0.20</w:t>
            </w:r>
            <w:r w:rsidRPr="006D6DA3">
              <w:rPr>
                <w:rFonts w:eastAsia="等线"/>
                <w:kern w:val="0"/>
                <w:sz w:val="22"/>
                <w:vertAlign w:val="superscript"/>
              </w:rPr>
              <w:t>*</w:t>
            </w:r>
          </w:p>
        </w:tc>
        <w:tc>
          <w:tcPr>
            <w:tcW w:w="1223" w:type="pct"/>
            <w:shd w:val="clear" w:color="auto" w:fill="auto"/>
            <w:noWrap/>
            <w:vAlign w:val="center"/>
            <w:hideMark/>
          </w:tcPr>
          <w:p w:rsidR="00BB054A" w:rsidRPr="006D6DA3" w:rsidRDefault="00BB054A" w:rsidP="00903FB4">
            <w:pPr>
              <w:widowControl/>
              <w:rPr>
                <w:rFonts w:eastAsia="等线"/>
                <w:kern w:val="0"/>
                <w:sz w:val="22"/>
              </w:rPr>
            </w:pPr>
            <w:r w:rsidRPr="006D6DA3">
              <w:rPr>
                <w:rFonts w:eastAsia="等线"/>
                <w:kern w:val="0"/>
                <w:sz w:val="22"/>
              </w:rPr>
              <w:t>-0.84</w:t>
            </w:r>
            <w:r w:rsidRPr="006D6DA3">
              <w:rPr>
                <w:rFonts w:eastAsia="等线"/>
                <w:kern w:val="0"/>
                <w:sz w:val="22"/>
                <w:vertAlign w:val="superscript"/>
              </w:rPr>
              <w:t>**</w:t>
            </w:r>
          </w:p>
        </w:tc>
      </w:tr>
      <w:tr w:rsidR="00BB054A" w:rsidRPr="006D6DA3" w:rsidTr="008364A1">
        <w:trPr>
          <w:trHeight w:val="276"/>
          <w:jc w:val="center"/>
        </w:trPr>
        <w:tc>
          <w:tcPr>
            <w:tcW w:w="1963" w:type="pct"/>
            <w:vMerge/>
            <w:vAlign w:val="center"/>
          </w:tcPr>
          <w:p w:rsidR="00BB054A" w:rsidRPr="006D6DA3" w:rsidRDefault="00BB054A" w:rsidP="00903FB4">
            <w:pPr>
              <w:widowControl/>
              <w:rPr>
                <w:rFonts w:eastAsia="等线"/>
                <w:kern w:val="0"/>
                <w:sz w:val="22"/>
              </w:rPr>
            </w:pPr>
          </w:p>
        </w:tc>
        <w:tc>
          <w:tcPr>
            <w:tcW w:w="592" w:type="pct"/>
            <w:shd w:val="clear" w:color="auto" w:fill="auto"/>
            <w:noWrap/>
            <w:vAlign w:val="center"/>
            <w:hideMark/>
          </w:tcPr>
          <w:p w:rsidR="00BB054A" w:rsidRPr="006D6DA3" w:rsidRDefault="00BB054A" w:rsidP="00903FB4">
            <w:pPr>
              <w:widowControl/>
              <w:rPr>
                <w:rFonts w:eastAsia="等线"/>
                <w:kern w:val="0"/>
                <w:sz w:val="22"/>
              </w:rPr>
            </w:pPr>
            <w:r w:rsidRPr="006D6DA3">
              <w:rPr>
                <w:rFonts w:eastAsia="等线"/>
                <w:kern w:val="0"/>
                <w:sz w:val="22"/>
              </w:rPr>
              <w:t>SJZ</w:t>
            </w:r>
          </w:p>
        </w:tc>
        <w:tc>
          <w:tcPr>
            <w:tcW w:w="1222" w:type="pct"/>
            <w:shd w:val="clear" w:color="auto" w:fill="auto"/>
            <w:noWrap/>
            <w:vAlign w:val="center"/>
            <w:hideMark/>
          </w:tcPr>
          <w:p w:rsidR="00BB054A" w:rsidRPr="006D6DA3" w:rsidRDefault="00BB054A" w:rsidP="00903FB4">
            <w:pPr>
              <w:widowControl/>
              <w:rPr>
                <w:rFonts w:eastAsia="等线"/>
                <w:kern w:val="0"/>
                <w:sz w:val="22"/>
              </w:rPr>
            </w:pPr>
            <w:r w:rsidRPr="006D6DA3">
              <w:rPr>
                <w:rFonts w:eastAsia="等线"/>
                <w:kern w:val="0"/>
                <w:sz w:val="22"/>
              </w:rPr>
              <w:t>-0.16</w:t>
            </w:r>
            <w:r w:rsidRPr="006D6DA3">
              <w:rPr>
                <w:rFonts w:eastAsia="等线"/>
                <w:kern w:val="0"/>
                <w:sz w:val="22"/>
                <w:vertAlign w:val="superscript"/>
              </w:rPr>
              <w:t>*</w:t>
            </w:r>
          </w:p>
        </w:tc>
        <w:tc>
          <w:tcPr>
            <w:tcW w:w="1223" w:type="pct"/>
            <w:shd w:val="clear" w:color="auto" w:fill="auto"/>
            <w:noWrap/>
            <w:vAlign w:val="center"/>
            <w:hideMark/>
          </w:tcPr>
          <w:p w:rsidR="00BB054A" w:rsidRPr="006D6DA3" w:rsidRDefault="00BB054A" w:rsidP="00903FB4">
            <w:pPr>
              <w:widowControl/>
              <w:rPr>
                <w:rFonts w:eastAsia="等线"/>
                <w:kern w:val="0"/>
                <w:sz w:val="22"/>
              </w:rPr>
            </w:pPr>
            <w:r w:rsidRPr="006D6DA3">
              <w:rPr>
                <w:rFonts w:eastAsia="等线"/>
                <w:kern w:val="0"/>
                <w:sz w:val="22"/>
              </w:rPr>
              <w:t>-0.44</w:t>
            </w:r>
            <w:r w:rsidRPr="006D6DA3">
              <w:rPr>
                <w:rFonts w:eastAsia="等线"/>
                <w:kern w:val="0"/>
                <w:sz w:val="22"/>
                <w:vertAlign w:val="superscript"/>
              </w:rPr>
              <w:t>**</w:t>
            </w:r>
          </w:p>
        </w:tc>
      </w:tr>
      <w:tr w:rsidR="00BB054A" w:rsidRPr="006D6DA3" w:rsidTr="008364A1">
        <w:trPr>
          <w:trHeight w:val="276"/>
          <w:jc w:val="center"/>
        </w:trPr>
        <w:tc>
          <w:tcPr>
            <w:tcW w:w="1963" w:type="pct"/>
            <w:vMerge/>
            <w:vAlign w:val="center"/>
          </w:tcPr>
          <w:p w:rsidR="00BB054A" w:rsidRPr="006D6DA3" w:rsidRDefault="00BB054A" w:rsidP="00903FB4">
            <w:pPr>
              <w:widowControl/>
              <w:rPr>
                <w:rFonts w:eastAsia="等线"/>
                <w:kern w:val="0"/>
                <w:sz w:val="22"/>
              </w:rPr>
            </w:pPr>
          </w:p>
        </w:tc>
        <w:tc>
          <w:tcPr>
            <w:tcW w:w="592" w:type="pct"/>
            <w:shd w:val="clear" w:color="auto" w:fill="auto"/>
            <w:noWrap/>
            <w:vAlign w:val="center"/>
            <w:hideMark/>
          </w:tcPr>
          <w:p w:rsidR="00BB054A" w:rsidRPr="006D6DA3" w:rsidRDefault="00BB054A" w:rsidP="00903FB4">
            <w:pPr>
              <w:widowControl/>
              <w:rPr>
                <w:rFonts w:eastAsia="等线"/>
                <w:kern w:val="0"/>
                <w:sz w:val="22"/>
              </w:rPr>
            </w:pPr>
            <w:r w:rsidRPr="006D6DA3">
              <w:rPr>
                <w:rFonts w:eastAsia="等线"/>
                <w:kern w:val="0"/>
                <w:sz w:val="22"/>
              </w:rPr>
              <w:t>XA</w:t>
            </w:r>
          </w:p>
        </w:tc>
        <w:tc>
          <w:tcPr>
            <w:tcW w:w="1222" w:type="pct"/>
            <w:shd w:val="clear" w:color="auto" w:fill="auto"/>
            <w:noWrap/>
            <w:vAlign w:val="center"/>
            <w:hideMark/>
          </w:tcPr>
          <w:p w:rsidR="00BB054A" w:rsidRPr="006D6DA3" w:rsidRDefault="00BB054A" w:rsidP="00903FB4">
            <w:pPr>
              <w:widowControl/>
              <w:rPr>
                <w:rFonts w:eastAsia="等线"/>
                <w:kern w:val="0"/>
                <w:sz w:val="22"/>
              </w:rPr>
            </w:pPr>
            <w:r w:rsidRPr="006D6DA3">
              <w:rPr>
                <w:rFonts w:eastAsia="等线"/>
                <w:kern w:val="0"/>
                <w:sz w:val="22"/>
              </w:rPr>
              <w:t>-0.27</w:t>
            </w:r>
            <w:r w:rsidRPr="006D6DA3">
              <w:rPr>
                <w:rFonts w:eastAsia="等线"/>
                <w:kern w:val="0"/>
                <w:sz w:val="22"/>
                <w:vertAlign w:val="superscript"/>
              </w:rPr>
              <w:t>**</w:t>
            </w:r>
          </w:p>
        </w:tc>
        <w:tc>
          <w:tcPr>
            <w:tcW w:w="1223" w:type="pct"/>
            <w:shd w:val="clear" w:color="auto" w:fill="auto"/>
            <w:noWrap/>
            <w:vAlign w:val="center"/>
            <w:hideMark/>
          </w:tcPr>
          <w:p w:rsidR="00BB054A" w:rsidRPr="006D6DA3" w:rsidRDefault="00BB054A" w:rsidP="00903FB4">
            <w:pPr>
              <w:widowControl/>
              <w:rPr>
                <w:rFonts w:eastAsia="等线"/>
                <w:kern w:val="0"/>
                <w:sz w:val="22"/>
              </w:rPr>
            </w:pPr>
            <w:r w:rsidRPr="006D6DA3">
              <w:rPr>
                <w:rFonts w:eastAsia="等线"/>
                <w:kern w:val="0"/>
                <w:sz w:val="22"/>
              </w:rPr>
              <w:t>-0.32</w:t>
            </w:r>
            <w:r w:rsidRPr="006D6DA3">
              <w:rPr>
                <w:rFonts w:eastAsia="等线"/>
                <w:kern w:val="0"/>
                <w:sz w:val="22"/>
                <w:vertAlign w:val="superscript"/>
              </w:rPr>
              <w:t>**</w:t>
            </w:r>
          </w:p>
        </w:tc>
      </w:tr>
    </w:tbl>
    <w:p w:rsidR="00BB054A" w:rsidRPr="006D6DA3" w:rsidRDefault="00BB054A" w:rsidP="00F92AF9">
      <w:pPr>
        <w:spacing w:beforeLines="50" w:before="156" w:afterLines="50" w:after="156" w:line="360" w:lineRule="auto"/>
        <w:rPr>
          <w:sz w:val="22"/>
        </w:rPr>
      </w:pPr>
      <w:r w:rsidRPr="006D6DA3">
        <w:rPr>
          <w:rFonts w:hint="eastAsia"/>
          <w:sz w:val="22"/>
        </w:rPr>
        <w:t>N</w:t>
      </w:r>
      <w:r w:rsidRPr="006D6DA3">
        <w:rPr>
          <w:sz w:val="22"/>
        </w:rPr>
        <w:t xml:space="preserve">ote: </w:t>
      </w:r>
      <w:r w:rsidRPr="006D6DA3">
        <w:rPr>
          <w:sz w:val="22"/>
          <w:vertAlign w:val="superscript"/>
        </w:rPr>
        <w:t>**</w:t>
      </w:r>
      <w:r w:rsidRPr="006D6DA3">
        <w:rPr>
          <w:sz w:val="22"/>
        </w:rPr>
        <w:t xml:space="preserve"> means that the correlation was significant at 0.01 level (double tails), </w:t>
      </w:r>
      <w:r w:rsidRPr="006D6DA3">
        <w:rPr>
          <w:sz w:val="22"/>
          <w:vertAlign w:val="superscript"/>
        </w:rPr>
        <w:t>*</w:t>
      </w:r>
      <w:r w:rsidRPr="006D6DA3">
        <w:rPr>
          <w:sz w:val="22"/>
        </w:rPr>
        <w:t xml:space="preserve"> means that the correlation was significant at 0.05 level (double tails),</w:t>
      </w:r>
    </w:p>
    <w:p w:rsidR="00BB054A" w:rsidRPr="006D6DA3" w:rsidRDefault="00BB054A">
      <w:pPr>
        <w:widowControl/>
        <w:jc w:val="left"/>
        <w:rPr>
          <w:kern w:val="0"/>
          <w:sz w:val="24"/>
          <w:szCs w:val="24"/>
          <w:lang w:val="en"/>
        </w:rPr>
      </w:pPr>
      <w:r w:rsidRPr="006D6DA3">
        <w:rPr>
          <w:kern w:val="0"/>
          <w:sz w:val="24"/>
          <w:szCs w:val="24"/>
          <w:lang w:val="en"/>
        </w:rPr>
        <w:br w:type="page"/>
      </w:r>
    </w:p>
    <w:p w:rsidR="00BB054A" w:rsidRPr="006D6DA3" w:rsidRDefault="00BB054A" w:rsidP="005A1F6F">
      <w:pPr>
        <w:spacing w:beforeLines="50" w:before="156" w:afterLines="50" w:after="156" w:line="360" w:lineRule="auto"/>
        <w:jc w:val="left"/>
        <w:outlineLvl w:val="1"/>
        <w:rPr>
          <w:b/>
          <w:kern w:val="0"/>
          <w:sz w:val="24"/>
          <w:szCs w:val="24"/>
          <w:lang w:val="en"/>
        </w:rPr>
      </w:pPr>
      <w:r w:rsidRPr="006D6DA3">
        <w:rPr>
          <w:b/>
          <w:kern w:val="0"/>
          <w:sz w:val="24"/>
          <w:szCs w:val="24"/>
          <w:lang w:val="en"/>
        </w:rPr>
        <w:lastRenderedPageBreak/>
        <w:t>Fig</w:t>
      </w:r>
      <w:r w:rsidRPr="006D6DA3">
        <w:rPr>
          <w:rFonts w:hint="eastAsia"/>
          <w:b/>
          <w:kern w:val="0"/>
          <w:sz w:val="24"/>
          <w:szCs w:val="24"/>
          <w:lang w:val="en"/>
        </w:rPr>
        <w:t>ure</w:t>
      </w:r>
      <w:r w:rsidRPr="006D6DA3">
        <w:rPr>
          <w:b/>
          <w:kern w:val="0"/>
          <w:sz w:val="24"/>
          <w:szCs w:val="24"/>
          <w:lang w:val="en"/>
        </w:rPr>
        <w:t xml:space="preserve"> S</w:t>
      </w:r>
      <w:r w:rsidRPr="006D6DA3">
        <w:rPr>
          <w:rFonts w:hint="eastAsia"/>
          <w:b/>
          <w:kern w:val="0"/>
          <w:sz w:val="24"/>
          <w:szCs w:val="24"/>
          <w:lang w:val="en"/>
        </w:rPr>
        <w:t xml:space="preserve"> captions</w:t>
      </w:r>
    </w:p>
    <w:p w:rsidR="00BB054A" w:rsidRPr="006D6DA3" w:rsidRDefault="00BB054A" w:rsidP="00872356">
      <w:pPr>
        <w:spacing w:beforeLines="50" w:before="156" w:afterLines="50" w:after="156" w:line="360" w:lineRule="auto"/>
        <w:rPr>
          <w:sz w:val="22"/>
        </w:rPr>
      </w:pPr>
      <w:r w:rsidRPr="006D6DA3">
        <w:rPr>
          <w:b/>
          <w:kern w:val="0"/>
          <w:sz w:val="22"/>
          <w:lang w:val="en"/>
        </w:rPr>
        <w:t xml:space="preserve">Fig. S </w:t>
      </w:r>
      <w:r w:rsidRPr="006D6DA3">
        <w:rPr>
          <w:rFonts w:hint="eastAsia"/>
          <w:b/>
          <w:kern w:val="0"/>
          <w:sz w:val="22"/>
          <w:lang w:val="en"/>
        </w:rPr>
        <w:t>1</w:t>
      </w:r>
      <w:r w:rsidRPr="006D6DA3">
        <w:rPr>
          <w:b/>
          <w:kern w:val="0"/>
          <w:sz w:val="22"/>
          <w:lang w:val="en"/>
        </w:rPr>
        <w:t>.</w:t>
      </w:r>
      <w:r w:rsidRPr="006D6DA3">
        <w:rPr>
          <w:rFonts w:hint="eastAsia"/>
          <w:sz w:val="22"/>
        </w:rPr>
        <w:t xml:space="preserve"> </w:t>
      </w:r>
      <w:r w:rsidRPr="006D6DA3">
        <w:rPr>
          <w:sz w:val="22"/>
        </w:rPr>
        <w:t>Ambient-air TGM concentrations at Luancheng Station in four seasons and two harvest stages. The red lines are the mean concentrations of ambient-air TGM for</w:t>
      </w:r>
      <w:r w:rsidRPr="006D6DA3">
        <w:rPr>
          <w:rFonts w:hint="eastAsia"/>
          <w:sz w:val="22"/>
        </w:rPr>
        <w:t xml:space="preserve"> </w:t>
      </w:r>
      <w:r w:rsidRPr="006D6DA3">
        <w:rPr>
          <w:sz w:val="22"/>
        </w:rPr>
        <w:t>each season and harvest stage.</w:t>
      </w:r>
    </w:p>
    <w:p w:rsidR="00BB054A" w:rsidRPr="006D6DA3" w:rsidRDefault="00BB054A" w:rsidP="00176150">
      <w:pPr>
        <w:spacing w:beforeLines="50" w:before="156" w:afterLines="50" w:after="156" w:line="360" w:lineRule="auto"/>
        <w:rPr>
          <w:sz w:val="22"/>
        </w:rPr>
      </w:pPr>
      <w:r w:rsidRPr="006D6DA3">
        <w:rPr>
          <w:b/>
          <w:kern w:val="0"/>
          <w:sz w:val="22"/>
          <w:lang w:val="en"/>
        </w:rPr>
        <w:t>Fig. S 2.</w:t>
      </w:r>
      <w:r w:rsidRPr="006D6DA3">
        <w:rPr>
          <w:rFonts w:hint="eastAsia"/>
          <w:sz w:val="22"/>
        </w:rPr>
        <w:t xml:space="preserve"> </w:t>
      </w:r>
      <w:r w:rsidRPr="006D6DA3">
        <w:rPr>
          <w:sz w:val="22"/>
        </w:rPr>
        <w:t xml:space="preserve">Temporal variations of </w:t>
      </w:r>
      <w:bookmarkStart w:id="18" w:name="_Hlk516689945"/>
      <w:r w:rsidRPr="006D6DA3">
        <w:rPr>
          <w:sz w:val="22"/>
        </w:rPr>
        <w:t>soil-air TGM exchange flux at Luancheng plot and environmental factors in maize-wheat rotation period.</w:t>
      </w:r>
      <w:bookmarkEnd w:id="18"/>
    </w:p>
    <w:p w:rsidR="00BB054A" w:rsidRPr="006D6DA3" w:rsidRDefault="00BB054A" w:rsidP="00176150">
      <w:pPr>
        <w:spacing w:beforeLines="50" w:before="156" w:afterLines="50" w:after="156" w:line="360" w:lineRule="auto"/>
        <w:rPr>
          <w:b/>
          <w:kern w:val="0"/>
          <w:sz w:val="22"/>
        </w:rPr>
      </w:pPr>
      <w:r w:rsidRPr="006D6DA3">
        <w:rPr>
          <w:b/>
          <w:kern w:val="0"/>
          <w:sz w:val="22"/>
        </w:rPr>
        <w:t xml:space="preserve">Fig. S 3. </w:t>
      </w:r>
      <w:bookmarkStart w:id="19" w:name="_Hlk534384090"/>
      <w:r w:rsidRPr="006D6DA3">
        <w:rPr>
          <w:kern w:val="0"/>
          <w:sz w:val="22"/>
        </w:rPr>
        <w:t>Temporal variations of soil-air TGM exchange flux at Taiyuan plot and Tianjin plot in maize-wheat rotation period.</w:t>
      </w:r>
      <w:bookmarkEnd w:id="19"/>
    </w:p>
    <w:p w:rsidR="00BB054A" w:rsidRPr="006D6DA3" w:rsidRDefault="00BB054A" w:rsidP="00146E15">
      <w:pPr>
        <w:spacing w:beforeLines="50" w:before="156" w:afterLines="50" w:after="156" w:line="360" w:lineRule="auto"/>
        <w:rPr>
          <w:b/>
          <w:kern w:val="0"/>
          <w:sz w:val="22"/>
        </w:rPr>
      </w:pPr>
      <w:r w:rsidRPr="006D6DA3">
        <w:rPr>
          <w:b/>
          <w:kern w:val="0"/>
          <w:sz w:val="22"/>
        </w:rPr>
        <w:t xml:space="preserve">Fig. S 4. </w:t>
      </w:r>
      <w:r w:rsidRPr="006D6DA3">
        <w:rPr>
          <w:kern w:val="0"/>
          <w:sz w:val="22"/>
        </w:rPr>
        <w:t>Temporal variations of soil-air TGM exchange flux at Shijiazhuang plot and Xi’an plot in maize-wheat rotation period.</w:t>
      </w:r>
    </w:p>
    <w:p w:rsidR="00BB054A" w:rsidRPr="006D6DA3" w:rsidRDefault="00BB054A">
      <w:pPr>
        <w:widowControl/>
        <w:jc w:val="left"/>
        <w:rPr>
          <w:sz w:val="22"/>
        </w:rPr>
      </w:pPr>
      <w:r w:rsidRPr="006D6DA3">
        <w:rPr>
          <w:sz w:val="22"/>
        </w:rPr>
        <w:br w:type="page"/>
      </w:r>
    </w:p>
    <w:p w:rsidR="00BB054A" w:rsidRPr="006D6DA3" w:rsidRDefault="00BB054A" w:rsidP="00C141B3">
      <w:pPr>
        <w:keepNext/>
        <w:autoSpaceDE w:val="0"/>
        <w:autoSpaceDN w:val="0"/>
        <w:adjustRightInd w:val="0"/>
        <w:spacing w:line="360" w:lineRule="auto"/>
        <w:jc w:val="center"/>
      </w:pPr>
      <w:r w:rsidRPr="006D6DA3">
        <w:object w:dxaOrig="5727" w:dyaOrig="4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6pt;height:205.2pt" o:ole="">
            <v:imagedata r:id="rId5" o:title=""/>
          </v:shape>
          <o:OLEObject Type="Embed" ProgID="Origin95.Graph" ShapeID="_x0000_i1025" DrawAspect="Content" ObjectID="_1624785458" r:id="rId6"/>
        </w:object>
      </w:r>
    </w:p>
    <w:p w:rsidR="00BB054A" w:rsidRPr="006D6DA3" w:rsidRDefault="00BB054A" w:rsidP="00C141B3">
      <w:pPr>
        <w:pStyle w:val="a7"/>
        <w:ind w:left="442" w:hangingChars="200" w:hanging="442"/>
        <w:rPr>
          <w:rFonts w:ascii="Times New Roman" w:hAnsi="Times New Roman" w:cs="Times New Roman"/>
          <w:sz w:val="22"/>
          <w:szCs w:val="22"/>
        </w:rPr>
      </w:pPr>
      <w:r w:rsidRPr="006D6DA3">
        <w:rPr>
          <w:rFonts w:ascii="Times New Roman" w:hAnsi="Times New Roman" w:cs="Times New Roman"/>
          <w:b/>
          <w:sz w:val="22"/>
          <w:szCs w:val="22"/>
        </w:rPr>
        <w:t>Fig. S</w:t>
      </w:r>
      <w:r>
        <w:rPr>
          <w:rFonts w:ascii="Times New Roman" w:hAnsi="Times New Roman" w:cs="Times New Roman"/>
          <w:b/>
          <w:sz w:val="22"/>
          <w:szCs w:val="22"/>
        </w:rPr>
        <w:t xml:space="preserve"> 1</w:t>
      </w:r>
      <w:r w:rsidRPr="006D6DA3">
        <w:rPr>
          <w:rFonts w:ascii="Times New Roman" w:hAnsi="Times New Roman" w:cs="Times New Roman"/>
          <w:b/>
          <w:sz w:val="22"/>
          <w:szCs w:val="22"/>
        </w:rPr>
        <w:t xml:space="preserve">. </w:t>
      </w:r>
      <w:r w:rsidRPr="006D6DA3">
        <w:rPr>
          <w:rFonts w:ascii="Times New Roman" w:hAnsi="Times New Roman" w:cs="Times New Roman"/>
          <w:sz w:val="22"/>
          <w:szCs w:val="22"/>
        </w:rPr>
        <w:t>Ambient-air TGM concentrations at Luancheng Station in four seasons and two harvest stages. The red lines are the mean concentrations of ambient-air TGM for</w:t>
      </w:r>
      <w:r w:rsidRPr="006D6DA3">
        <w:rPr>
          <w:rFonts w:ascii="Times New Roman" w:hAnsi="Times New Roman" w:cs="Times New Roman" w:hint="eastAsia"/>
          <w:sz w:val="22"/>
          <w:szCs w:val="22"/>
        </w:rPr>
        <w:t xml:space="preserve"> </w:t>
      </w:r>
      <w:r w:rsidRPr="006D6DA3">
        <w:rPr>
          <w:rFonts w:ascii="Times New Roman" w:hAnsi="Times New Roman" w:cs="Times New Roman"/>
          <w:sz w:val="22"/>
          <w:szCs w:val="22"/>
        </w:rPr>
        <w:t>each season and harvest stage.</w:t>
      </w:r>
    </w:p>
    <w:p w:rsidR="00BB054A" w:rsidRPr="006D6DA3" w:rsidRDefault="00BB054A" w:rsidP="00C141B3">
      <w:pPr>
        <w:autoSpaceDE w:val="0"/>
        <w:autoSpaceDN w:val="0"/>
        <w:adjustRightInd w:val="0"/>
        <w:spacing w:line="360" w:lineRule="auto"/>
        <w:ind w:left="440" w:hangingChars="200" w:hanging="440"/>
        <w:rPr>
          <w:sz w:val="22"/>
        </w:rPr>
      </w:pPr>
    </w:p>
    <w:p w:rsidR="00BB054A" w:rsidRPr="006D6DA3" w:rsidRDefault="00BB054A" w:rsidP="00202BC6">
      <w:pPr>
        <w:autoSpaceDE w:val="0"/>
        <w:autoSpaceDN w:val="0"/>
        <w:adjustRightInd w:val="0"/>
        <w:spacing w:line="360" w:lineRule="auto"/>
        <w:jc w:val="center"/>
        <w:rPr>
          <w:sz w:val="22"/>
        </w:rPr>
      </w:pPr>
    </w:p>
    <w:p w:rsidR="00BB054A" w:rsidRPr="006D6DA3" w:rsidRDefault="00BB054A" w:rsidP="00202BC6">
      <w:pPr>
        <w:autoSpaceDE w:val="0"/>
        <w:autoSpaceDN w:val="0"/>
        <w:adjustRightInd w:val="0"/>
        <w:spacing w:line="360" w:lineRule="auto"/>
        <w:jc w:val="center"/>
        <w:rPr>
          <w:sz w:val="22"/>
        </w:rPr>
        <w:sectPr w:rsidR="00BB054A" w:rsidRPr="006D6DA3" w:rsidSect="00174F5A">
          <w:footerReference w:type="default" r:id="rId7"/>
          <w:pgSz w:w="11906" w:h="16838"/>
          <w:pgMar w:top="1440" w:right="1800" w:bottom="1440" w:left="1800" w:header="851" w:footer="992" w:gutter="0"/>
          <w:lnNumType w:countBy="1" w:restart="continuous"/>
          <w:pgNumType w:start="1"/>
          <w:cols w:space="425"/>
          <w:docGrid w:type="lines" w:linePitch="312"/>
        </w:sectPr>
      </w:pPr>
    </w:p>
    <w:p w:rsidR="00BB054A" w:rsidRPr="006D6DA3" w:rsidRDefault="00BB054A" w:rsidP="008E7D07">
      <w:pPr>
        <w:keepNext/>
        <w:spacing w:line="288" w:lineRule="auto"/>
        <w:jc w:val="center"/>
      </w:pPr>
      <w:r w:rsidRPr="006D6DA3">
        <w:object w:dxaOrig="17828" w:dyaOrig="10818">
          <v:shape id="_x0000_i1026" type="#_x0000_t75" style="width:635.4pt;height:384pt" o:ole="">
            <v:imagedata r:id="rId8" o:title=""/>
          </v:shape>
          <o:OLEObject Type="Embed" ProgID="Origin95.Graph" ShapeID="_x0000_i1026" DrawAspect="Content" ObjectID="_1624785459" r:id="rId9"/>
        </w:object>
      </w:r>
    </w:p>
    <w:p w:rsidR="00BB054A" w:rsidRPr="006D6DA3" w:rsidRDefault="00BB054A" w:rsidP="00BC3423">
      <w:pPr>
        <w:pStyle w:val="a7"/>
        <w:rPr>
          <w:rFonts w:ascii="Times New Roman" w:hAnsi="Times New Roman" w:cs="Times New Roman"/>
          <w:sz w:val="22"/>
          <w:szCs w:val="22"/>
        </w:rPr>
      </w:pPr>
      <w:r w:rsidRPr="006D6DA3">
        <w:rPr>
          <w:rFonts w:ascii="Times New Roman" w:hAnsi="Times New Roman" w:cs="Times New Roman"/>
          <w:b/>
          <w:sz w:val="22"/>
          <w:szCs w:val="22"/>
        </w:rPr>
        <w:t xml:space="preserve">Fig. S </w:t>
      </w:r>
      <w:r>
        <w:rPr>
          <w:rFonts w:ascii="Times New Roman" w:hAnsi="Times New Roman" w:cs="Times New Roman"/>
          <w:b/>
          <w:noProof/>
          <w:sz w:val="22"/>
          <w:szCs w:val="22"/>
        </w:rPr>
        <w:t>2</w:t>
      </w:r>
      <w:r w:rsidRPr="006D6DA3">
        <w:rPr>
          <w:rFonts w:ascii="Times New Roman" w:hAnsi="Times New Roman" w:cs="Times New Roman"/>
          <w:b/>
          <w:noProof/>
          <w:sz w:val="22"/>
          <w:szCs w:val="22"/>
        </w:rPr>
        <w:t>.</w:t>
      </w:r>
      <w:r w:rsidRPr="006D6DA3">
        <w:rPr>
          <w:rFonts w:ascii="Times New Roman" w:hAnsi="Times New Roman" w:cs="Times New Roman"/>
          <w:sz w:val="22"/>
          <w:szCs w:val="22"/>
        </w:rPr>
        <w:t xml:space="preserve"> Temporal variations of soil-air TGM exchange fluxes at Luancheng plot and environmental factors in maize-wheat rotation period.</w:t>
      </w:r>
    </w:p>
    <w:p w:rsidR="00BB054A" w:rsidRPr="006D6DA3" w:rsidRDefault="00BB054A" w:rsidP="008E7D07">
      <w:pPr>
        <w:keepNext/>
        <w:spacing w:line="288" w:lineRule="auto"/>
        <w:jc w:val="center"/>
      </w:pPr>
      <w:r w:rsidRPr="006D6DA3">
        <w:object w:dxaOrig="16570" w:dyaOrig="10790">
          <v:shape id="_x0000_i1027" type="#_x0000_t75" style="width:594pt;height:384pt" o:ole="">
            <v:imagedata r:id="rId10" o:title=""/>
          </v:shape>
          <o:OLEObject Type="Embed" ProgID="Origin95.Graph" ShapeID="_x0000_i1027" DrawAspect="Content" ObjectID="_1624785460" r:id="rId11"/>
        </w:object>
      </w:r>
    </w:p>
    <w:p w:rsidR="00BB054A" w:rsidRPr="006D6DA3" w:rsidRDefault="00BB054A" w:rsidP="006F7022">
      <w:pPr>
        <w:pStyle w:val="a7"/>
        <w:rPr>
          <w:rFonts w:ascii="Times New Roman" w:hAnsi="Times New Roman" w:cs="Times New Roman"/>
          <w:sz w:val="22"/>
          <w:szCs w:val="22"/>
        </w:rPr>
      </w:pPr>
      <w:r w:rsidRPr="006D6DA3">
        <w:rPr>
          <w:rFonts w:ascii="Times New Roman" w:hAnsi="Times New Roman" w:cs="Times New Roman"/>
          <w:b/>
          <w:sz w:val="22"/>
          <w:szCs w:val="22"/>
        </w:rPr>
        <w:t xml:space="preserve">Fig. S </w:t>
      </w:r>
      <w:r>
        <w:rPr>
          <w:rFonts w:ascii="Times New Roman" w:hAnsi="Times New Roman" w:cs="Times New Roman"/>
          <w:b/>
          <w:noProof/>
          <w:sz w:val="22"/>
          <w:szCs w:val="22"/>
        </w:rPr>
        <w:t>3</w:t>
      </w:r>
      <w:r w:rsidRPr="006D6DA3">
        <w:rPr>
          <w:rFonts w:ascii="Times New Roman" w:hAnsi="Times New Roman" w:cs="Times New Roman"/>
          <w:b/>
          <w:noProof/>
          <w:sz w:val="22"/>
          <w:szCs w:val="22"/>
        </w:rPr>
        <w:t>.</w:t>
      </w:r>
      <w:r w:rsidRPr="006D6DA3">
        <w:rPr>
          <w:rFonts w:ascii="Times New Roman" w:hAnsi="Times New Roman" w:cs="Times New Roman"/>
          <w:b/>
          <w:sz w:val="22"/>
          <w:szCs w:val="22"/>
        </w:rPr>
        <w:t xml:space="preserve"> </w:t>
      </w:r>
      <w:r w:rsidRPr="006D6DA3">
        <w:rPr>
          <w:rFonts w:ascii="Times New Roman" w:hAnsi="Times New Roman" w:cs="Times New Roman"/>
          <w:sz w:val="22"/>
          <w:szCs w:val="22"/>
        </w:rPr>
        <w:t>Temporal variations of soil-air TGM exchange flux at Taiyuan plot and Tianjin plot in maize-wheat rotation period.</w:t>
      </w:r>
    </w:p>
    <w:p w:rsidR="00BB054A" w:rsidRPr="006D6DA3" w:rsidRDefault="00BB054A" w:rsidP="008E7D07">
      <w:pPr>
        <w:keepNext/>
        <w:spacing w:line="288" w:lineRule="auto"/>
        <w:jc w:val="center"/>
      </w:pPr>
      <w:r w:rsidRPr="006D6DA3">
        <w:object w:dxaOrig="16635" w:dyaOrig="10846">
          <v:shape id="_x0000_i1028" type="#_x0000_t75" style="width:594pt;height:384pt" o:ole="">
            <v:imagedata r:id="rId12" o:title=""/>
          </v:shape>
          <o:OLEObject Type="Embed" ProgID="Origin95.Graph" ShapeID="_x0000_i1028" DrawAspect="Content" ObjectID="_1624785461" r:id="rId13"/>
        </w:object>
      </w:r>
    </w:p>
    <w:p w:rsidR="00BB054A" w:rsidRPr="006D6DA3" w:rsidRDefault="00BB054A" w:rsidP="00621975">
      <w:pPr>
        <w:pStyle w:val="a7"/>
        <w:rPr>
          <w:rFonts w:ascii="Times New Roman" w:hAnsi="Times New Roman" w:cs="Times New Roman"/>
          <w:sz w:val="22"/>
          <w:szCs w:val="24"/>
        </w:rPr>
      </w:pPr>
      <w:bookmarkStart w:id="20" w:name="_Hlk534384138"/>
      <w:r w:rsidRPr="006D6DA3">
        <w:rPr>
          <w:rFonts w:ascii="Times New Roman" w:hAnsi="Times New Roman" w:cs="Times New Roman"/>
          <w:b/>
          <w:sz w:val="22"/>
          <w:szCs w:val="24"/>
        </w:rPr>
        <w:t xml:space="preserve">Fig. S </w:t>
      </w:r>
      <w:r>
        <w:rPr>
          <w:rFonts w:ascii="Times New Roman" w:hAnsi="Times New Roman" w:cs="Times New Roman"/>
          <w:b/>
          <w:noProof/>
          <w:sz w:val="22"/>
          <w:szCs w:val="24"/>
        </w:rPr>
        <w:t>4</w:t>
      </w:r>
      <w:bookmarkStart w:id="21" w:name="_GoBack"/>
      <w:bookmarkEnd w:id="21"/>
      <w:r w:rsidRPr="006D6DA3">
        <w:rPr>
          <w:rFonts w:ascii="Times New Roman" w:hAnsi="Times New Roman" w:cs="Times New Roman"/>
          <w:b/>
          <w:noProof/>
          <w:sz w:val="22"/>
          <w:szCs w:val="24"/>
        </w:rPr>
        <w:t>.</w:t>
      </w:r>
      <w:r w:rsidRPr="006D6DA3">
        <w:rPr>
          <w:rFonts w:ascii="Times New Roman" w:hAnsi="Times New Roman" w:cs="Times New Roman"/>
          <w:sz w:val="22"/>
          <w:szCs w:val="24"/>
        </w:rPr>
        <w:t xml:space="preserve"> Temporal variations of soil-air TGM exchange flux at Shijiazhuang plot and Xi’an plot in maize-wheat rotation period.</w:t>
      </w:r>
    </w:p>
    <w:bookmarkEnd w:id="20"/>
    <w:p w:rsidR="00BB054A" w:rsidRPr="006D6DA3" w:rsidRDefault="00BB054A" w:rsidP="00F46B56">
      <w:pPr>
        <w:rPr>
          <w:sz w:val="22"/>
        </w:rPr>
        <w:sectPr w:rsidR="00BB054A" w:rsidRPr="006D6DA3" w:rsidSect="00955846">
          <w:pgSz w:w="16838" w:h="11906" w:orient="landscape"/>
          <w:pgMar w:top="1800" w:right="1440" w:bottom="1800" w:left="1440" w:header="851" w:footer="992" w:gutter="0"/>
          <w:lnNumType w:countBy="1" w:restart="continuous"/>
          <w:cols w:space="425"/>
          <w:docGrid w:type="lines" w:linePitch="312"/>
        </w:sectPr>
      </w:pPr>
    </w:p>
    <w:p w:rsidR="00BB054A" w:rsidRPr="006D6DA3" w:rsidRDefault="00BB054A" w:rsidP="00C7627C">
      <w:pPr>
        <w:pStyle w:val="2"/>
        <w:rPr>
          <w:rFonts w:ascii="Times New Roman" w:hAnsi="Times New Roman" w:cs="Times New Roman"/>
          <w:sz w:val="28"/>
          <w:szCs w:val="28"/>
        </w:rPr>
      </w:pPr>
      <w:bookmarkStart w:id="22" w:name="_Hlk503879748"/>
      <w:r w:rsidRPr="006D6DA3">
        <w:rPr>
          <w:rFonts w:ascii="Times New Roman" w:hAnsi="Times New Roman" w:cs="Times New Roman"/>
          <w:sz w:val="28"/>
          <w:szCs w:val="28"/>
        </w:rPr>
        <w:lastRenderedPageBreak/>
        <w:t>References</w:t>
      </w:r>
      <w:bookmarkEnd w:id="22"/>
    </w:p>
    <w:p w:rsidR="00BB054A" w:rsidRPr="006D6DA3" w:rsidRDefault="00BB054A" w:rsidP="00FF035E">
      <w:pPr>
        <w:pStyle w:val="EndNoteBibliography"/>
        <w:rPr>
          <w:rFonts w:ascii="Times New Roman" w:hAnsi="Times New Roman"/>
        </w:rPr>
      </w:pPr>
      <w:r w:rsidRPr="006D6DA3">
        <w:rPr>
          <w:rFonts w:ascii="Times New Roman" w:hAnsi="Times New Roman"/>
        </w:rPr>
        <w:t>Briggs, C.W., Fine, R., Markee, M., Gustin, M.S., 2014. Investigation of the potential for mercury release from flue gas desulfurization solids applied as an agricultural amendment. Journal Of Environmental Quality 43, 253-262.</w:t>
      </w:r>
    </w:p>
    <w:p w:rsidR="00BB054A" w:rsidRPr="006D6DA3" w:rsidRDefault="00BB054A" w:rsidP="00FF035E">
      <w:pPr>
        <w:pStyle w:val="EndNoteBibliography"/>
        <w:rPr>
          <w:rFonts w:ascii="Times New Roman" w:hAnsi="Times New Roman"/>
        </w:rPr>
      </w:pPr>
      <w:r w:rsidRPr="006D6DA3">
        <w:rPr>
          <w:rFonts w:ascii="Times New Roman" w:hAnsi="Times New Roman"/>
        </w:rPr>
        <w:t>Carpi, A., Fostier, A.H., Orta, O.R., dos Santos, J.C., Gittings, M., 2014. Gaseous mercury emissions from soil following forest loss and land use changes: Field experiments in the United States and Brazil. Atmospheric Environment 96, 423-429.</w:t>
      </w:r>
    </w:p>
    <w:p w:rsidR="00BB054A" w:rsidRPr="006D6DA3" w:rsidRDefault="00BB054A" w:rsidP="00FF035E">
      <w:pPr>
        <w:pStyle w:val="EndNoteBibliography"/>
        <w:rPr>
          <w:rFonts w:ascii="Times New Roman" w:hAnsi="Times New Roman"/>
        </w:rPr>
      </w:pPr>
      <w:r w:rsidRPr="006D6DA3">
        <w:rPr>
          <w:rFonts w:ascii="Times New Roman" w:hAnsi="Times New Roman"/>
        </w:rPr>
        <w:t>Ci, Z., Peng, F., Xue, X., Zhang, X., 2016a. Air–surface exchange of gaseous mercury over permafrost soil: An investigation at a high-altitude (4700 m a.s.l.) and remote site in the central Qinghai–Tibet Plateau. Atmospheric Chemistry and Physics 16, 14741-14754.</w:t>
      </w:r>
    </w:p>
    <w:p w:rsidR="00BB054A" w:rsidRPr="006D6DA3" w:rsidRDefault="00BB054A" w:rsidP="00FF035E">
      <w:pPr>
        <w:pStyle w:val="EndNoteBibliography"/>
        <w:rPr>
          <w:rFonts w:ascii="Times New Roman" w:hAnsi="Times New Roman"/>
        </w:rPr>
      </w:pPr>
      <w:r w:rsidRPr="006D6DA3">
        <w:rPr>
          <w:rFonts w:ascii="Times New Roman" w:hAnsi="Times New Roman"/>
        </w:rPr>
        <w:t>Ci, Z., Zhang, X., Wang, Z., Niu, Z., 2011. Phase speciation of mercury (Hg) in coastal water of the Yellow Sea, China. Marine Chemistry 126, 250-255.</w:t>
      </w:r>
    </w:p>
    <w:p w:rsidR="00BB054A" w:rsidRPr="006D6DA3" w:rsidRDefault="00BB054A" w:rsidP="00FF035E">
      <w:pPr>
        <w:pStyle w:val="EndNoteBibliography"/>
        <w:rPr>
          <w:rFonts w:ascii="Times New Roman" w:hAnsi="Times New Roman"/>
        </w:rPr>
      </w:pPr>
      <w:r w:rsidRPr="006D6DA3">
        <w:rPr>
          <w:rFonts w:ascii="Times New Roman" w:hAnsi="Times New Roman"/>
        </w:rPr>
        <w:t>Ci, Z., Zhang, X., Yin, Y., Chen, J., Wang, S., 2016b. Mercury redox chemistry in waters of the Eastern Asian Seas: From polluted coast to clean open ocean. Environmental Science &amp; Technology 50, 2371-2380.</w:t>
      </w:r>
    </w:p>
    <w:p w:rsidR="00BB054A" w:rsidRPr="006D6DA3" w:rsidRDefault="00BB054A" w:rsidP="00FF035E">
      <w:pPr>
        <w:pStyle w:val="EndNoteBibliography"/>
        <w:rPr>
          <w:rFonts w:ascii="Times New Roman" w:hAnsi="Times New Roman"/>
        </w:rPr>
      </w:pPr>
      <w:r w:rsidRPr="006D6DA3">
        <w:rPr>
          <w:rFonts w:ascii="Times New Roman" w:hAnsi="Times New Roman"/>
        </w:rPr>
        <w:t>Du, B., 2014. Field Measurement of Soil Mercury Emission Flux in Forest, School of environment. Tsinghua University, Beijing.</w:t>
      </w:r>
    </w:p>
    <w:p w:rsidR="00BB054A" w:rsidRPr="006D6DA3" w:rsidRDefault="00BB054A" w:rsidP="00FF035E">
      <w:pPr>
        <w:pStyle w:val="EndNoteBibliography"/>
        <w:rPr>
          <w:rFonts w:ascii="Times New Roman" w:hAnsi="Times New Roman"/>
        </w:rPr>
      </w:pPr>
      <w:r w:rsidRPr="006D6DA3">
        <w:rPr>
          <w:rFonts w:ascii="Times New Roman" w:hAnsi="Times New Roman"/>
        </w:rPr>
        <w:t>Ebinghaus, R., Jennings, S.G., Kock, H.H., Derwent, R.G., Manning, A.J., Spain, T.G., 2011. Decreasing trends in total gaseous mercury observations in baseline air at Mace Head, Ireland from 1996 to 2009. Atmospheric Environment 45, 3475-3480.</w:t>
      </w:r>
    </w:p>
    <w:p w:rsidR="00BB054A" w:rsidRPr="006D6DA3" w:rsidRDefault="00BB054A" w:rsidP="00FF035E">
      <w:pPr>
        <w:pStyle w:val="EndNoteBibliography"/>
        <w:rPr>
          <w:rFonts w:ascii="Times New Roman" w:hAnsi="Times New Roman"/>
        </w:rPr>
      </w:pPr>
      <w:r w:rsidRPr="006D6DA3">
        <w:rPr>
          <w:rFonts w:ascii="Times New Roman" w:hAnsi="Times New Roman"/>
        </w:rPr>
        <w:t>Eckley, C.S., Blanchard, P., McLennan, D., Mintz, R., Sekela, M., 2015. Soil-Air Mercury Flux near a Large Industrial Emission Source before and after Closure (Flin Flon, Manitoba, Canada). Environmental Science &amp; Technology 49, 9750-9757.</w:t>
      </w:r>
    </w:p>
    <w:p w:rsidR="00BB054A" w:rsidRPr="006D6DA3" w:rsidRDefault="00BB054A" w:rsidP="00FF035E">
      <w:pPr>
        <w:pStyle w:val="EndNoteBibliography"/>
        <w:rPr>
          <w:rFonts w:ascii="Times New Roman" w:hAnsi="Times New Roman"/>
        </w:rPr>
      </w:pPr>
      <w:r w:rsidRPr="006D6DA3">
        <w:rPr>
          <w:rFonts w:ascii="Times New Roman" w:hAnsi="Times New Roman"/>
        </w:rPr>
        <w:t>Eckley, C.S., Gustin, M., Marsik, F., Miller, M.B., 2011. Measurement of surface mercury fluxes at active industrial gold mines in Nevada (USA). Science Of The Total Environment 409, 514-522.</w:t>
      </w:r>
    </w:p>
    <w:p w:rsidR="00BB054A" w:rsidRPr="006D6DA3" w:rsidRDefault="00BB054A" w:rsidP="00FF035E">
      <w:pPr>
        <w:pStyle w:val="EndNoteBibliography"/>
        <w:rPr>
          <w:rFonts w:ascii="Times New Roman" w:hAnsi="Times New Roman"/>
        </w:rPr>
      </w:pPr>
      <w:r w:rsidRPr="006D6DA3">
        <w:rPr>
          <w:rFonts w:ascii="Times New Roman" w:hAnsi="Times New Roman"/>
        </w:rPr>
        <w:t>Eckley, C.S., Tate, M.T., Lin, C.-J., Gustin, M., Dent, S., Eagles-Smith, C., Lutz, M.A., Wickland, K.P., Wang, B., Gray, J.E., Edwards, G.C., Krabbenhoft, D.P., Smith, D.B., 2016. Surface-air mercury fluxes across Western North America: A synthesis of spatial trends and controlling variables. Science Of The Total Environment 568, 651-665.</w:t>
      </w:r>
    </w:p>
    <w:p w:rsidR="00BB054A" w:rsidRPr="006D6DA3" w:rsidRDefault="00BB054A" w:rsidP="00FF035E">
      <w:pPr>
        <w:pStyle w:val="EndNoteBibliography"/>
        <w:rPr>
          <w:rFonts w:ascii="Times New Roman" w:hAnsi="Times New Roman"/>
        </w:rPr>
      </w:pPr>
      <w:r w:rsidRPr="006D6DA3">
        <w:rPr>
          <w:rFonts w:ascii="Times New Roman" w:hAnsi="Times New Roman"/>
        </w:rPr>
        <w:t>Fan, J., Wang, Q., Jones, S.B., Shao, M., 2016. Soil water depletion and recharge under different land cover in China's Loess Plateau. Ecohydrology 9, 396-406.</w:t>
      </w:r>
    </w:p>
    <w:p w:rsidR="00BB054A" w:rsidRPr="006D6DA3" w:rsidRDefault="00BB054A" w:rsidP="00FF035E">
      <w:pPr>
        <w:pStyle w:val="EndNoteBibliography"/>
        <w:rPr>
          <w:rFonts w:ascii="Times New Roman" w:hAnsi="Times New Roman"/>
        </w:rPr>
      </w:pPr>
      <w:r w:rsidRPr="006D6DA3">
        <w:rPr>
          <w:rFonts w:ascii="Times New Roman" w:hAnsi="Times New Roman"/>
        </w:rPr>
        <w:t>Feng, X., Fu, X., Jonas, S., L.in, J., Shang, L., Q.iu, G., 2011. Earth surface natural mercury emission:Research progress and perspective. Chinese Journal of Ecology 30, 845-856.</w:t>
      </w:r>
    </w:p>
    <w:p w:rsidR="00BB054A" w:rsidRPr="006D6DA3" w:rsidRDefault="00BB054A" w:rsidP="00FF035E">
      <w:pPr>
        <w:pStyle w:val="EndNoteBibliography"/>
        <w:rPr>
          <w:rFonts w:ascii="Times New Roman" w:hAnsi="Times New Roman"/>
        </w:rPr>
      </w:pPr>
      <w:r w:rsidRPr="006D6DA3">
        <w:rPr>
          <w:rFonts w:ascii="Times New Roman" w:hAnsi="Times New Roman"/>
        </w:rPr>
        <w:t>Ferrara, R., Maserti, B.E., Andersson, M., Edner, H., Ragnarson, P., Svanberg, S., Hernandez, A., 1998. Atmospheric mercury concentrations and fluxes in the Almaden District (Spain). Atmospheric Environment 32, 3897-3904.</w:t>
      </w:r>
    </w:p>
    <w:p w:rsidR="00BB054A" w:rsidRPr="006D6DA3" w:rsidRDefault="00BB054A" w:rsidP="00FF035E">
      <w:pPr>
        <w:pStyle w:val="EndNoteBibliography"/>
        <w:rPr>
          <w:rFonts w:ascii="Times New Roman" w:hAnsi="Times New Roman"/>
        </w:rPr>
      </w:pPr>
      <w:r w:rsidRPr="006D6DA3">
        <w:rPr>
          <w:rFonts w:ascii="Times New Roman" w:hAnsi="Times New Roman"/>
        </w:rPr>
        <w:t>Fu, X., Feng, X., Zhang, H., Yu, B., Chen, L., 2012. Mercury emissions from natural surfaces highly impacted by human activities in Guangzhou province, South China. Atmospheric Environment 54, 185-193.</w:t>
      </w:r>
    </w:p>
    <w:p w:rsidR="00BB054A" w:rsidRPr="006D6DA3" w:rsidRDefault="00BB054A" w:rsidP="00FF035E">
      <w:pPr>
        <w:pStyle w:val="EndNoteBibliography"/>
        <w:rPr>
          <w:rFonts w:ascii="Times New Roman" w:hAnsi="Times New Roman"/>
        </w:rPr>
      </w:pPr>
      <w:r w:rsidRPr="006D6DA3">
        <w:rPr>
          <w:rFonts w:ascii="Times New Roman" w:hAnsi="Times New Roman"/>
        </w:rPr>
        <w:t>Ihsan, M.Z., El-Nakhlawy, F.S., Ismail, S.M., Fahad, S., Daur, I., 2016. Wheat Phenological Development and Growth Studies As Affected by Drought and Late Season High Temperature Stress under Arid Environment. Frontiers In Plant Science 7.</w:t>
      </w:r>
    </w:p>
    <w:p w:rsidR="00BB054A" w:rsidRPr="006D6DA3" w:rsidRDefault="00BB054A" w:rsidP="00FF035E">
      <w:pPr>
        <w:pStyle w:val="EndNoteBibliography"/>
        <w:rPr>
          <w:rFonts w:ascii="Times New Roman" w:hAnsi="Times New Roman"/>
        </w:rPr>
      </w:pPr>
      <w:r w:rsidRPr="006D6DA3">
        <w:rPr>
          <w:rFonts w:ascii="Times New Roman" w:hAnsi="Times New Roman"/>
        </w:rPr>
        <w:lastRenderedPageBreak/>
        <w:t>Kock, H.H., Bieber, E., Ebinghaus, R., Spain, T.G., Thees, B., 2005. Comparison of long-term trends and seasonal variations of atmospheric mercury concentrations at the two European coastal monitoring stations Mace Head, Ireland, and Zingst, Germany. Atmospheric Environment 39, 7549-75567.</w:t>
      </w:r>
    </w:p>
    <w:p w:rsidR="00BB054A" w:rsidRPr="006D6DA3" w:rsidRDefault="00BB054A" w:rsidP="00FF035E">
      <w:pPr>
        <w:pStyle w:val="EndNoteBibliography"/>
        <w:rPr>
          <w:rFonts w:ascii="Times New Roman" w:hAnsi="Times New Roman"/>
        </w:rPr>
      </w:pPr>
      <w:r w:rsidRPr="006D6DA3">
        <w:rPr>
          <w:rFonts w:ascii="Times New Roman" w:hAnsi="Times New Roman"/>
        </w:rPr>
        <w:t>Luo, Y., Long, X., Wu, C., Zhang, J., 2017. Decoupling CO2 emissions from economic growth in agricultural sector across 30 Chinese provinces from 1997 to 2014. Journal of Cleaner Production 159, 220-228.</w:t>
      </w:r>
    </w:p>
    <w:p w:rsidR="00BB054A" w:rsidRPr="006D6DA3" w:rsidRDefault="00BB054A" w:rsidP="00FF035E">
      <w:pPr>
        <w:pStyle w:val="EndNoteBibliography"/>
        <w:rPr>
          <w:rFonts w:ascii="Times New Roman" w:hAnsi="Times New Roman"/>
        </w:rPr>
      </w:pPr>
      <w:r w:rsidRPr="006D6DA3">
        <w:rPr>
          <w:rFonts w:ascii="Times New Roman" w:hAnsi="Times New Roman"/>
        </w:rPr>
        <w:t>Miller, M.B., Gustin, M.S., Eckley, C.S., 2011. Measurement and scaling of air-surface mercury exchange from substrates in the vicinity of two Nevada gold mines. Science Of The Total Environment 409, 3879-3886.</w:t>
      </w:r>
    </w:p>
    <w:p w:rsidR="00BB054A" w:rsidRPr="006D6DA3" w:rsidRDefault="00BB054A" w:rsidP="00FF035E">
      <w:pPr>
        <w:pStyle w:val="EndNoteBibliography"/>
        <w:rPr>
          <w:rFonts w:ascii="Times New Roman" w:hAnsi="Times New Roman"/>
        </w:rPr>
      </w:pPr>
      <w:r w:rsidRPr="006D6DA3">
        <w:rPr>
          <w:rFonts w:ascii="Times New Roman" w:hAnsi="Times New Roman"/>
        </w:rPr>
        <w:t>Poissant, L., Pilote, M., Constant, P., Beauvais, C., Zhang, H.H., Xu, X.H., 2004. Mercury gas exchanges over selected bare soil and flooded sites in the bay St. Francois wetlands (Quebec, Canada). Atmospheric Environment 38, 4205-4214.</w:t>
      </w:r>
    </w:p>
    <w:p w:rsidR="00BB054A" w:rsidRPr="006D6DA3" w:rsidRDefault="00BB054A" w:rsidP="00FF035E">
      <w:pPr>
        <w:pStyle w:val="EndNoteBibliography"/>
        <w:rPr>
          <w:rFonts w:ascii="Times New Roman" w:hAnsi="Times New Roman"/>
        </w:rPr>
      </w:pPr>
      <w:r w:rsidRPr="006D6DA3">
        <w:rPr>
          <w:rFonts w:ascii="Times New Roman" w:hAnsi="Times New Roman"/>
        </w:rPr>
        <w:t>Schroeder, W.H., Beauchamp, S., Edwards, G., Poissant, L., Rasmussen, P., Tordon, R., Dias, G., Kemp, J., Van Heyst, B., Banic, C.M., 2005. Gaseous mercury emissions from natural sources in Canadian landscapes. Journal Of Geophysical Research-Atmospheres 110.</w:t>
      </w:r>
    </w:p>
    <w:p w:rsidR="00BB054A" w:rsidRPr="006D6DA3" w:rsidRDefault="00BB054A" w:rsidP="00FF035E">
      <w:pPr>
        <w:pStyle w:val="EndNoteBibliography"/>
        <w:rPr>
          <w:rFonts w:ascii="Times New Roman" w:hAnsi="Times New Roman"/>
        </w:rPr>
      </w:pPr>
      <w:r w:rsidRPr="006D6DA3">
        <w:rPr>
          <w:rFonts w:ascii="Times New Roman" w:hAnsi="Times New Roman"/>
        </w:rPr>
        <w:t>Wang, Y.-M., Zhao, Z., Sun, T., Wang, Y., Xue, J.-P., Zhang, C., Wang, D.-Y., 2016. Total Gaseous Mercury and Mercury Emission from Natural Surface at One Typical Agricultural Region in Three Gorges Reservoir. Environmental science 37, 3300-3307.</w:t>
      </w:r>
    </w:p>
    <w:p w:rsidR="00BB054A" w:rsidRPr="006D6DA3" w:rsidRDefault="00BB054A" w:rsidP="00FF035E">
      <w:pPr>
        <w:pStyle w:val="EndNoteBibliography"/>
        <w:rPr>
          <w:rFonts w:ascii="Times New Roman" w:hAnsi="Times New Roman"/>
        </w:rPr>
      </w:pPr>
      <w:r w:rsidRPr="006D6DA3">
        <w:rPr>
          <w:rFonts w:ascii="Times New Roman" w:hAnsi="Times New Roman"/>
        </w:rPr>
        <w:t>Xiao, Z.F., Munthe, J., Schroeder, W.H., Lindqvist, O., 1991. Vertical fluxes of volatile mercury over forest soil and lake surfaces in Sweden. Tellus Series B-Chemical And Physical Meteorology 43, 267-279.</w:t>
      </w:r>
    </w:p>
    <w:p w:rsidR="00BB054A" w:rsidRPr="006D6DA3" w:rsidRDefault="00BB054A" w:rsidP="00FF035E">
      <w:pPr>
        <w:pStyle w:val="EndNoteBibliography"/>
        <w:rPr>
          <w:rFonts w:ascii="Times New Roman" w:hAnsi="Times New Roman"/>
        </w:rPr>
      </w:pPr>
      <w:r w:rsidRPr="006D6DA3">
        <w:rPr>
          <w:rFonts w:ascii="Times New Roman" w:hAnsi="Times New Roman"/>
        </w:rPr>
        <w:t>Zhou, J., Wang, Z., Zhang, X., Sun, T., 2017. Investigation of factors affecting mercury emission from subtropical forest soil: A field controlled study in southwestern China. Journal of Geochemical Exploration 176, 128-135.</w:t>
      </w:r>
    </w:p>
    <w:p w:rsidR="00BB054A" w:rsidRPr="006D6DA3" w:rsidRDefault="00BB054A" w:rsidP="00360F7F">
      <w:pPr>
        <w:pStyle w:val="a7"/>
        <w:rPr>
          <w:rFonts w:ascii="Times New Roman" w:hAnsi="Times New Roman" w:cs="Times New Roman"/>
          <w:sz w:val="24"/>
          <w:szCs w:val="24"/>
        </w:rPr>
      </w:pPr>
    </w:p>
    <w:p w:rsidR="00AE2932" w:rsidRDefault="00AE2932"/>
    <w:sectPr w:rsidR="00AE2932" w:rsidSect="00F46B56">
      <w:footerReference w:type="default" r:id="rId14"/>
      <w:pgSz w:w="11906" w:h="16838"/>
      <w:pgMar w:top="1440" w:right="1800" w:bottom="1440" w:left="180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779984"/>
      <w:docPartObj>
        <w:docPartGallery w:val="Page Numbers (Bottom of Page)"/>
        <w:docPartUnique/>
      </w:docPartObj>
    </w:sdtPr>
    <w:sdtEndPr/>
    <w:sdtContent>
      <w:sdt>
        <w:sdtPr>
          <w:id w:val="1728636285"/>
          <w:docPartObj>
            <w:docPartGallery w:val="Page Numbers (Top of Page)"/>
            <w:docPartUnique/>
          </w:docPartObj>
        </w:sdtPr>
        <w:sdtEndPr/>
        <w:sdtContent>
          <w:p w:rsidR="00A13006" w:rsidRDefault="00BB054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A13006" w:rsidRDefault="00BB05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287161"/>
      <w:docPartObj>
        <w:docPartGallery w:val="Page Numbers (Bottom of Page)"/>
        <w:docPartUnique/>
      </w:docPartObj>
    </w:sdtPr>
    <w:sdtEndPr/>
    <w:sdtContent>
      <w:p w:rsidR="00174F5A" w:rsidRDefault="00BB054A">
        <w:pPr>
          <w:pStyle w:val="a5"/>
          <w:jc w:val="center"/>
        </w:pPr>
        <w:r>
          <w:fldChar w:fldCharType="begin"/>
        </w:r>
        <w:r>
          <w:instrText>PAGE   \* MERGEFORMAT</w:instrText>
        </w:r>
        <w:r>
          <w:fldChar w:fldCharType="separate"/>
        </w:r>
        <w:r>
          <w:rPr>
            <w:lang w:val="zh-CN"/>
          </w:rPr>
          <w:t>2</w:t>
        </w:r>
        <w:r>
          <w:fldChar w:fldCharType="end"/>
        </w:r>
      </w:p>
    </w:sdtContent>
  </w:sdt>
  <w:p w:rsidR="00174F5A" w:rsidRDefault="00BB05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1255"/>
      <w:docPartObj>
        <w:docPartGallery w:val="Page Numbers (Bottom of Page)"/>
        <w:docPartUnique/>
      </w:docPartObj>
    </w:sdtPr>
    <w:sdtEndPr/>
    <w:sdtContent>
      <w:p w:rsidR="00174F5A" w:rsidRDefault="00BB054A">
        <w:pPr>
          <w:pStyle w:val="a5"/>
          <w:jc w:val="center"/>
        </w:pPr>
        <w:r>
          <w:fldChar w:fldCharType="begin"/>
        </w:r>
        <w:r>
          <w:instrText>PAGE   \* MERGEFORMAT</w:instrText>
        </w:r>
        <w:r>
          <w:fldChar w:fldCharType="separate"/>
        </w:r>
        <w:r>
          <w:rPr>
            <w:lang w:val="zh-CN"/>
          </w:rPr>
          <w:t>2</w:t>
        </w:r>
        <w:r>
          <w:fldChar w:fldCharType="end"/>
        </w:r>
      </w:p>
    </w:sdtContent>
  </w:sdt>
  <w:p w:rsidR="00174F5A" w:rsidRDefault="00BB054A">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B054A"/>
    <w:rsid w:val="00AE2932"/>
    <w:rsid w:val="00BB054A"/>
    <w:rsid w:val="00E60A52"/>
    <w:rsid w:val="00F11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D1A1"/>
  <w15:chartTrackingRefBased/>
  <w15:docId w15:val="{9EFC9BD5-43F0-466A-9191-A4D5008C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54A"/>
    <w:pPr>
      <w:widowControl w:val="0"/>
      <w:jc w:val="both"/>
    </w:pPr>
    <w:rPr>
      <w:rFonts w:ascii="Times New Roman" w:eastAsia="宋体" w:hAnsi="Times New Roman" w:cs="Times New Roman"/>
    </w:rPr>
  </w:style>
  <w:style w:type="paragraph" w:styleId="2">
    <w:name w:val="heading 2"/>
    <w:basedOn w:val="a"/>
    <w:next w:val="a"/>
    <w:link w:val="20"/>
    <w:uiPriority w:val="9"/>
    <w:unhideWhenUsed/>
    <w:qFormat/>
    <w:rsid w:val="00BB054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rsid w:val="00BB054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B054A"/>
  </w:style>
  <w:style w:type="character" w:customStyle="1" w:styleId="20">
    <w:name w:val="标题 2 字符"/>
    <w:basedOn w:val="a0"/>
    <w:link w:val="2"/>
    <w:uiPriority w:val="9"/>
    <w:rsid w:val="00BB054A"/>
    <w:rPr>
      <w:rFonts w:asciiTheme="majorHAnsi" w:eastAsiaTheme="majorEastAsia" w:hAnsiTheme="majorHAnsi" w:cstheme="majorBidi"/>
      <w:b/>
      <w:bCs/>
      <w:sz w:val="32"/>
      <w:szCs w:val="32"/>
    </w:rPr>
  </w:style>
  <w:style w:type="paragraph" w:styleId="a3">
    <w:name w:val="header"/>
    <w:basedOn w:val="a"/>
    <w:link w:val="a4"/>
    <w:uiPriority w:val="99"/>
    <w:unhideWhenUsed/>
    <w:rsid w:val="00BB054A"/>
    <w:pPr>
      <w:pBdr>
        <w:bottom w:val="single" w:sz="6" w:space="1" w:color="auto"/>
      </w:pBdr>
      <w:tabs>
        <w:tab w:val="center" w:pos="4153"/>
        <w:tab w:val="right" w:pos="8306"/>
      </w:tabs>
      <w:snapToGrid w:val="0"/>
      <w:jc w:val="center"/>
    </w:pPr>
    <w:rPr>
      <w:rFonts w:cstheme="minorBidi"/>
      <w:sz w:val="18"/>
      <w:szCs w:val="18"/>
    </w:rPr>
  </w:style>
  <w:style w:type="character" w:customStyle="1" w:styleId="a4">
    <w:name w:val="页眉 字符"/>
    <w:basedOn w:val="a0"/>
    <w:link w:val="a3"/>
    <w:uiPriority w:val="99"/>
    <w:rsid w:val="00BB054A"/>
    <w:rPr>
      <w:rFonts w:ascii="Times New Roman" w:eastAsia="宋体" w:hAnsi="Times New Roman"/>
      <w:sz w:val="18"/>
      <w:szCs w:val="18"/>
    </w:rPr>
  </w:style>
  <w:style w:type="paragraph" w:styleId="a5">
    <w:name w:val="footer"/>
    <w:basedOn w:val="a"/>
    <w:link w:val="a6"/>
    <w:uiPriority w:val="99"/>
    <w:unhideWhenUsed/>
    <w:rsid w:val="00BB054A"/>
    <w:pPr>
      <w:tabs>
        <w:tab w:val="center" w:pos="4153"/>
        <w:tab w:val="right" w:pos="8306"/>
      </w:tabs>
      <w:snapToGrid w:val="0"/>
      <w:jc w:val="left"/>
    </w:pPr>
    <w:rPr>
      <w:rFonts w:cstheme="minorBidi"/>
      <w:sz w:val="18"/>
      <w:szCs w:val="18"/>
    </w:rPr>
  </w:style>
  <w:style w:type="character" w:customStyle="1" w:styleId="a6">
    <w:name w:val="页脚 字符"/>
    <w:basedOn w:val="a0"/>
    <w:link w:val="a5"/>
    <w:uiPriority w:val="99"/>
    <w:rsid w:val="00BB054A"/>
    <w:rPr>
      <w:rFonts w:ascii="Times New Roman" w:eastAsia="宋体" w:hAnsi="Times New Roman"/>
      <w:sz w:val="18"/>
      <w:szCs w:val="18"/>
    </w:rPr>
  </w:style>
  <w:style w:type="paragraph" w:styleId="a7">
    <w:name w:val="caption"/>
    <w:basedOn w:val="a"/>
    <w:next w:val="a"/>
    <w:unhideWhenUsed/>
    <w:qFormat/>
    <w:rsid w:val="00BB054A"/>
    <w:rPr>
      <w:rFonts w:asciiTheme="majorHAnsi" w:eastAsia="黑体" w:hAnsiTheme="majorHAnsi" w:cstheme="majorBidi"/>
      <w:sz w:val="20"/>
      <w:szCs w:val="20"/>
    </w:rPr>
  </w:style>
  <w:style w:type="table" w:styleId="a8">
    <w:name w:val="Table Grid"/>
    <w:basedOn w:val="a1"/>
    <w:uiPriority w:val="39"/>
    <w:rsid w:val="00BB054A"/>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line number"/>
    <w:basedOn w:val="a0"/>
    <w:uiPriority w:val="99"/>
    <w:semiHidden/>
    <w:unhideWhenUsed/>
    <w:rsid w:val="00BB054A"/>
  </w:style>
  <w:style w:type="character" w:customStyle="1" w:styleId="MTEquationSection">
    <w:name w:val="MTEquationSection"/>
    <w:basedOn w:val="a0"/>
    <w:rsid w:val="00BB054A"/>
    <w:rPr>
      <w:b/>
      <w:vanish/>
      <w:color w:val="FF0000"/>
      <w:sz w:val="32"/>
      <w:szCs w:val="32"/>
    </w:rPr>
  </w:style>
  <w:style w:type="paragraph" w:customStyle="1" w:styleId="EndNoteBibliographyTitle">
    <w:name w:val="EndNote Bibliography Title"/>
    <w:basedOn w:val="a"/>
    <w:link w:val="EndNoteBibliographyTitle0"/>
    <w:rsid w:val="00BB054A"/>
    <w:pPr>
      <w:jc w:val="center"/>
    </w:pPr>
    <w:rPr>
      <w:rFonts w:ascii="等线 Light" w:eastAsia="等线 Light" w:hAnsi="等线 Light"/>
      <w:noProof/>
      <w:sz w:val="20"/>
    </w:rPr>
  </w:style>
  <w:style w:type="character" w:customStyle="1" w:styleId="EndNoteBibliographyTitle0">
    <w:name w:val="EndNote Bibliography Title 字符"/>
    <w:basedOn w:val="a0"/>
    <w:link w:val="EndNoteBibliographyTitle"/>
    <w:rsid w:val="00BB054A"/>
    <w:rPr>
      <w:rFonts w:ascii="等线 Light" w:eastAsia="等线 Light" w:hAnsi="等线 Light" w:cs="Times New Roman"/>
      <w:noProof/>
      <w:sz w:val="20"/>
    </w:rPr>
  </w:style>
  <w:style w:type="paragraph" w:customStyle="1" w:styleId="EndNoteBibliography">
    <w:name w:val="EndNote Bibliography"/>
    <w:basedOn w:val="a"/>
    <w:link w:val="EndNoteBibliography0"/>
    <w:rsid w:val="00BB054A"/>
    <w:rPr>
      <w:rFonts w:ascii="等线 Light" w:eastAsia="等线 Light" w:hAnsi="等线 Light"/>
      <w:noProof/>
      <w:sz w:val="20"/>
    </w:rPr>
  </w:style>
  <w:style w:type="character" w:customStyle="1" w:styleId="EndNoteBibliography0">
    <w:name w:val="EndNote Bibliography 字符"/>
    <w:basedOn w:val="a0"/>
    <w:link w:val="EndNoteBibliography"/>
    <w:rsid w:val="00BB054A"/>
    <w:rPr>
      <w:rFonts w:ascii="等线 Light" w:eastAsia="等线 Light" w:hAnsi="等线 Light" w:cs="Times New Roman"/>
      <w:noProof/>
      <w:sz w:val="20"/>
    </w:rPr>
  </w:style>
  <w:style w:type="paragraph" w:styleId="aa">
    <w:name w:val="Balloon Text"/>
    <w:basedOn w:val="a"/>
    <w:link w:val="ab"/>
    <w:uiPriority w:val="99"/>
    <w:semiHidden/>
    <w:unhideWhenUsed/>
    <w:rsid w:val="00BB054A"/>
    <w:rPr>
      <w:sz w:val="18"/>
      <w:szCs w:val="18"/>
    </w:rPr>
  </w:style>
  <w:style w:type="character" w:customStyle="1" w:styleId="ab">
    <w:name w:val="批注框文本 字符"/>
    <w:basedOn w:val="a0"/>
    <w:link w:val="aa"/>
    <w:uiPriority w:val="99"/>
    <w:semiHidden/>
    <w:rsid w:val="00BB054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4.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footer" Target="footer1.xml"/><Relationship Id="rId9" Type="http://schemas.openxmlformats.org/officeDocument/2006/relationships/oleObject" Target="embeddings/oleObject2.bin"/><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2249</Words>
  <Characters>12823</Characters>
  <Application>Microsoft Office Word</Application>
  <DocSecurity>0</DocSecurity>
  <Lines>106</Lines>
  <Paragraphs>30</Paragraphs>
  <ScaleCrop>false</ScaleCrop>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Guo</dc:creator>
  <cp:keywords/>
  <dc:description/>
  <cp:lastModifiedBy>Guo Guo</cp:lastModifiedBy>
  <cp:revision>1</cp:revision>
  <dcterms:created xsi:type="dcterms:W3CDTF">2019-07-16T04:30:00Z</dcterms:created>
  <dcterms:modified xsi:type="dcterms:W3CDTF">2019-07-16T04:31:00Z</dcterms:modified>
</cp:coreProperties>
</file>