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39" w:rsidRPr="00234E4E" w:rsidRDefault="003F7F39" w:rsidP="003F7F39">
      <w:pPr>
        <w:tabs>
          <w:tab w:val="left" w:pos="890"/>
        </w:tabs>
        <w:spacing w:after="20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86BDA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upplemental material</w:t>
      </w:r>
    </w:p>
    <w:p w:rsidR="003F7F39" w:rsidRPr="00AE3252" w:rsidRDefault="003F7F39" w:rsidP="003F7F39">
      <w:pPr>
        <w:spacing w:after="12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AE3252">
        <w:rPr>
          <w:rFonts w:ascii="Times New Roman" w:hAnsi="Times New Roman"/>
          <w:b/>
          <w:sz w:val="24"/>
          <w:szCs w:val="24"/>
          <w:lang w:val="en-US"/>
        </w:rPr>
        <w:t>Supplementary Table A.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 xml:space="preserve"> CCAM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>odes.</w:t>
      </w:r>
    </w:p>
    <w:tbl>
      <w:tblPr>
        <w:tblStyle w:val="Grilledutableau11"/>
        <w:tblW w:w="5000" w:type="pct"/>
        <w:tblLayout w:type="fixed"/>
        <w:tblLook w:val="03A0" w:firstRow="1" w:lastRow="0" w:firstColumn="1" w:lastColumn="1" w:noHBand="1" w:noVBand="0"/>
      </w:tblPr>
      <w:tblGrid>
        <w:gridCol w:w="2122"/>
        <w:gridCol w:w="1558"/>
        <w:gridCol w:w="5376"/>
      </w:tblGrid>
      <w:tr w:rsidR="003F7F39" w:rsidRPr="00234E4E" w:rsidTr="00605DC9">
        <w:trPr>
          <w:trHeight w:val="432"/>
        </w:trPr>
        <w:tc>
          <w:tcPr>
            <w:tcW w:w="1172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Category of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</w:t>
            </w:r>
            <w:r w:rsidRPr="00234E4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evice</w:t>
            </w:r>
          </w:p>
        </w:tc>
        <w:tc>
          <w:tcPr>
            <w:tcW w:w="860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CCAM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</w:t>
            </w:r>
            <w:r w:rsidRPr="00234E4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ode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English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T</w:t>
            </w:r>
            <w:r w:rsidRPr="00234E4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itle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 w:val="restart"/>
          </w:tcPr>
          <w:p w:rsidR="003F7F39" w:rsidRPr="00BF01E8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SCP</w:t>
            </w:r>
          </w:p>
          <w:p w:rsidR="003F7F39" w:rsidRPr="001A39FA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73543C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354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DELF007</w:t>
            </w:r>
          </w:p>
        </w:tc>
        <w:tc>
          <w:tcPr>
            <w:tcW w:w="2968" w:type="pct"/>
          </w:tcPr>
          <w:p w:rsidR="003F7F39" w:rsidRPr="00F1573B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01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an atrial or a right ventricular lead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DELA003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 ventricular epicardial electrode, by direct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 w:val="restart"/>
          </w:tcPr>
          <w:p w:rsidR="003F7F39" w:rsidRPr="00BF01E8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DCP</w:t>
            </w:r>
          </w:p>
          <w:p w:rsidR="003F7F39" w:rsidRPr="001A39FA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73543C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354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DELF010</w:t>
            </w:r>
          </w:p>
        </w:tc>
        <w:tc>
          <w:tcPr>
            <w:tcW w:w="2968" w:type="pct"/>
          </w:tcPr>
          <w:p w:rsidR="003F7F39" w:rsidRPr="00F1573B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01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an atrial and a unique right ventricular lead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DELF005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an atrial and a unique right ventricular lead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DELF903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2 atrial leads and a right ventricular lead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DELA001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atrial and ventricular epicardial electrodes, by direct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 w:val="restart"/>
          </w:tcPr>
          <w:p w:rsidR="003F7F39" w:rsidRPr="00BF01E8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CRT-P</w:t>
            </w:r>
          </w:p>
          <w:p w:rsidR="003F7F39" w:rsidRPr="001A39FA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73543C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3543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DELF001</w:t>
            </w:r>
          </w:p>
        </w:tc>
        <w:tc>
          <w:tcPr>
            <w:tcW w:w="2968" w:type="pct"/>
          </w:tcPr>
          <w:p w:rsidR="003F7F39" w:rsidRPr="00F1573B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01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Permanent pacemaker implantation, with implantation of a right atrial or ventricular lead, and a </w:t>
            </w:r>
            <w:r w:rsidRPr="0034012B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lead in a left cardiac vei</w:t>
            </w:r>
            <w:r w:rsidRPr="00F157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DELF904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 right atrial or ventricular lead, a lead in coronary sinus, and a lead in a left cardiac vein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DELF902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 right atrial lead and a right ventricular lead, and a lead in coronary sinus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DELF015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 right atrial lead and a right ventricular lead, and a lead in a left cardiac vein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DELF905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 right atrial lead and a right ventricular lead, a lead in coronary sinus, and a lead in a left cardiac vein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DELF901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 lead in coronary sinus and a lead in a left cardiac vein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  <w:vMerge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DELF012</w:t>
            </w:r>
          </w:p>
        </w:tc>
        <w:tc>
          <w:tcPr>
            <w:tcW w:w="2968" w:type="pct"/>
          </w:tcPr>
          <w:p w:rsidR="003F7F39" w:rsidRPr="00234E4E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4E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Permanent pacemaker implantation, with implantation of a lead in a left cardiac vein by transcutaneous venous route</w:t>
            </w:r>
          </w:p>
        </w:tc>
      </w:tr>
      <w:tr w:rsidR="003F7F39" w:rsidRPr="00234E4E" w:rsidTr="00605DC9">
        <w:trPr>
          <w:trHeight w:val="432"/>
        </w:trPr>
        <w:tc>
          <w:tcPr>
            <w:tcW w:w="1172" w:type="pct"/>
          </w:tcPr>
          <w:p w:rsidR="003F7F39" w:rsidRPr="00BF01E8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lastRenderedPageBreak/>
              <w:t>Undefined Pacemakers</w:t>
            </w:r>
          </w:p>
        </w:tc>
        <w:tc>
          <w:tcPr>
            <w:tcW w:w="860" w:type="pct"/>
            <w:vAlign w:val="center"/>
          </w:tcPr>
          <w:p w:rsidR="003F7F39" w:rsidRPr="0073543C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A39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DELA006</w:t>
            </w:r>
          </w:p>
        </w:tc>
        <w:tc>
          <w:tcPr>
            <w:tcW w:w="2968" w:type="pct"/>
            <w:vAlign w:val="center"/>
          </w:tcPr>
          <w:p w:rsidR="003F7F39" w:rsidRPr="0034012B" w:rsidRDefault="003F7F39" w:rsidP="00605DC9">
            <w:pPr>
              <w:tabs>
                <w:tab w:val="center" w:pos="6307"/>
                <w:tab w:val="right" w:pos="12600"/>
              </w:tabs>
              <w:spacing w:before="0" w:after="0"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01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Implantation of a cardiac pacing generator</w:t>
            </w:r>
          </w:p>
        </w:tc>
      </w:tr>
    </w:tbl>
    <w:p w:rsidR="003F7F39" w:rsidRPr="00BF01E8" w:rsidRDefault="003F7F39" w:rsidP="003F7F39">
      <w:pPr>
        <w:spacing w:after="0" w:line="480" w:lineRule="auto"/>
        <w:rPr>
          <w:rFonts w:ascii="Times New Roman" w:hAnsi="Times New Roman"/>
          <w:b/>
          <w:sz w:val="28"/>
          <w:lang w:val="en-US"/>
        </w:rPr>
      </w:pPr>
    </w:p>
    <w:p w:rsidR="003F7F39" w:rsidRPr="001A39FA" w:rsidRDefault="003F7F39" w:rsidP="003F7F3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01E8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3F7F39" w:rsidRPr="00AE3252" w:rsidRDefault="003F7F39" w:rsidP="003F7F39">
      <w:pPr>
        <w:spacing w:after="12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AE3252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B.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 xml:space="preserve"> Results for the 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 xml:space="preserve">ubgroup of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 xml:space="preserve">atients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 xml:space="preserve">mplanted with a 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>ingle-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 xml:space="preserve">hamber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 xml:space="preserve">acemaker at </w:t>
      </w:r>
      <w:r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>hree-</w:t>
      </w:r>
      <w:r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 xml:space="preserve">ears of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>ollow-</w:t>
      </w:r>
      <w:r>
        <w:rPr>
          <w:rFonts w:ascii="Times New Roman" w:hAnsi="Times New Roman"/>
          <w:bCs/>
          <w:sz w:val="24"/>
          <w:szCs w:val="24"/>
          <w:lang w:val="en-US"/>
        </w:rPr>
        <w:t>U</w:t>
      </w:r>
      <w:r w:rsidRPr="00AE3252">
        <w:rPr>
          <w:rFonts w:ascii="Times New Roman" w:hAnsi="Times New Roman"/>
          <w:bCs/>
          <w:sz w:val="24"/>
          <w:szCs w:val="24"/>
          <w:lang w:val="en-US"/>
        </w:rPr>
        <w:t>p.</w:t>
      </w:r>
    </w:p>
    <w:tbl>
      <w:tblPr>
        <w:tblStyle w:val="TableGrid"/>
        <w:tblpPr w:leftFromText="141" w:rightFromText="141" w:vertAnchor="page" w:horzAnchor="margin" w:tblpY="2742"/>
        <w:tblW w:w="0" w:type="auto"/>
        <w:tblLook w:val="04A0" w:firstRow="1" w:lastRow="0" w:firstColumn="1" w:lastColumn="0" w:noHBand="0" w:noVBand="1"/>
      </w:tblPr>
      <w:tblGrid>
        <w:gridCol w:w="3502"/>
        <w:gridCol w:w="2939"/>
        <w:gridCol w:w="2615"/>
      </w:tblGrid>
      <w:tr w:rsidR="003F7F39" w:rsidRPr="00234E4E" w:rsidTr="00605DC9">
        <w:tc>
          <w:tcPr>
            <w:tcW w:w="3502" w:type="dxa"/>
            <w:vAlign w:val="center"/>
          </w:tcPr>
          <w:p w:rsidR="003F7F39" w:rsidRPr="00234E4E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:rsidR="003F7F39" w:rsidRPr="00234E4E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9" w:type="dxa"/>
            <w:vAlign w:val="center"/>
          </w:tcPr>
          <w:p w:rsidR="003F7F39" w:rsidRPr="00234E4E" w:rsidRDefault="003F7F39" w:rsidP="00605DC9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34E4E">
              <w:rPr>
                <w:rFonts w:ascii="Times New Roman" w:hAnsi="Times New Roman" w:cs="Times New Roman"/>
                <w:b/>
                <w:lang w:val="en-US"/>
              </w:rPr>
              <w:t>Complications (%)</w:t>
            </w:r>
          </w:p>
        </w:tc>
        <w:tc>
          <w:tcPr>
            <w:tcW w:w="2615" w:type="dxa"/>
            <w:vAlign w:val="center"/>
          </w:tcPr>
          <w:p w:rsidR="003F7F39" w:rsidRPr="00234E4E" w:rsidRDefault="003F7F39" w:rsidP="00605DC9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34E4E">
              <w:rPr>
                <w:rFonts w:ascii="Times New Roman" w:hAnsi="Times New Roman" w:cs="Times New Roman"/>
                <w:b/>
                <w:lang w:val="en-US"/>
              </w:rPr>
              <w:t>Mean Complication Costs Per-Patient with a Complication</w:t>
            </w:r>
          </w:p>
        </w:tc>
      </w:tr>
      <w:tr w:rsidR="003F7F39" w:rsidRPr="00234E4E" w:rsidTr="00605DC9">
        <w:tc>
          <w:tcPr>
            <w:tcW w:w="3502" w:type="dxa"/>
            <w:vAlign w:val="center"/>
          </w:tcPr>
          <w:p w:rsidR="003F7F39" w:rsidRPr="001A39FA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F01E8">
              <w:rPr>
                <w:rFonts w:ascii="Times New Roman" w:hAnsi="Times New Roman" w:cs="Times New Roman"/>
                <w:lang w:val="en-US"/>
              </w:rPr>
              <w:t>Complications likely avoidable by leadless pacemakers (mechanical complications, pneumothorax, pocket bleedings)</w:t>
            </w:r>
          </w:p>
        </w:tc>
        <w:tc>
          <w:tcPr>
            <w:tcW w:w="2939" w:type="dxa"/>
            <w:vAlign w:val="center"/>
          </w:tcPr>
          <w:p w:rsidR="003F7F39" w:rsidRPr="0034012B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3543C">
              <w:rPr>
                <w:rFonts w:ascii="Times New Roman" w:hAnsi="Times New Roman" w:cs="Times New Roman"/>
                <w:lang w:val="en-US"/>
              </w:rPr>
              <w:t>417 (4.7%)</w:t>
            </w:r>
          </w:p>
        </w:tc>
        <w:tc>
          <w:tcPr>
            <w:tcW w:w="2615" w:type="dxa"/>
            <w:vAlign w:val="center"/>
          </w:tcPr>
          <w:p w:rsidR="003F7F39" w:rsidRPr="00F1573B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4012B">
              <w:rPr>
                <w:rFonts w:ascii="Times New Roman" w:hAnsi="Times New Roman" w:cs="Times New Roman"/>
                <w:lang w:val="en-US"/>
              </w:rPr>
              <w:t>€6,420 ± 2,998</w:t>
            </w:r>
          </w:p>
        </w:tc>
      </w:tr>
      <w:tr w:rsidR="003F7F39" w:rsidRPr="00234E4E" w:rsidTr="00605DC9">
        <w:tc>
          <w:tcPr>
            <w:tcW w:w="3502" w:type="dxa"/>
            <w:vAlign w:val="center"/>
          </w:tcPr>
          <w:p w:rsidR="003F7F39" w:rsidRPr="00BF01E8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F01E8">
              <w:rPr>
                <w:rFonts w:ascii="Times New Roman" w:hAnsi="Times New Roman" w:cs="Times New Roman"/>
                <w:lang w:val="en-US"/>
              </w:rPr>
              <w:t>Deep venous thrombosis</w:t>
            </w:r>
          </w:p>
        </w:tc>
        <w:tc>
          <w:tcPr>
            <w:tcW w:w="2939" w:type="dxa"/>
            <w:vAlign w:val="center"/>
          </w:tcPr>
          <w:p w:rsidR="003F7F39" w:rsidRPr="0073543C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A39FA">
              <w:rPr>
                <w:rFonts w:ascii="Times New Roman" w:hAnsi="Times New Roman" w:cs="Times New Roman"/>
                <w:lang w:val="en-US"/>
              </w:rPr>
              <w:t>8 (0.1%)</w:t>
            </w:r>
          </w:p>
        </w:tc>
        <w:tc>
          <w:tcPr>
            <w:tcW w:w="2615" w:type="dxa"/>
            <w:vAlign w:val="center"/>
          </w:tcPr>
          <w:p w:rsidR="003F7F39" w:rsidRPr="00F1573B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4012B">
              <w:rPr>
                <w:rFonts w:ascii="Times New Roman" w:hAnsi="Times New Roman" w:cs="Times New Roman"/>
                <w:lang w:val="en-US"/>
              </w:rPr>
              <w:t>€3,304 ± 4,011</w:t>
            </w:r>
          </w:p>
        </w:tc>
      </w:tr>
      <w:tr w:rsidR="003F7F39" w:rsidRPr="00234E4E" w:rsidTr="00605DC9">
        <w:tc>
          <w:tcPr>
            <w:tcW w:w="3502" w:type="dxa"/>
            <w:vAlign w:val="center"/>
          </w:tcPr>
          <w:p w:rsidR="003F7F39" w:rsidRPr="00BF01E8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F01E8">
              <w:rPr>
                <w:rFonts w:ascii="Times New Roman" w:hAnsi="Times New Roman" w:cs="Times New Roman"/>
                <w:lang w:val="en-US"/>
              </w:rPr>
              <w:t>Cardiac injuries</w:t>
            </w:r>
          </w:p>
        </w:tc>
        <w:tc>
          <w:tcPr>
            <w:tcW w:w="2939" w:type="dxa"/>
            <w:vAlign w:val="center"/>
          </w:tcPr>
          <w:p w:rsidR="003F7F39" w:rsidRPr="0073543C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A39FA">
              <w:rPr>
                <w:rFonts w:ascii="Times New Roman" w:hAnsi="Times New Roman" w:cs="Times New Roman"/>
                <w:lang w:val="en-US"/>
              </w:rPr>
              <w:t>14 (0.2%)</w:t>
            </w:r>
          </w:p>
        </w:tc>
        <w:tc>
          <w:tcPr>
            <w:tcW w:w="2615" w:type="dxa"/>
            <w:vAlign w:val="center"/>
          </w:tcPr>
          <w:p w:rsidR="003F7F39" w:rsidRPr="00F1573B" w:rsidRDefault="003F7F39" w:rsidP="00605DC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4012B">
              <w:rPr>
                <w:rFonts w:ascii="Times New Roman" w:hAnsi="Times New Roman" w:cs="Times New Roman"/>
                <w:lang w:val="en-US"/>
              </w:rPr>
              <w:t>€9,481 ± 6,691</w:t>
            </w:r>
          </w:p>
        </w:tc>
      </w:tr>
      <w:tr w:rsidR="003F7F39" w:rsidRPr="00234E4E" w:rsidTr="00605DC9">
        <w:tc>
          <w:tcPr>
            <w:tcW w:w="3502" w:type="dxa"/>
            <w:vAlign w:val="center"/>
          </w:tcPr>
          <w:p w:rsidR="003F7F39" w:rsidRPr="00447618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447618">
              <w:rPr>
                <w:rFonts w:asciiTheme="majorBidi" w:hAnsiTheme="majorBidi" w:cstheme="majorBidi"/>
                <w:lang w:val="en-US"/>
              </w:rPr>
              <w:t>Total</w:t>
            </w:r>
          </w:p>
        </w:tc>
        <w:tc>
          <w:tcPr>
            <w:tcW w:w="2939" w:type="dxa"/>
            <w:vAlign w:val="center"/>
          </w:tcPr>
          <w:p w:rsidR="003F7F39" w:rsidRPr="00447618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439 (</w:t>
            </w:r>
            <w:r w:rsidRPr="00447618">
              <w:rPr>
                <w:rFonts w:asciiTheme="majorBidi" w:hAnsiTheme="majorBidi" w:cstheme="majorBidi"/>
                <w:lang w:val="en-US"/>
              </w:rPr>
              <w:t>5%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2615" w:type="dxa"/>
            <w:vAlign w:val="center"/>
          </w:tcPr>
          <w:p w:rsidR="003F7F39" w:rsidRPr="00447618" w:rsidRDefault="003F7F39" w:rsidP="00605DC9">
            <w:pPr>
              <w:rPr>
                <w:rFonts w:asciiTheme="majorBidi" w:eastAsia="Times New Roman" w:hAnsiTheme="majorBidi" w:cstheme="majorBidi"/>
                <w:color w:val="000000"/>
                <w:lang w:val="de-DE" w:eastAsia="de-DE"/>
              </w:rPr>
            </w:pPr>
            <w:r w:rsidRPr="00447618">
              <w:rPr>
                <w:rFonts w:asciiTheme="majorBidi" w:hAnsiTheme="majorBidi" w:cstheme="majorBidi"/>
                <w:lang w:val="en-US"/>
              </w:rPr>
              <w:t>€</w:t>
            </w:r>
            <w:r w:rsidRPr="00447618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,</w:t>
            </w:r>
            <w:r w:rsidRPr="00447618">
              <w:rPr>
                <w:rFonts w:asciiTheme="majorBidi" w:hAnsiTheme="majorBidi" w:cstheme="majorBidi"/>
                <w:color w:val="000000"/>
              </w:rPr>
              <w:t>46</w:t>
            </w:r>
            <w:r w:rsidRPr="00447618">
              <w:rPr>
                <w:rFonts w:asciiTheme="majorBidi" w:hAnsiTheme="majorBidi" w:cstheme="majorBidi"/>
                <w:color w:val="000000"/>
                <w:lang w:val="de-DE"/>
              </w:rPr>
              <w:t xml:space="preserve">1 </w:t>
            </w:r>
            <w:r w:rsidRPr="00447618">
              <w:rPr>
                <w:rFonts w:ascii="Times New Roman" w:hAnsi="Times New Roman" w:cs="Times New Roman"/>
                <w:lang w:val="en-US"/>
              </w:rPr>
              <w:t>± 3,134</w:t>
            </w:r>
          </w:p>
          <w:p w:rsidR="003F7F39" w:rsidRPr="00447618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3F7F39" w:rsidRPr="00BF01E8" w:rsidRDefault="003F7F39" w:rsidP="003F7F39">
      <w:pPr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F7F39" w:rsidRPr="00BF01E8" w:rsidRDefault="003F7F39" w:rsidP="003F7F39">
      <w:pPr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F7F39" w:rsidRPr="0073543C" w:rsidRDefault="003F7F39" w:rsidP="003F7F39">
      <w:pPr>
        <w:spacing w:after="0" w:line="480" w:lineRule="auto"/>
        <w:rPr>
          <w:rFonts w:ascii="Times New Roman" w:hAnsi="Times New Roman"/>
          <w:b/>
          <w:sz w:val="28"/>
          <w:lang w:val="en-US"/>
        </w:rPr>
      </w:pPr>
    </w:p>
    <w:p w:rsidR="003F7F39" w:rsidRPr="0034012B" w:rsidRDefault="003F7F39" w:rsidP="003F7F39">
      <w:pPr>
        <w:spacing w:after="0" w:line="480" w:lineRule="auto"/>
        <w:rPr>
          <w:rFonts w:ascii="Times New Roman" w:hAnsi="Times New Roman"/>
          <w:b/>
          <w:sz w:val="28"/>
          <w:lang w:val="en-US"/>
        </w:rPr>
      </w:pPr>
    </w:p>
    <w:p w:rsidR="003F7F39" w:rsidRPr="00F1573B" w:rsidRDefault="003F7F39" w:rsidP="003F7F39">
      <w:pPr>
        <w:spacing w:after="0" w:line="480" w:lineRule="auto"/>
        <w:rPr>
          <w:rFonts w:ascii="Times New Roman" w:hAnsi="Times New Roman"/>
          <w:b/>
          <w:sz w:val="28"/>
          <w:lang w:val="en-US"/>
        </w:rPr>
      </w:pPr>
    </w:p>
    <w:p w:rsidR="003F7F39" w:rsidRPr="003E5EE7" w:rsidRDefault="003F7F39" w:rsidP="003F7F39">
      <w:pPr>
        <w:spacing w:after="0" w:line="480" w:lineRule="auto"/>
        <w:rPr>
          <w:rFonts w:ascii="Times New Roman" w:hAnsi="Times New Roman"/>
          <w:b/>
          <w:sz w:val="28"/>
          <w:lang w:val="en-US"/>
        </w:rPr>
      </w:pPr>
      <w:r w:rsidRPr="003E5EE7">
        <w:rPr>
          <w:rFonts w:ascii="Times New Roman" w:hAnsi="Times New Roman"/>
          <w:b/>
          <w:sz w:val="28"/>
          <w:lang w:val="en-US"/>
        </w:rPr>
        <w:br w:type="page"/>
      </w:r>
    </w:p>
    <w:p w:rsidR="003F7F39" w:rsidRPr="00AE3252" w:rsidRDefault="003F7F39" w:rsidP="003F7F39">
      <w:pPr>
        <w:spacing w:after="120" w:line="480" w:lineRule="auto"/>
        <w:rPr>
          <w:rFonts w:ascii="Times New Roman" w:hAnsi="Times New Roman"/>
          <w:bCs/>
          <w:sz w:val="24"/>
          <w:lang w:val="en-US"/>
        </w:rPr>
      </w:pPr>
      <w:r w:rsidRPr="00AE3252">
        <w:rPr>
          <w:rFonts w:ascii="Times New Roman" w:hAnsi="Times New Roman"/>
          <w:b/>
          <w:sz w:val="24"/>
          <w:lang w:val="en-US"/>
        </w:rPr>
        <w:lastRenderedPageBreak/>
        <w:t>Supplementary Table C.</w:t>
      </w:r>
      <w:r w:rsidRPr="00AE3252">
        <w:rPr>
          <w:rFonts w:ascii="Times New Roman" w:hAnsi="Times New Roman"/>
          <w:bCs/>
          <w:sz w:val="24"/>
          <w:lang w:val="en-US"/>
        </w:rPr>
        <w:t xml:space="preserve"> Survival </w:t>
      </w:r>
      <w:r>
        <w:rPr>
          <w:rFonts w:ascii="Times New Roman" w:hAnsi="Times New Roman"/>
          <w:bCs/>
          <w:sz w:val="24"/>
          <w:lang w:val="en-US"/>
        </w:rPr>
        <w:t>A</w:t>
      </w:r>
      <w:r w:rsidRPr="00AE3252">
        <w:rPr>
          <w:rFonts w:ascii="Times New Roman" w:hAnsi="Times New Roman"/>
          <w:bCs/>
          <w:sz w:val="24"/>
          <w:lang w:val="en-US"/>
        </w:rPr>
        <w:t xml:space="preserve">nalysis for </w:t>
      </w:r>
      <w:r>
        <w:rPr>
          <w:rFonts w:ascii="Times New Roman" w:hAnsi="Times New Roman"/>
          <w:bCs/>
          <w:sz w:val="24"/>
          <w:lang w:val="en-US"/>
        </w:rPr>
        <w:t>C</w:t>
      </w:r>
      <w:r w:rsidRPr="00AE3252">
        <w:rPr>
          <w:rFonts w:ascii="Times New Roman" w:hAnsi="Times New Roman"/>
          <w:bCs/>
          <w:sz w:val="24"/>
          <w:lang w:val="en-US"/>
        </w:rPr>
        <w:t xml:space="preserve">omplications </w:t>
      </w:r>
      <w:r>
        <w:rPr>
          <w:rFonts w:ascii="Times New Roman" w:hAnsi="Times New Roman"/>
          <w:bCs/>
          <w:sz w:val="24"/>
          <w:lang w:val="en-US"/>
        </w:rPr>
        <w:t>A</w:t>
      </w:r>
      <w:r w:rsidRPr="00AE3252">
        <w:rPr>
          <w:rFonts w:ascii="Times New Roman" w:hAnsi="Times New Roman"/>
          <w:bCs/>
          <w:sz w:val="24"/>
          <w:lang w:val="en-US"/>
        </w:rPr>
        <w:t xml:space="preserve">voidable by </w:t>
      </w:r>
      <w:r>
        <w:rPr>
          <w:rFonts w:ascii="Times New Roman" w:hAnsi="Times New Roman"/>
          <w:bCs/>
          <w:sz w:val="24"/>
          <w:lang w:val="en-US"/>
        </w:rPr>
        <w:t>L</w:t>
      </w:r>
      <w:r w:rsidRPr="00AE3252">
        <w:rPr>
          <w:rFonts w:ascii="Times New Roman" w:hAnsi="Times New Roman"/>
          <w:bCs/>
          <w:sz w:val="24"/>
          <w:lang w:val="en-US"/>
        </w:rPr>
        <w:t xml:space="preserve">eadless </w:t>
      </w:r>
      <w:r>
        <w:rPr>
          <w:rFonts w:ascii="Times New Roman" w:hAnsi="Times New Roman"/>
          <w:bCs/>
          <w:sz w:val="24"/>
          <w:lang w:val="en-US"/>
        </w:rPr>
        <w:t>P</w:t>
      </w:r>
      <w:r w:rsidRPr="00AE3252">
        <w:rPr>
          <w:rFonts w:ascii="Times New Roman" w:hAnsi="Times New Roman"/>
          <w:bCs/>
          <w:sz w:val="24"/>
          <w:lang w:val="en-US"/>
        </w:rPr>
        <w:t>acemakers.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976"/>
        <w:gridCol w:w="662"/>
        <w:gridCol w:w="661"/>
        <w:gridCol w:w="641"/>
        <w:gridCol w:w="876"/>
        <w:gridCol w:w="649"/>
        <w:gridCol w:w="653"/>
        <w:gridCol w:w="639"/>
        <w:gridCol w:w="1043"/>
      </w:tblGrid>
      <w:tr w:rsidR="003F7F39" w:rsidRPr="00234E4E" w:rsidTr="00605DC9">
        <w:tc>
          <w:tcPr>
            <w:tcW w:w="225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530" w:type="dxa"/>
            <w:gridSpan w:val="8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234E4E">
              <w:rPr>
                <w:rFonts w:asciiTheme="majorBidi" w:hAnsiTheme="majorBidi" w:cstheme="majorBidi"/>
                <w:b/>
                <w:lang w:val="en-US"/>
              </w:rPr>
              <w:t>Cox models</w:t>
            </w: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7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90" w:type="dxa"/>
            <w:gridSpan w:val="4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1A39FA">
              <w:rPr>
                <w:rFonts w:asciiTheme="majorBidi" w:hAnsiTheme="majorBidi" w:cstheme="majorBidi"/>
                <w:b/>
                <w:lang w:val="en-US"/>
              </w:rPr>
              <w:t>Univariate analysis (threshold = 10%)</w:t>
            </w:r>
          </w:p>
        </w:tc>
        <w:tc>
          <w:tcPr>
            <w:tcW w:w="2740" w:type="dxa"/>
            <w:gridSpan w:val="4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34012B">
              <w:rPr>
                <w:rFonts w:asciiTheme="majorBidi" w:hAnsiTheme="majorBidi" w:cstheme="majorBidi"/>
                <w:b/>
                <w:lang w:val="en-US"/>
              </w:rPr>
              <w:t>Multivariate analysis (threshold = 5%)</w:t>
            </w: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7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1A39FA">
              <w:rPr>
                <w:rFonts w:asciiTheme="majorBidi" w:hAnsiTheme="majorBidi" w:cstheme="majorBidi"/>
                <w:b/>
                <w:lang w:val="en-US"/>
              </w:rPr>
              <w:t>HR</w:t>
            </w:r>
          </w:p>
        </w:tc>
        <w:tc>
          <w:tcPr>
            <w:tcW w:w="1336" w:type="dxa"/>
            <w:gridSpan w:val="2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34012B">
              <w:rPr>
                <w:rFonts w:asciiTheme="majorBidi" w:hAnsiTheme="majorBidi" w:cstheme="majorBidi"/>
                <w:b/>
                <w:lang w:val="en-US"/>
              </w:rPr>
              <w:t>95% IC</w:t>
            </w: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3E5EE7">
              <w:rPr>
                <w:rFonts w:asciiTheme="majorBidi" w:hAnsiTheme="majorBidi" w:cstheme="majorBidi"/>
                <w:b/>
                <w:lang w:val="en-US"/>
              </w:rPr>
              <w:t>p-value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1529A0">
              <w:rPr>
                <w:rFonts w:asciiTheme="majorBidi" w:hAnsiTheme="majorBidi" w:cstheme="majorBidi"/>
                <w:b/>
                <w:lang w:val="en-US"/>
              </w:rPr>
              <w:t>HR</w:t>
            </w:r>
          </w:p>
        </w:tc>
        <w:tc>
          <w:tcPr>
            <w:tcW w:w="1313" w:type="dxa"/>
            <w:gridSpan w:val="2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1529A0">
              <w:rPr>
                <w:rFonts w:asciiTheme="majorBidi" w:hAnsiTheme="majorBidi" w:cstheme="majorBidi"/>
                <w:b/>
                <w:lang w:val="en-US"/>
              </w:rPr>
              <w:t>95% IC</w:t>
            </w: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746C57">
              <w:rPr>
                <w:rFonts w:asciiTheme="majorBidi" w:hAnsiTheme="majorBidi" w:cstheme="majorBidi"/>
                <w:b/>
                <w:lang w:val="en-US"/>
              </w:rPr>
              <w:t>p-value</w:t>
            </w: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Age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1.01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1.02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0.14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1.01</w:t>
            </w: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1.02</w:t>
            </w: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0.06</w:t>
            </w: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Gender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NS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NS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Men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Women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0.98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0.83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1.16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Type of pacemaker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NS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NS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SCP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DCP + CRT-P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1.11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0.91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1.36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Chronic respiratory failure, pneumothorax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0.0211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NS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1.23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1.03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1.48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Malnutrition/BMI &lt; 20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0.0023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746C57">
              <w:rPr>
                <w:rFonts w:asciiTheme="majorBidi" w:hAnsiTheme="majorBidi" w:cstheme="majorBidi"/>
                <w:b/>
                <w:lang w:val="en-US"/>
              </w:rPr>
              <w:t>0.01</w:t>
            </w:r>
          </w:p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1.43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1.14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1.80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1.35</w:t>
            </w: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1.07</w:t>
            </w: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1.71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lastRenderedPageBreak/>
              <w:t>Acute coronary syndrome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0.0159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746C57">
              <w:rPr>
                <w:rFonts w:asciiTheme="majorBidi" w:hAnsiTheme="majorBidi" w:cstheme="majorBidi"/>
                <w:b/>
                <w:lang w:val="en-US"/>
              </w:rPr>
              <w:t>0.04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1.48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1.08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2.05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1.42</w:t>
            </w: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1.02</w:t>
            </w: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1.98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Centers with low volume of activity</w:t>
            </w:r>
          </w:p>
        </w:tc>
        <w:tc>
          <w:tcPr>
            <w:tcW w:w="976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0.0589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NS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1.48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0.99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2.21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Oral anticoagulants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NS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Not included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1.03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0.84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1.28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Early reintervention (60 days before/after)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0.0228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746C57">
              <w:rPr>
                <w:rFonts w:asciiTheme="majorBidi" w:hAnsiTheme="majorBidi" w:cstheme="majorBidi"/>
                <w:b/>
                <w:lang w:val="en-US"/>
              </w:rPr>
              <w:t>0.00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1.30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1.04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1.65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1.43</w:t>
            </w: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1.13</w:t>
            </w: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1.81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Temporary pacing wire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0.0585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0.09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1.45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0.99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2.12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1.40</w:t>
            </w: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0.95</w:t>
            </w: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2.06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Dialysis, renal failure/insufficiency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NS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Not included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1.16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0.95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1.43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lastRenderedPageBreak/>
              <w:t>Diabetes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NS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Not included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1.11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0.92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1.34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Congestive heart failure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0.0094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0.08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1.27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1.06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1.53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1.18</w:t>
            </w: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0.98</w:t>
            </w: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1.43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Cirrhosis, liver failure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NS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Not included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1.11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0.71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1.74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BF01E8">
              <w:rPr>
                <w:rFonts w:asciiTheme="majorBidi" w:hAnsiTheme="majorBidi" w:cstheme="majorBidi"/>
                <w:b/>
                <w:lang w:val="en-US"/>
              </w:rPr>
              <w:t>Infection during the previous year</w:t>
            </w: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91" w:type="dxa"/>
          </w:tcPr>
          <w:p w:rsidR="003F7F39" w:rsidRPr="0073543C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89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7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0.0026</w:t>
            </w: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71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746C57">
              <w:rPr>
                <w:rFonts w:asciiTheme="majorBidi" w:hAnsiTheme="majorBidi" w:cstheme="majorBidi"/>
                <w:b/>
                <w:lang w:val="en-US"/>
              </w:rPr>
              <w:t>0.01</w:t>
            </w:r>
          </w:p>
        </w:tc>
      </w:tr>
      <w:tr w:rsidR="003F7F39" w:rsidRPr="00234E4E" w:rsidTr="00605DC9">
        <w:tc>
          <w:tcPr>
            <w:tcW w:w="2256" w:type="dxa"/>
            <w:vMerge w:val="restart"/>
          </w:tcPr>
          <w:p w:rsidR="003F7F39" w:rsidRPr="00BF01E8" w:rsidRDefault="003F7F39" w:rsidP="00605DC9">
            <w:pPr>
              <w:spacing w:line="480" w:lineRule="auto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976" w:type="dxa"/>
          </w:tcPr>
          <w:p w:rsidR="003F7F39" w:rsidRPr="001A39FA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BF01E8">
              <w:rPr>
                <w:rFonts w:asciiTheme="majorBidi" w:hAnsiTheme="majorBidi" w:cstheme="majorBidi"/>
                <w:lang w:val="en-US"/>
              </w:rPr>
              <w:t>No</w:t>
            </w:r>
          </w:p>
        </w:tc>
        <w:tc>
          <w:tcPr>
            <w:tcW w:w="691" w:type="dxa"/>
          </w:tcPr>
          <w:p w:rsidR="003F7F39" w:rsidRPr="0034012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3543C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89" w:type="dxa"/>
          </w:tcPr>
          <w:p w:rsidR="003F7F39" w:rsidRPr="00F1573B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4012B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7" w:type="dxa"/>
          </w:tcPr>
          <w:p w:rsidR="003F7F39" w:rsidRPr="003E5EE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3E5EE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1529A0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1529A0">
              <w:rPr>
                <w:rFonts w:asciiTheme="majorBidi" w:hAnsiTheme="majorBidi" w:cstheme="majorBidi"/>
                <w:lang w:val="en-US"/>
              </w:rPr>
              <w:t>1.00</w:t>
            </w:r>
          </w:p>
        </w:tc>
        <w:tc>
          <w:tcPr>
            <w:tcW w:w="671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642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746C57"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763" w:type="dxa"/>
          </w:tcPr>
          <w:p w:rsidR="003F7F39" w:rsidRPr="00746C57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F7F39" w:rsidRPr="00234E4E" w:rsidTr="00605DC9">
        <w:tc>
          <w:tcPr>
            <w:tcW w:w="2256" w:type="dxa"/>
            <w:vMerge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76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Yes</w:t>
            </w:r>
          </w:p>
        </w:tc>
        <w:tc>
          <w:tcPr>
            <w:tcW w:w="69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1.70</w:t>
            </w:r>
          </w:p>
        </w:tc>
        <w:tc>
          <w:tcPr>
            <w:tcW w:w="689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1.20</w:t>
            </w:r>
          </w:p>
        </w:tc>
        <w:tc>
          <w:tcPr>
            <w:tcW w:w="647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2.41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64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1.60</w:t>
            </w:r>
          </w:p>
        </w:tc>
        <w:tc>
          <w:tcPr>
            <w:tcW w:w="671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1.12</w:t>
            </w:r>
          </w:p>
        </w:tc>
        <w:tc>
          <w:tcPr>
            <w:tcW w:w="642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  <w:r w:rsidRPr="00234E4E">
              <w:rPr>
                <w:rFonts w:asciiTheme="majorBidi" w:hAnsiTheme="majorBidi" w:cstheme="majorBidi"/>
                <w:lang w:val="en-US"/>
              </w:rPr>
              <w:t>2.29</w:t>
            </w:r>
          </w:p>
        </w:tc>
        <w:tc>
          <w:tcPr>
            <w:tcW w:w="763" w:type="dxa"/>
          </w:tcPr>
          <w:p w:rsidR="003F7F39" w:rsidRPr="00234E4E" w:rsidRDefault="003F7F39" w:rsidP="00605DC9">
            <w:pPr>
              <w:spacing w:line="480" w:lineRule="auto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3F7F39" w:rsidRPr="00BF01E8" w:rsidRDefault="003F7F39" w:rsidP="003F7F39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7F39" w:rsidRDefault="003F7F39" w:rsidP="003F7F39">
      <w:pPr>
        <w:tabs>
          <w:tab w:val="num" w:pos="1440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F01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Cox models were used to express the instantaneous hazard of occurrence of </w:t>
      </w:r>
      <w:r w:rsidRPr="001A39FA">
        <w:rPr>
          <w:rFonts w:ascii="Times New Roman" w:hAnsi="Times New Roman" w:cs="Times New Roman"/>
          <w:iCs/>
          <w:sz w:val="24"/>
          <w:szCs w:val="24"/>
          <w:lang w:val="en-US"/>
        </w:rPr>
        <w:t>complications avoidable by Micra according to the factors of interest. Factors significantly associated with the studied outcome in the univariate analysis (threshold = 10%) were included in the multivariate analysis. Stepwise selection with backward elimi</w:t>
      </w:r>
      <w:r w:rsidRPr="0073543C">
        <w:rPr>
          <w:rFonts w:ascii="Times New Roman" w:hAnsi="Times New Roman" w:cs="Times New Roman"/>
          <w:iCs/>
          <w:sz w:val="24"/>
          <w:szCs w:val="24"/>
          <w:lang w:val="en-US"/>
        </w:rPr>
        <w:t>nation was applied, with a threshold of 5% and according to proportional risks hypothesis.</w:t>
      </w:r>
    </w:p>
    <w:p w:rsidR="003F7F39" w:rsidRPr="0034012B" w:rsidRDefault="003F7F39" w:rsidP="003F7F39">
      <w:pPr>
        <w:tabs>
          <w:tab w:val="num" w:pos="1440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F7F39" w:rsidRPr="003E5EE7" w:rsidRDefault="003F7F39" w:rsidP="003F7F39">
      <w:pPr>
        <w:tabs>
          <w:tab w:val="num" w:pos="1440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1573B">
        <w:rPr>
          <w:rFonts w:ascii="Times New Roman" w:hAnsi="Times New Roman" w:cs="Times New Roman"/>
          <w:iCs/>
          <w:sz w:val="24"/>
          <w:szCs w:val="24"/>
          <w:lang w:val="en-US"/>
        </w:rPr>
        <w:t>NS: non-significant; HR: hazard ratio; 95% CI: 95% confidence interval; Not included: non-sign</w:t>
      </w:r>
      <w:r w:rsidRPr="003E5E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ificant variable in the univariate analysis (threshold = 10%), therefore not included in the </w:t>
      </w:r>
      <w:r w:rsidRPr="003E5EE7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multivariate analysis; NS: non-significant variable (threshold 5%) in the multivariate analysis, therefore removed from the model.</w:t>
      </w:r>
    </w:p>
    <w:p w:rsidR="003F7F39" w:rsidRPr="003E5EE7" w:rsidRDefault="003F7F39" w:rsidP="003F7F39">
      <w:pPr>
        <w:tabs>
          <w:tab w:val="left" w:pos="890"/>
        </w:tabs>
        <w:spacing w:after="0" w:line="480" w:lineRule="auto"/>
        <w:rPr>
          <w:lang w:val="en-US"/>
        </w:rPr>
      </w:pPr>
    </w:p>
    <w:p w:rsidR="007468BD" w:rsidRDefault="007468BD">
      <w:bookmarkStart w:id="0" w:name="_GoBack"/>
      <w:bookmarkEnd w:id="0"/>
    </w:p>
    <w:sectPr w:rsidR="007468BD" w:rsidSect="00322B7F"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6">
      <wne:macro wne:macroName="QBPLUSPLUGIN2007.QBPLUSMAIN.QX_GOTOPREVIOUSFIELD"/>
    </wne:keymap>
    <wne:keymap wne:kcmPrimary="0428">
      <wne:macro wne:macroName="QBPLUSPLUGIN2007.QBPLUSMAIN.QX_GOTONEXTFIELD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8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F55B7" w:rsidRPr="00281E27" w:rsidRDefault="003F7F3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Pr="00F65D42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55B7" w:rsidRDefault="003F7F3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QXCitationStyleId" w:val="apa"/>
    <w:docVar w:name="QXCitationStyleName" w:val="American Psychological Association 6th Edition"/>
    <w:docVar w:name="QXCookie" w:val="49264737"/>
    <w:docVar w:name="QXCRLMode" w:val="0"/>
    <w:docVar w:name="QXFormattingMode" w:val="1"/>
  </w:docVars>
  <w:rsids>
    <w:rsidRoot w:val="003F7F39"/>
    <w:rsid w:val="003F7F39"/>
    <w:rsid w:val="007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7837-D62F-49C2-BC41-EC3858B1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F39"/>
    <w:rPr>
      <w:rFonts w:eastAsiaTheme="minorEastAsia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39"/>
    <w:rPr>
      <w:rFonts w:eastAsiaTheme="minorEastAsia"/>
      <w:lang w:val="el-GR" w:eastAsia="el-GR" w:bidi="ar-SA"/>
    </w:rPr>
  </w:style>
  <w:style w:type="table" w:customStyle="1" w:styleId="Grilledutableau11">
    <w:name w:val="Grille du tableau11"/>
    <w:basedOn w:val="TableNormal"/>
    <w:next w:val="TableGrid"/>
    <w:rsid w:val="003F7F3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F7F39"/>
    <w:pPr>
      <w:spacing w:after="0" w:line="240" w:lineRule="auto"/>
    </w:pPr>
    <w:rPr>
      <w:sz w:val="24"/>
      <w:szCs w:val="24"/>
      <w:lang w:val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4003</Characters>
  <Application>Microsoft Office Word</Application>
  <DocSecurity>0</DocSecurity>
  <Lines>595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Verhees, Koen</dc:creator>
  <cp:keywords>Medtronic Controlled</cp:keywords>
  <dc:description/>
  <cp:lastModifiedBy>Verhees, Koen</cp:lastModifiedBy>
  <cp:revision>1</cp:revision>
  <dcterms:created xsi:type="dcterms:W3CDTF">2019-05-17T11:59:00Z</dcterms:created>
  <dcterms:modified xsi:type="dcterms:W3CDTF">2019-05-17T12:01:00Z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2a6ced75-60b0-4c11-9bfa-a248cadc5cf6</vt:lpwstr>
  </property>
  <property fmtid="{D5CDD505-2E9C-101B-9397-08002B2CF9AE}" pid="3" name="DocumentCreator">
    <vt:lpwstr>verhek1</vt:lpwstr>
  </property>
  <property fmtid="{D5CDD505-2E9C-101B-9397-08002B2CF9AE}" pid="4" name="CreationDate">
    <vt:lpwstr>2019-05-17</vt:lpwstr>
  </property>
  <property fmtid="{D5CDD505-2E9C-101B-9397-08002B2CF9AE}" pid="5" name="Classification">
    <vt:lpwstr>MedtronicControlled</vt:lpwstr>
  </property>
</Properties>
</file>