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6E" w:rsidRPr="00B277E7" w:rsidRDefault="005E6689" w:rsidP="00211DF4">
      <w:pPr>
        <w:spacing w:after="0" w:line="240" w:lineRule="auto"/>
        <w:jc w:val="center"/>
        <w:rPr>
          <w:rFonts w:ascii="Times New Roman" w:hAnsi="Times New Roman" w:cs="Times New Roman"/>
          <w:b/>
          <w:sz w:val="28"/>
          <w:szCs w:val="28"/>
        </w:rPr>
      </w:pPr>
      <w:bookmarkStart w:id="0" w:name="_GoBack"/>
      <w:bookmarkEnd w:id="0"/>
      <w:r w:rsidRPr="00B277E7">
        <w:rPr>
          <w:rFonts w:ascii="Times New Roman" w:hAnsi="Times New Roman" w:cs="Times New Roman"/>
          <w:b/>
          <w:sz w:val="28"/>
          <w:szCs w:val="28"/>
        </w:rPr>
        <w:t>S</w:t>
      </w:r>
      <w:r w:rsidR="00211DF4" w:rsidRPr="00B277E7">
        <w:rPr>
          <w:rFonts w:ascii="Times New Roman" w:hAnsi="Times New Roman" w:cs="Times New Roman"/>
          <w:b/>
          <w:sz w:val="28"/>
          <w:szCs w:val="28"/>
        </w:rPr>
        <w:t>upplementary Material</w:t>
      </w:r>
    </w:p>
    <w:p w:rsidR="00FE5083" w:rsidRPr="00B277E7" w:rsidRDefault="00FE5083" w:rsidP="00211DF4">
      <w:pPr>
        <w:spacing w:after="0" w:line="240" w:lineRule="auto"/>
        <w:jc w:val="center"/>
        <w:rPr>
          <w:rFonts w:ascii="Times New Roman" w:eastAsia="Calibri" w:hAnsi="Times New Roman" w:cs="Times New Roman"/>
          <w:sz w:val="24"/>
          <w:szCs w:val="24"/>
        </w:rPr>
      </w:pPr>
    </w:p>
    <w:p w:rsidR="00211DF4" w:rsidRPr="00B277E7" w:rsidRDefault="00211DF4" w:rsidP="00211DF4">
      <w:pPr>
        <w:spacing w:before="120" w:after="0" w:line="240" w:lineRule="auto"/>
        <w:jc w:val="center"/>
        <w:rPr>
          <w:rFonts w:ascii="Times New Roman" w:eastAsia="Calibri" w:hAnsi="Times New Roman" w:cs="Times New Roman"/>
          <w:sz w:val="26"/>
          <w:szCs w:val="26"/>
        </w:rPr>
      </w:pPr>
      <w:r w:rsidRPr="00B277E7">
        <w:rPr>
          <w:rFonts w:ascii="Times New Roman" w:eastAsia="Calibri" w:hAnsi="Times New Roman" w:cs="Times New Roman"/>
          <w:sz w:val="26"/>
          <w:szCs w:val="26"/>
        </w:rPr>
        <w:t>Syntheses, structural characterization, DNA-cleavage and antioxidant features of the new tetra-substituted organo-soluble non-peripherally Co</w:t>
      </w:r>
      <w:r w:rsidRPr="00B277E7">
        <w:rPr>
          <w:rFonts w:ascii="Times New Roman" w:eastAsia="Calibri" w:hAnsi="Times New Roman" w:cs="Times New Roman"/>
          <w:sz w:val="26"/>
          <w:szCs w:val="26"/>
          <w:vertAlign w:val="superscript"/>
        </w:rPr>
        <w:t>II</w:t>
      </w:r>
      <w:r w:rsidRPr="00B277E7">
        <w:rPr>
          <w:rFonts w:ascii="Times New Roman" w:eastAsia="Calibri" w:hAnsi="Times New Roman" w:cs="Times New Roman"/>
          <w:sz w:val="26"/>
          <w:szCs w:val="26"/>
        </w:rPr>
        <w:t>, Cu</w:t>
      </w:r>
      <w:r w:rsidRPr="00B277E7">
        <w:rPr>
          <w:rFonts w:ascii="Times New Roman" w:eastAsia="Calibri" w:hAnsi="Times New Roman" w:cs="Times New Roman"/>
          <w:sz w:val="26"/>
          <w:szCs w:val="26"/>
          <w:vertAlign w:val="superscript"/>
        </w:rPr>
        <w:t>II</w:t>
      </w:r>
      <w:r w:rsidRPr="00B277E7">
        <w:rPr>
          <w:rFonts w:ascii="Times New Roman" w:eastAsia="Calibri" w:hAnsi="Times New Roman" w:cs="Times New Roman"/>
          <w:sz w:val="26"/>
          <w:szCs w:val="26"/>
        </w:rPr>
        <w:t>, Zn</w:t>
      </w:r>
      <w:r w:rsidRPr="00B277E7">
        <w:rPr>
          <w:rFonts w:ascii="Times New Roman" w:eastAsia="Calibri" w:hAnsi="Times New Roman" w:cs="Times New Roman"/>
          <w:sz w:val="26"/>
          <w:szCs w:val="26"/>
          <w:vertAlign w:val="superscript"/>
        </w:rPr>
        <w:t>II</w:t>
      </w:r>
      <w:r w:rsidRPr="00B277E7">
        <w:rPr>
          <w:rFonts w:ascii="Times New Roman" w:eastAsia="Calibri" w:hAnsi="Times New Roman" w:cs="Times New Roman"/>
          <w:sz w:val="26"/>
          <w:szCs w:val="26"/>
        </w:rPr>
        <w:t xml:space="preserve"> and Mg</w:t>
      </w:r>
      <w:r w:rsidRPr="00B277E7">
        <w:rPr>
          <w:rFonts w:ascii="Times New Roman" w:eastAsia="Calibri" w:hAnsi="Times New Roman" w:cs="Times New Roman"/>
          <w:sz w:val="26"/>
          <w:szCs w:val="26"/>
          <w:vertAlign w:val="superscript"/>
        </w:rPr>
        <w:t>II</w:t>
      </w:r>
      <w:r w:rsidRPr="00B277E7">
        <w:rPr>
          <w:rFonts w:ascii="Times New Roman" w:eastAsia="Calibri" w:hAnsi="Times New Roman" w:cs="Times New Roman"/>
          <w:sz w:val="26"/>
          <w:szCs w:val="26"/>
        </w:rPr>
        <w:t xml:space="preserve"> phthalocyanines</w:t>
      </w:r>
    </w:p>
    <w:p w:rsidR="00211DF4" w:rsidRPr="00B277E7" w:rsidRDefault="00211DF4" w:rsidP="00211DF4">
      <w:pPr>
        <w:spacing w:after="0" w:line="240" w:lineRule="auto"/>
        <w:jc w:val="center"/>
        <w:rPr>
          <w:rFonts w:ascii="Times New Roman" w:eastAsia="Calibri" w:hAnsi="Times New Roman" w:cs="Times New Roman"/>
          <w:sz w:val="24"/>
          <w:szCs w:val="20"/>
        </w:rPr>
      </w:pPr>
    </w:p>
    <w:p w:rsidR="00211DF4" w:rsidRPr="00B277E7" w:rsidRDefault="00211DF4" w:rsidP="00211DF4">
      <w:pPr>
        <w:spacing w:after="0" w:line="240" w:lineRule="auto"/>
        <w:jc w:val="center"/>
        <w:rPr>
          <w:rFonts w:ascii="Times New Roman" w:eastAsia="Calibri" w:hAnsi="Times New Roman" w:cs="Times New Roman"/>
          <w:sz w:val="20"/>
          <w:szCs w:val="20"/>
        </w:rPr>
      </w:pPr>
      <w:r w:rsidRPr="00B277E7">
        <w:rPr>
          <w:rFonts w:ascii="Times New Roman" w:eastAsia="Calibri" w:hAnsi="Times New Roman" w:cs="Times New Roman"/>
          <w:sz w:val="20"/>
          <w:szCs w:val="20"/>
        </w:rPr>
        <w:t>HALISE YALAZAN, BURAK BARUT, GÜLPINAR SARKI, BEYTULLAH ERTEM</w:t>
      </w:r>
      <w:r w:rsidRPr="00B277E7">
        <w:rPr>
          <w:rFonts w:ascii="Times New Roman" w:hAnsi="Times New Roman"/>
          <w:sz w:val="20"/>
          <w:szCs w:val="20"/>
          <w:lang w:val="tr-TR"/>
        </w:rPr>
        <w:t>*</w:t>
      </w:r>
      <w:r w:rsidRPr="00B277E7">
        <w:rPr>
          <w:rFonts w:ascii="Times New Roman" w:eastAsia="Calibri" w:hAnsi="Times New Roman" w:cs="Times New Roman"/>
          <w:sz w:val="20"/>
          <w:szCs w:val="20"/>
        </w:rPr>
        <w:t>, YASEMIN ÜNVER, ARZU ÖZEL and HALIT KANTEKIN</w:t>
      </w:r>
    </w:p>
    <w:p w:rsidR="00FE5083" w:rsidRPr="00751A69" w:rsidRDefault="00FE5083" w:rsidP="00751A69">
      <w:pPr>
        <w:autoSpaceDE w:val="0"/>
        <w:autoSpaceDN w:val="0"/>
        <w:adjustRightInd w:val="0"/>
        <w:spacing w:after="0" w:line="360" w:lineRule="auto"/>
        <w:jc w:val="both"/>
        <w:rPr>
          <w:rFonts w:ascii="Times New Roman" w:eastAsia="Calibri" w:hAnsi="Times New Roman" w:cs="Times New Roman"/>
          <w:bCs/>
          <w:sz w:val="24"/>
          <w:szCs w:val="24"/>
          <w:lang w:eastAsia="tr-TR"/>
        </w:rPr>
      </w:pPr>
    </w:p>
    <w:p w:rsidR="002C2D6E" w:rsidRPr="00751A69" w:rsidRDefault="005E6689" w:rsidP="00751A69">
      <w:pPr>
        <w:autoSpaceDE w:val="0"/>
        <w:autoSpaceDN w:val="0"/>
        <w:adjustRightInd w:val="0"/>
        <w:spacing w:after="0" w:line="360" w:lineRule="auto"/>
        <w:jc w:val="both"/>
        <w:rPr>
          <w:rFonts w:ascii="Times New Roman" w:eastAsia="Calibri" w:hAnsi="Times New Roman" w:cs="Times New Roman"/>
          <w:b/>
          <w:bCs/>
          <w:sz w:val="24"/>
          <w:szCs w:val="24"/>
          <w:lang w:eastAsia="tr-TR"/>
        </w:rPr>
      </w:pPr>
      <w:r w:rsidRPr="00751A69">
        <w:rPr>
          <w:rFonts w:ascii="Times New Roman" w:eastAsia="Calibri" w:hAnsi="Times New Roman" w:cs="Times New Roman"/>
          <w:b/>
          <w:bCs/>
          <w:sz w:val="24"/>
          <w:szCs w:val="24"/>
          <w:lang w:eastAsia="tr-TR"/>
        </w:rPr>
        <w:t xml:space="preserve">1.1. </w:t>
      </w:r>
      <w:r w:rsidR="00D2321E" w:rsidRPr="00751A69">
        <w:rPr>
          <w:rFonts w:ascii="Times New Roman" w:eastAsia="Calibri" w:hAnsi="Times New Roman" w:cs="Times New Roman"/>
          <w:b/>
          <w:bCs/>
          <w:sz w:val="24"/>
          <w:szCs w:val="24"/>
          <w:lang w:eastAsia="tr-TR"/>
        </w:rPr>
        <w:t>Chemicals and instrumentation</w:t>
      </w:r>
    </w:p>
    <w:p w:rsidR="00563B98" w:rsidRPr="00751A69" w:rsidRDefault="005E6689" w:rsidP="00751A69">
      <w:pPr>
        <w:spacing w:after="0" w:line="360" w:lineRule="auto"/>
        <w:ind w:firstLine="720"/>
        <w:jc w:val="both"/>
        <w:rPr>
          <w:rFonts w:ascii="Times New Roman" w:eastAsia="Calibri" w:hAnsi="Times New Roman" w:cs="Times New Roman"/>
          <w:sz w:val="24"/>
          <w:szCs w:val="24"/>
        </w:rPr>
      </w:pPr>
      <w:r w:rsidRPr="00751A69">
        <w:rPr>
          <w:rFonts w:ascii="Times New Roman" w:eastAsia="Calibri" w:hAnsi="Times New Roman" w:cs="Times New Roman"/>
          <w:sz w:val="24"/>
          <w:szCs w:val="24"/>
        </w:rPr>
        <w:t xml:space="preserve">Pyridine, </w:t>
      </w:r>
      <w:r w:rsidRPr="00751A69">
        <w:rPr>
          <w:rFonts w:ascii="Times New Roman" w:eastAsia="Calibri" w:hAnsi="Times New Roman" w:cs="Times New Roman"/>
          <w:i/>
          <w:sz w:val="24"/>
          <w:szCs w:val="24"/>
        </w:rPr>
        <w:t>p</w:t>
      </w:r>
      <w:r w:rsidRPr="00751A69">
        <w:rPr>
          <w:rFonts w:ascii="Times New Roman" w:eastAsia="Calibri" w:hAnsi="Times New Roman" w:cs="Times New Roman"/>
          <w:sz w:val="24"/>
          <w:szCs w:val="24"/>
        </w:rPr>
        <w:t xml:space="preserve">-toluenesulfonyl chloride, 4-morpholinoaniline </w:t>
      </w:r>
      <w:r w:rsidRPr="003A4508">
        <w:rPr>
          <w:rFonts w:ascii="Times New Roman" w:eastAsia="Calibri" w:hAnsi="Times New Roman" w:cs="Times New Roman"/>
          <w:sz w:val="24"/>
          <w:szCs w:val="24"/>
        </w:rPr>
        <w:t>(</w:t>
      </w:r>
      <w:r w:rsidRPr="00751A69">
        <w:rPr>
          <w:rFonts w:ascii="Times New Roman" w:eastAsia="Calibri" w:hAnsi="Times New Roman" w:cs="Times New Roman"/>
          <w:b/>
          <w:sz w:val="24"/>
          <w:szCs w:val="24"/>
        </w:rPr>
        <w:t>1</w:t>
      </w:r>
      <w:r w:rsidRPr="003A4508">
        <w:rPr>
          <w:rFonts w:ascii="Times New Roman" w:eastAsia="Calibri" w:hAnsi="Times New Roman" w:cs="Times New Roman"/>
          <w:sz w:val="24"/>
          <w:szCs w:val="24"/>
        </w:rPr>
        <w:t xml:space="preserve">), </w:t>
      </w:r>
      <w:r w:rsidRPr="00751A69">
        <w:rPr>
          <w:rFonts w:ascii="Times New Roman" w:eastAsia="Calibri" w:hAnsi="Times New Roman" w:cs="Times New Roman"/>
          <w:sz w:val="24"/>
          <w:szCs w:val="24"/>
        </w:rPr>
        <w:t xml:space="preserve">conc. HCl, </w:t>
      </w:r>
      <w:r w:rsidR="002968C5" w:rsidRPr="00751A69">
        <w:rPr>
          <w:rFonts w:ascii="Times New Roman" w:eastAsia="Calibri" w:hAnsi="Times New Roman" w:cs="Times New Roman"/>
          <w:sz w:val="24"/>
          <w:szCs w:val="24"/>
        </w:rPr>
        <w:t xml:space="preserve">anhydrous </w:t>
      </w:r>
      <w:r w:rsidRPr="00751A69">
        <w:rPr>
          <w:rFonts w:ascii="Times New Roman" w:eastAsia="Calibri" w:hAnsi="Times New Roman" w:cs="Times New Roman"/>
          <w:sz w:val="24"/>
          <w:szCs w:val="24"/>
        </w:rPr>
        <w:t>Na</w:t>
      </w:r>
      <w:r w:rsidRPr="00751A69">
        <w:rPr>
          <w:rFonts w:ascii="Times New Roman" w:eastAsia="Calibri" w:hAnsi="Times New Roman" w:cs="Times New Roman"/>
          <w:sz w:val="24"/>
          <w:szCs w:val="24"/>
          <w:vertAlign w:val="subscript"/>
        </w:rPr>
        <w:t>2</w:t>
      </w:r>
      <w:r w:rsidRPr="00751A69">
        <w:rPr>
          <w:rFonts w:ascii="Times New Roman" w:eastAsia="Calibri" w:hAnsi="Times New Roman" w:cs="Times New Roman"/>
          <w:sz w:val="24"/>
          <w:szCs w:val="24"/>
        </w:rPr>
        <w:t>SO</w:t>
      </w:r>
      <w:r w:rsidRPr="00751A69">
        <w:rPr>
          <w:rFonts w:ascii="Times New Roman" w:eastAsia="Calibri" w:hAnsi="Times New Roman" w:cs="Times New Roman"/>
          <w:sz w:val="24"/>
          <w:szCs w:val="24"/>
          <w:vertAlign w:val="subscript"/>
        </w:rPr>
        <w:t>4</w:t>
      </w:r>
      <w:r w:rsidRPr="00751A69">
        <w:rPr>
          <w:rFonts w:ascii="Times New Roman" w:eastAsia="Calibri" w:hAnsi="Times New Roman" w:cs="Times New Roman"/>
          <w:sz w:val="24"/>
          <w:szCs w:val="24"/>
        </w:rPr>
        <w:t>,</w:t>
      </w:r>
      <w:r w:rsidRPr="003A4508">
        <w:rPr>
          <w:rFonts w:ascii="Times New Roman" w:eastAsia="Calibri" w:hAnsi="Times New Roman" w:cs="Times New Roman"/>
          <w:sz w:val="24"/>
          <w:szCs w:val="24"/>
        </w:rPr>
        <w:t xml:space="preserve"> </w:t>
      </w:r>
      <w:r w:rsidRPr="00751A69">
        <w:rPr>
          <w:rFonts w:ascii="Times New Roman" w:eastAsia="Calibri" w:hAnsi="Times New Roman" w:cs="Times New Roman"/>
          <w:sz w:val="24"/>
          <w:szCs w:val="24"/>
        </w:rPr>
        <w:t>dimethylformamide (DMF), dichloromethane (DCM), ethanol (EtOH), dimethyl sulfoxide (DMSO), tetrahydrofuran (THF), anhydrous K</w:t>
      </w:r>
      <w:r w:rsidRPr="00751A69">
        <w:rPr>
          <w:rFonts w:ascii="Times New Roman" w:eastAsia="Calibri" w:hAnsi="Times New Roman" w:cs="Times New Roman"/>
          <w:sz w:val="24"/>
          <w:szCs w:val="24"/>
          <w:vertAlign w:val="subscript"/>
        </w:rPr>
        <w:t>2</w:t>
      </w:r>
      <w:r w:rsidRPr="00751A69">
        <w:rPr>
          <w:rFonts w:ascii="Times New Roman" w:eastAsia="Calibri" w:hAnsi="Times New Roman" w:cs="Times New Roman"/>
          <w:sz w:val="24"/>
          <w:szCs w:val="24"/>
        </w:rPr>
        <w:t>CO</w:t>
      </w:r>
      <w:r w:rsidRPr="00751A69">
        <w:rPr>
          <w:rFonts w:ascii="Times New Roman" w:eastAsia="Calibri" w:hAnsi="Times New Roman" w:cs="Times New Roman"/>
          <w:sz w:val="24"/>
          <w:szCs w:val="24"/>
          <w:vertAlign w:val="subscript"/>
        </w:rPr>
        <w:t>3</w:t>
      </w:r>
      <w:r w:rsidRPr="00751A69">
        <w:rPr>
          <w:rFonts w:ascii="Times New Roman" w:eastAsia="Calibri" w:hAnsi="Times New Roman" w:cs="Times New Roman"/>
          <w:sz w:val="24"/>
          <w:szCs w:val="24"/>
        </w:rPr>
        <w:t>, pentan-1-ol, ethyl acetate (EtOAc), chloroform (CHCI</w:t>
      </w:r>
      <w:r w:rsidRPr="00751A69">
        <w:rPr>
          <w:rFonts w:ascii="Times New Roman" w:eastAsia="Calibri" w:hAnsi="Times New Roman" w:cs="Times New Roman"/>
          <w:sz w:val="24"/>
          <w:szCs w:val="24"/>
          <w:vertAlign w:val="subscript"/>
        </w:rPr>
        <w:t>3</w:t>
      </w:r>
      <w:r w:rsidRPr="00751A69">
        <w:rPr>
          <w:rFonts w:ascii="Times New Roman" w:eastAsia="Calibri" w:hAnsi="Times New Roman" w:cs="Times New Roman"/>
          <w:sz w:val="24"/>
          <w:szCs w:val="24"/>
        </w:rPr>
        <w:t xml:space="preserve">), </w:t>
      </w:r>
      <w:r w:rsidR="00CD22D6" w:rsidRPr="00751A69">
        <w:rPr>
          <w:rFonts w:ascii="Times New Roman" w:eastAsia="Calibri" w:hAnsi="Times New Roman" w:cs="Times New Roman"/>
          <w:i/>
          <w:sz w:val="24"/>
          <w:szCs w:val="24"/>
        </w:rPr>
        <w:t>n</w:t>
      </w:r>
      <w:r w:rsidR="00CD22D6" w:rsidRPr="00751A69">
        <w:rPr>
          <w:rFonts w:ascii="Times New Roman" w:eastAsia="Calibri" w:hAnsi="Times New Roman" w:cs="Times New Roman"/>
          <w:sz w:val="24"/>
          <w:szCs w:val="24"/>
        </w:rPr>
        <w:t xml:space="preserve">-amyl alcohol, </w:t>
      </w:r>
      <w:r w:rsidRPr="00751A69">
        <w:rPr>
          <w:rFonts w:ascii="Times New Roman" w:eastAsia="Calibri" w:hAnsi="Times New Roman" w:cs="Times New Roman"/>
          <w:sz w:val="24"/>
          <w:szCs w:val="24"/>
          <w:lang w:val="tr-TR"/>
        </w:rPr>
        <w:t xml:space="preserve">1,8-diazabicyclo[5.4.0]undec-7-ene (DBU), </w:t>
      </w:r>
      <w:r w:rsidR="00CD22D6" w:rsidRPr="00751A69">
        <w:rPr>
          <w:rFonts w:ascii="Times New Roman" w:eastAsia="Calibri" w:hAnsi="Times New Roman" w:cs="Times New Roman"/>
          <w:sz w:val="24"/>
          <w:szCs w:val="24"/>
        </w:rPr>
        <w:t>anhydrous CoC1</w:t>
      </w:r>
      <w:r w:rsidR="00CD22D6" w:rsidRPr="00751A69">
        <w:rPr>
          <w:rFonts w:ascii="Times New Roman" w:eastAsia="Calibri" w:hAnsi="Times New Roman" w:cs="Times New Roman"/>
          <w:sz w:val="24"/>
          <w:szCs w:val="24"/>
          <w:vertAlign w:val="subscript"/>
        </w:rPr>
        <w:t>2</w:t>
      </w:r>
      <w:r w:rsidR="00CD22D6" w:rsidRPr="00751A69">
        <w:rPr>
          <w:rFonts w:ascii="Times New Roman" w:eastAsia="Calibri" w:hAnsi="Times New Roman" w:cs="Times New Roman"/>
          <w:sz w:val="24"/>
          <w:szCs w:val="24"/>
        </w:rPr>
        <w:t>, anhydrous CuC1</w:t>
      </w:r>
      <w:r w:rsidR="00CD22D6" w:rsidRPr="00751A69">
        <w:rPr>
          <w:rFonts w:ascii="Times New Roman" w:eastAsia="Calibri" w:hAnsi="Times New Roman" w:cs="Times New Roman"/>
          <w:sz w:val="24"/>
          <w:szCs w:val="24"/>
          <w:vertAlign w:val="subscript"/>
        </w:rPr>
        <w:t>2</w:t>
      </w:r>
      <w:r w:rsidR="00CD22D6" w:rsidRPr="00751A69">
        <w:rPr>
          <w:rFonts w:ascii="Times New Roman" w:eastAsia="Calibri" w:hAnsi="Times New Roman" w:cs="Times New Roman"/>
          <w:sz w:val="24"/>
          <w:szCs w:val="24"/>
        </w:rPr>
        <w:t xml:space="preserve">, </w:t>
      </w:r>
      <w:r w:rsidRPr="00751A69">
        <w:rPr>
          <w:rFonts w:ascii="Times New Roman" w:eastAsia="Calibri" w:hAnsi="Times New Roman" w:cs="Times New Roman"/>
          <w:sz w:val="24"/>
          <w:szCs w:val="24"/>
        </w:rPr>
        <w:t>anhydrous MgC1</w:t>
      </w:r>
      <w:r w:rsidRPr="00751A69">
        <w:rPr>
          <w:rFonts w:ascii="Times New Roman" w:eastAsia="Calibri" w:hAnsi="Times New Roman" w:cs="Times New Roman"/>
          <w:sz w:val="24"/>
          <w:szCs w:val="24"/>
          <w:vertAlign w:val="subscript"/>
        </w:rPr>
        <w:t>2</w:t>
      </w:r>
      <w:r w:rsidRPr="00751A69">
        <w:rPr>
          <w:rFonts w:ascii="Times New Roman" w:eastAsia="Calibri" w:hAnsi="Times New Roman" w:cs="Times New Roman"/>
          <w:sz w:val="24"/>
          <w:szCs w:val="24"/>
        </w:rPr>
        <w:t>, anhydrous Zn(CH</w:t>
      </w:r>
      <w:r w:rsidRPr="00751A69">
        <w:rPr>
          <w:rFonts w:ascii="Times New Roman" w:eastAsia="Calibri" w:hAnsi="Times New Roman" w:cs="Times New Roman"/>
          <w:sz w:val="24"/>
          <w:szCs w:val="24"/>
          <w:vertAlign w:val="subscript"/>
        </w:rPr>
        <w:t>3</w:t>
      </w:r>
      <w:r w:rsidRPr="00751A69">
        <w:rPr>
          <w:rFonts w:ascii="Times New Roman" w:eastAsia="Calibri" w:hAnsi="Times New Roman" w:cs="Times New Roman"/>
          <w:sz w:val="24"/>
          <w:szCs w:val="24"/>
        </w:rPr>
        <w:t>COO)</w:t>
      </w:r>
      <w:r w:rsidRPr="00751A69">
        <w:rPr>
          <w:rFonts w:ascii="Times New Roman" w:eastAsia="Calibri" w:hAnsi="Times New Roman" w:cs="Times New Roman"/>
          <w:sz w:val="24"/>
          <w:szCs w:val="24"/>
          <w:vertAlign w:val="subscript"/>
        </w:rPr>
        <w:t xml:space="preserve">2 </w:t>
      </w:r>
      <w:r w:rsidRPr="00751A69">
        <w:rPr>
          <w:rFonts w:ascii="Times New Roman" w:eastAsia="Calibri" w:hAnsi="Times New Roman" w:cs="Times New Roman"/>
          <w:sz w:val="24"/>
          <w:szCs w:val="24"/>
        </w:rPr>
        <w:t>[Zn(OAc)</w:t>
      </w:r>
      <w:r w:rsidRPr="00751A69">
        <w:rPr>
          <w:rFonts w:ascii="Times New Roman" w:eastAsia="Calibri" w:hAnsi="Times New Roman" w:cs="Times New Roman"/>
          <w:sz w:val="24"/>
          <w:szCs w:val="24"/>
          <w:vertAlign w:val="subscript"/>
        </w:rPr>
        <w:t>2</w:t>
      </w:r>
      <w:r w:rsidRPr="00751A69">
        <w:rPr>
          <w:rFonts w:ascii="Times New Roman" w:eastAsia="Calibri" w:hAnsi="Times New Roman" w:cs="Times New Roman"/>
          <w:sz w:val="24"/>
          <w:szCs w:val="24"/>
        </w:rPr>
        <w:t xml:space="preserve">], </w:t>
      </w:r>
      <w:r w:rsidR="002968C5" w:rsidRPr="00751A69">
        <w:rPr>
          <w:rFonts w:ascii="Times New Roman" w:eastAsia="Calibri" w:hAnsi="Times New Roman" w:cs="Times New Roman"/>
          <w:sz w:val="24"/>
          <w:szCs w:val="24"/>
        </w:rPr>
        <w:t>silica gel plates with UV indicator (60 F</w:t>
      </w:r>
      <w:r w:rsidR="002968C5" w:rsidRPr="00751A69">
        <w:rPr>
          <w:rFonts w:ascii="Times New Roman" w:eastAsia="Calibri" w:hAnsi="Times New Roman" w:cs="Times New Roman"/>
          <w:sz w:val="24"/>
          <w:szCs w:val="24"/>
          <w:vertAlign w:val="subscript"/>
        </w:rPr>
        <w:t>254</w:t>
      </w:r>
      <w:r w:rsidR="002968C5" w:rsidRPr="00751A69">
        <w:rPr>
          <w:rFonts w:ascii="Times New Roman" w:eastAsia="Calibri" w:hAnsi="Times New Roman" w:cs="Times New Roman"/>
          <w:sz w:val="24"/>
          <w:szCs w:val="24"/>
        </w:rPr>
        <w:t xml:space="preserve">), </w:t>
      </w:r>
      <w:r w:rsidRPr="00751A69">
        <w:rPr>
          <w:rFonts w:ascii="Times New Roman" w:eastAsia="Calibri" w:hAnsi="Times New Roman" w:cs="Times New Roman"/>
          <w:sz w:val="24"/>
          <w:szCs w:val="24"/>
        </w:rPr>
        <w:t>tetramethylsilane (Me</w:t>
      </w:r>
      <w:r w:rsidRPr="00751A69">
        <w:rPr>
          <w:rFonts w:ascii="Times New Roman" w:eastAsia="Calibri" w:hAnsi="Times New Roman" w:cs="Times New Roman"/>
          <w:sz w:val="24"/>
          <w:szCs w:val="24"/>
          <w:vertAlign w:val="subscript"/>
        </w:rPr>
        <w:t>4</w:t>
      </w:r>
      <w:r w:rsidRPr="00751A69">
        <w:rPr>
          <w:rFonts w:ascii="Times New Roman" w:eastAsia="Calibri" w:hAnsi="Times New Roman" w:cs="Times New Roman"/>
          <w:sz w:val="24"/>
          <w:szCs w:val="24"/>
        </w:rPr>
        <w:t>Si), acetic acid, agarose, bromophenol blue, ethylenediaminetetraacetate (EDTA), ethidium bromide (EB), glycerol, hydrogen peroxide (H</w:t>
      </w:r>
      <w:r w:rsidRPr="00751A69">
        <w:rPr>
          <w:rFonts w:ascii="Times New Roman" w:eastAsia="Calibri" w:hAnsi="Times New Roman" w:cs="Times New Roman"/>
          <w:sz w:val="24"/>
          <w:szCs w:val="24"/>
          <w:vertAlign w:val="subscript"/>
        </w:rPr>
        <w:t>2</w:t>
      </w:r>
      <w:r w:rsidRPr="00751A69">
        <w:rPr>
          <w:rFonts w:ascii="Times New Roman" w:eastAsia="Calibri" w:hAnsi="Times New Roman" w:cs="Times New Roman"/>
          <w:sz w:val="24"/>
          <w:szCs w:val="24"/>
        </w:rPr>
        <w:t>O</w:t>
      </w:r>
      <w:r w:rsidRPr="00751A69">
        <w:rPr>
          <w:rFonts w:ascii="Times New Roman" w:eastAsia="Calibri" w:hAnsi="Times New Roman" w:cs="Times New Roman"/>
          <w:sz w:val="24"/>
          <w:szCs w:val="24"/>
          <w:vertAlign w:val="subscript"/>
        </w:rPr>
        <w:t>2</w:t>
      </w:r>
      <w:r w:rsidRPr="00751A69">
        <w:rPr>
          <w:rFonts w:ascii="Times New Roman" w:eastAsia="Calibri" w:hAnsi="Times New Roman" w:cs="Times New Roman"/>
          <w:sz w:val="24"/>
          <w:szCs w:val="24"/>
        </w:rPr>
        <w:t xml:space="preserve">), </w:t>
      </w:r>
      <w:r w:rsidR="009D3C36" w:rsidRPr="00751A69">
        <w:rPr>
          <w:rFonts w:ascii="Times New Roman" w:eastAsia="Calibri" w:hAnsi="Times New Roman" w:cs="Times New Roman"/>
          <w:sz w:val="24"/>
          <w:szCs w:val="24"/>
        </w:rPr>
        <w:t xml:space="preserve">gallic acid (GA), </w:t>
      </w:r>
      <w:r w:rsidRPr="00751A69">
        <w:rPr>
          <w:rFonts w:ascii="Times New Roman" w:eastAsia="Calibri" w:hAnsi="Times New Roman" w:cs="Times New Roman"/>
          <w:sz w:val="24"/>
          <w:szCs w:val="24"/>
        </w:rPr>
        <w:t>supercoiled pBR322 plasmid DNA and 2,2-diphenyl-1-picrylhydrazyl (DPPH) were purchased from</w:t>
      </w:r>
      <w:r w:rsidRPr="00751A69">
        <w:rPr>
          <w:rFonts w:ascii="Calibri" w:eastAsia="Calibri" w:hAnsi="Calibri" w:cs="Times New Roman"/>
          <w:sz w:val="24"/>
          <w:szCs w:val="24"/>
        </w:rPr>
        <w:t xml:space="preserve"> </w:t>
      </w:r>
      <w:r w:rsidRPr="00751A69">
        <w:rPr>
          <w:rFonts w:ascii="Times New Roman" w:eastAsia="Calibri" w:hAnsi="Times New Roman" w:cs="Times New Roman"/>
          <w:sz w:val="24"/>
          <w:szCs w:val="24"/>
        </w:rPr>
        <w:t>commercial suppliers.</w:t>
      </w:r>
    </w:p>
    <w:p w:rsidR="00563B98" w:rsidRPr="00751A69" w:rsidRDefault="005E6689" w:rsidP="00751A69">
      <w:pPr>
        <w:spacing w:after="0" w:line="360" w:lineRule="auto"/>
        <w:ind w:firstLine="720"/>
        <w:jc w:val="both"/>
        <w:rPr>
          <w:rFonts w:ascii="Times New Roman" w:eastAsia="Calibri" w:hAnsi="Times New Roman" w:cs="Times New Roman"/>
          <w:b/>
          <w:bCs/>
          <w:sz w:val="24"/>
          <w:szCs w:val="24"/>
          <w:lang w:eastAsia="tr-TR"/>
        </w:rPr>
      </w:pPr>
      <w:r w:rsidRPr="00751A69">
        <w:rPr>
          <w:rFonts w:ascii="Times New Roman" w:eastAsia="Calibri" w:hAnsi="Times New Roman" w:cs="Times New Roman"/>
          <w:sz w:val="24"/>
          <w:szCs w:val="24"/>
        </w:rPr>
        <w:t xml:space="preserve">All reactions were carried out under a dry nitrogen flow and compounds </w:t>
      </w:r>
      <w:r w:rsidRPr="00751A69">
        <w:rPr>
          <w:rFonts w:ascii="Times New Roman" w:eastAsia="Calibri" w:hAnsi="Times New Roman" w:cs="Times New Roman"/>
          <w:b/>
          <w:sz w:val="24"/>
          <w:szCs w:val="24"/>
        </w:rPr>
        <w:t>5</w:t>
      </w:r>
      <w:r w:rsidR="003A4508">
        <w:rPr>
          <w:rFonts w:ascii="Times New Roman" w:eastAsia="Calibri" w:hAnsi="Times New Roman" w:cs="Times New Roman"/>
          <w:sz w:val="24"/>
          <w:szCs w:val="24"/>
        </w:rPr>
        <w:t>-</w:t>
      </w:r>
      <w:r w:rsidRPr="00751A69">
        <w:rPr>
          <w:rFonts w:ascii="Times New Roman" w:eastAsia="Calibri" w:hAnsi="Times New Roman" w:cs="Times New Roman"/>
          <w:b/>
          <w:sz w:val="24"/>
          <w:szCs w:val="24"/>
        </w:rPr>
        <w:t>8</w:t>
      </w:r>
      <w:r w:rsidRPr="00751A69">
        <w:rPr>
          <w:rFonts w:ascii="Times New Roman" w:eastAsia="Calibri" w:hAnsi="Times New Roman" w:cs="Times New Roman"/>
          <w:sz w:val="24"/>
          <w:szCs w:val="24"/>
        </w:rPr>
        <w:t xml:space="preserve"> were synthesized by using standard Schlenk techniques. 3-Nitrophthalonitrile </w:t>
      </w:r>
      <w:r w:rsidRPr="00751A69">
        <w:rPr>
          <w:rFonts w:ascii="Times New Roman" w:eastAsia="Calibri" w:hAnsi="Times New Roman" w:cs="Times New Roman"/>
          <w:b/>
          <w:sz w:val="24"/>
          <w:szCs w:val="24"/>
        </w:rPr>
        <w:t xml:space="preserve">3 </w:t>
      </w:r>
      <w:r w:rsidRPr="00751A69">
        <w:rPr>
          <w:rFonts w:ascii="Times New Roman" w:eastAsia="Calibri" w:hAnsi="Times New Roman" w:cs="Times New Roman"/>
          <w:sz w:val="24"/>
          <w:szCs w:val="24"/>
          <w:lang w:eastAsia="tr-TR"/>
        </w:rPr>
        <w:t>[</w:t>
      </w:r>
      <w:r w:rsidR="00B277E7" w:rsidRPr="00751A69">
        <w:rPr>
          <w:rFonts w:ascii="Times New Roman" w:eastAsia="Calibri" w:hAnsi="Times New Roman" w:cs="Times New Roman"/>
          <w:sz w:val="24"/>
          <w:szCs w:val="24"/>
          <w:lang w:eastAsia="tr-TR"/>
        </w:rPr>
        <w:t>S</w:t>
      </w:r>
      <w:r w:rsidRPr="00751A69">
        <w:rPr>
          <w:rFonts w:ascii="Times New Roman" w:eastAsia="Calibri" w:hAnsi="Times New Roman" w:cs="Times New Roman"/>
          <w:sz w:val="24"/>
          <w:szCs w:val="24"/>
          <w:lang w:eastAsia="tr-TR"/>
        </w:rPr>
        <w:t xml:space="preserve">1] </w:t>
      </w:r>
      <w:r w:rsidRPr="00751A69">
        <w:rPr>
          <w:rFonts w:ascii="Times New Roman" w:eastAsia="Calibri" w:hAnsi="Times New Roman" w:cs="Times New Roman"/>
          <w:sz w:val="24"/>
          <w:szCs w:val="24"/>
        </w:rPr>
        <w:t>w</w:t>
      </w:r>
      <w:r w:rsidR="003A4508">
        <w:rPr>
          <w:rFonts w:ascii="Times New Roman" w:eastAsia="Calibri" w:hAnsi="Times New Roman" w:cs="Times New Roman"/>
          <w:sz w:val="24"/>
          <w:szCs w:val="24"/>
        </w:rPr>
        <w:t>as</w:t>
      </w:r>
      <w:r w:rsidRPr="00751A69">
        <w:rPr>
          <w:rFonts w:ascii="Times New Roman" w:eastAsia="Calibri" w:hAnsi="Times New Roman" w:cs="Times New Roman"/>
          <w:sz w:val="24"/>
          <w:szCs w:val="24"/>
        </w:rPr>
        <w:t xml:space="preserve"> synthesized as stated in the article procedure. All chemicals and reagents were of reagent grade quality and used as purchased from Sigma-Aldrich. Pyridine, DMF, and </w:t>
      </w:r>
      <w:r w:rsidRPr="00751A69">
        <w:rPr>
          <w:rFonts w:ascii="Times New Roman" w:eastAsia="Calibri" w:hAnsi="Times New Roman" w:cs="Times New Roman"/>
          <w:i/>
          <w:sz w:val="24"/>
          <w:szCs w:val="24"/>
        </w:rPr>
        <w:t>n</w:t>
      </w:r>
      <w:r w:rsidRPr="00751A69">
        <w:rPr>
          <w:rFonts w:ascii="Times New Roman" w:eastAsia="Calibri" w:hAnsi="Times New Roman" w:cs="Times New Roman"/>
          <w:sz w:val="24"/>
          <w:szCs w:val="24"/>
        </w:rPr>
        <w:t>-amyl alcohol were</w:t>
      </w:r>
      <w:r w:rsidRPr="00751A69">
        <w:rPr>
          <w:rFonts w:ascii="Times New Roman" w:eastAsia="Calibri" w:hAnsi="Times New Roman" w:cs="Times New Roman"/>
          <w:sz w:val="24"/>
          <w:szCs w:val="24"/>
          <w:lang w:val="tr-TR"/>
        </w:rPr>
        <w:t xml:space="preserve"> </w:t>
      </w:r>
      <w:r w:rsidRPr="00751A69">
        <w:rPr>
          <w:rFonts w:ascii="Times New Roman" w:eastAsia="Calibri" w:hAnsi="Times New Roman" w:cs="Times New Roman"/>
          <w:sz w:val="24"/>
          <w:szCs w:val="24"/>
        </w:rPr>
        <w:t>dried and purified according to the reported procedure [</w:t>
      </w:r>
      <w:r w:rsidR="00B277E7" w:rsidRPr="00751A69">
        <w:rPr>
          <w:rFonts w:ascii="Times New Roman" w:eastAsia="Calibri" w:hAnsi="Times New Roman" w:cs="Times New Roman"/>
          <w:sz w:val="24"/>
          <w:szCs w:val="24"/>
        </w:rPr>
        <w:t>S</w:t>
      </w:r>
      <w:r w:rsidRPr="00751A69">
        <w:rPr>
          <w:rFonts w:ascii="Times New Roman" w:eastAsia="Calibri" w:hAnsi="Times New Roman" w:cs="Times New Roman"/>
          <w:sz w:val="24"/>
          <w:szCs w:val="24"/>
        </w:rPr>
        <w:t>2] before use. All reactions were monitored with thin layer chromatography (TLC) using 0.25 mm silica gel plates with UV indicator (60 F</w:t>
      </w:r>
      <w:r w:rsidRPr="00751A69">
        <w:rPr>
          <w:rFonts w:ascii="Times New Roman" w:eastAsia="Calibri" w:hAnsi="Times New Roman" w:cs="Times New Roman"/>
          <w:sz w:val="24"/>
          <w:szCs w:val="24"/>
          <w:vertAlign w:val="subscript"/>
        </w:rPr>
        <w:t>254</w:t>
      </w:r>
      <w:r w:rsidRPr="00751A69">
        <w:rPr>
          <w:rFonts w:ascii="Times New Roman" w:eastAsia="Calibri" w:hAnsi="Times New Roman" w:cs="Times New Roman"/>
          <w:sz w:val="24"/>
          <w:szCs w:val="24"/>
        </w:rPr>
        <w:t xml:space="preserve">). Column chromatography was carried out on basic alumina columns with the indicated eluents. </w:t>
      </w:r>
    </w:p>
    <w:p w:rsidR="00563B98" w:rsidRPr="003A4508" w:rsidRDefault="005E6689" w:rsidP="00751A69">
      <w:pPr>
        <w:autoSpaceDE w:val="0"/>
        <w:autoSpaceDN w:val="0"/>
        <w:adjustRightInd w:val="0"/>
        <w:spacing w:after="0" w:line="360" w:lineRule="auto"/>
        <w:ind w:firstLine="720"/>
        <w:jc w:val="both"/>
        <w:rPr>
          <w:rFonts w:ascii="Times New Roman" w:eastAsia="Calibri" w:hAnsi="Times New Roman" w:cs="Times New Roman"/>
          <w:sz w:val="24"/>
          <w:szCs w:val="24"/>
        </w:rPr>
      </w:pPr>
      <w:r w:rsidRPr="00751A69">
        <w:rPr>
          <w:rFonts w:ascii="Times New Roman" w:eastAsia="Calibri" w:hAnsi="Times New Roman" w:cs="Calibri"/>
          <w:sz w:val="24"/>
          <w:szCs w:val="24"/>
          <w:vertAlign w:val="superscript"/>
        </w:rPr>
        <w:t>1</w:t>
      </w:r>
      <w:r w:rsidRPr="00751A69">
        <w:rPr>
          <w:rFonts w:ascii="Times New Roman" w:eastAsia="Calibri" w:hAnsi="Times New Roman" w:cs="Calibri"/>
          <w:sz w:val="24"/>
          <w:szCs w:val="24"/>
        </w:rPr>
        <w:t xml:space="preserve">H and </w:t>
      </w:r>
      <w:r w:rsidRPr="00751A69">
        <w:rPr>
          <w:rFonts w:ascii="Times New Roman" w:eastAsia="Calibri" w:hAnsi="Times New Roman" w:cs="Calibri"/>
          <w:sz w:val="24"/>
          <w:szCs w:val="24"/>
          <w:vertAlign w:val="superscript"/>
        </w:rPr>
        <w:t>13</w:t>
      </w:r>
      <w:r w:rsidRPr="00751A69">
        <w:rPr>
          <w:rFonts w:ascii="Times New Roman" w:eastAsia="Calibri" w:hAnsi="Times New Roman" w:cs="Calibri"/>
          <w:sz w:val="24"/>
          <w:szCs w:val="24"/>
        </w:rPr>
        <w:t xml:space="preserve">C NMR spectra were recorded on a Bruker Ascend 400 and </w:t>
      </w:r>
      <w:r w:rsidRPr="00751A69">
        <w:rPr>
          <w:rFonts w:ascii="Times New Roman" w:eastAsia="Calibri" w:hAnsi="Times New Roman" w:cs="Times New Roman"/>
          <w:sz w:val="24"/>
          <w:szCs w:val="24"/>
        </w:rPr>
        <w:t xml:space="preserve">Agilent 400 </w:t>
      </w:r>
      <w:r w:rsidRPr="00751A69">
        <w:rPr>
          <w:rFonts w:ascii="Times New Roman" w:eastAsia="Calibri" w:hAnsi="Times New Roman" w:cs="Calibri"/>
          <w:sz w:val="24"/>
          <w:szCs w:val="24"/>
        </w:rPr>
        <w:t xml:space="preserve">NMR spectrometers with </w:t>
      </w:r>
      <w:r w:rsidRPr="00751A69">
        <w:rPr>
          <w:rFonts w:ascii="Times New Roman" w:eastAsia="Calibri" w:hAnsi="Times New Roman" w:cs="Times New Roman"/>
          <w:sz w:val="24"/>
          <w:szCs w:val="24"/>
          <w:lang w:val="tr-TR"/>
        </w:rPr>
        <w:t>CDCl</w:t>
      </w:r>
      <w:r w:rsidRPr="00751A69">
        <w:rPr>
          <w:rFonts w:ascii="Times New Roman" w:eastAsia="Calibri" w:hAnsi="Times New Roman" w:cs="Times New Roman"/>
          <w:sz w:val="24"/>
          <w:szCs w:val="24"/>
          <w:vertAlign w:val="subscript"/>
          <w:lang w:val="tr-TR"/>
        </w:rPr>
        <w:t>3</w:t>
      </w:r>
      <w:r w:rsidR="00B277E7" w:rsidRPr="00751A69">
        <w:rPr>
          <w:rFonts w:ascii="Times New Roman" w:eastAsia="Calibri" w:hAnsi="Times New Roman" w:cs="Times New Roman"/>
          <w:sz w:val="24"/>
          <w:szCs w:val="24"/>
          <w:lang w:val="tr-TR"/>
        </w:rPr>
        <w:t xml:space="preserve"> </w:t>
      </w:r>
      <w:r w:rsidRPr="00751A69">
        <w:rPr>
          <w:rFonts w:ascii="Times New Roman" w:eastAsia="Calibri" w:hAnsi="Times New Roman" w:cs="Calibri"/>
          <w:sz w:val="24"/>
          <w:szCs w:val="24"/>
        </w:rPr>
        <w:t>as the NMR solvent and chemical shifts were reported (δ) relative to Me</w:t>
      </w:r>
      <w:r w:rsidRPr="00751A69">
        <w:rPr>
          <w:rFonts w:ascii="Times New Roman" w:eastAsia="Calibri" w:hAnsi="Times New Roman" w:cs="Calibri"/>
          <w:sz w:val="24"/>
          <w:szCs w:val="24"/>
          <w:vertAlign w:val="subscript"/>
        </w:rPr>
        <w:t>4</w:t>
      </w:r>
      <w:r w:rsidRPr="00751A69">
        <w:rPr>
          <w:rFonts w:ascii="Times New Roman" w:eastAsia="Calibri" w:hAnsi="Times New Roman" w:cs="Calibri"/>
          <w:sz w:val="24"/>
          <w:szCs w:val="24"/>
        </w:rPr>
        <w:t xml:space="preserve">Si (tetramethylsilane, δ = 0 ppm) as the internal standard. </w:t>
      </w:r>
      <w:r w:rsidRPr="00751A69">
        <w:rPr>
          <w:rFonts w:ascii="Times New Roman" w:eastAsia="Calibri" w:hAnsi="Times New Roman" w:cs="Times New Roman"/>
          <w:sz w:val="24"/>
          <w:szCs w:val="24"/>
        </w:rPr>
        <w:t>The electronic absorption spectrum (</w:t>
      </w:r>
      <w:r w:rsidRPr="00751A69">
        <w:rPr>
          <w:rFonts w:ascii="Times New Roman" w:eastAsia="Calibri" w:hAnsi="Times New Roman" w:cs="Calibri"/>
          <w:sz w:val="24"/>
          <w:szCs w:val="24"/>
          <w:lang w:val="tr-TR"/>
        </w:rPr>
        <w:t>UV</w:t>
      </w:r>
      <w:r w:rsidRPr="00751A69">
        <w:rPr>
          <w:rFonts w:ascii="Times New Roman" w:eastAsia="Calibri" w:hAnsi="Times New Roman" w:cs="Times New Roman"/>
          <w:sz w:val="24"/>
          <w:szCs w:val="24"/>
          <w:lang w:val="tr-TR"/>
        </w:rPr>
        <w:t>–</w:t>
      </w:r>
      <w:r w:rsidRPr="00751A69">
        <w:rPr>
          <w:rFonts w:ascii="Times New Roman" w:eastAsia="Calibri" w:hAnsi="Times New Roman" w:cs="Calibri"/>
          <w:i/>
          <w:sz w:val="24"/>
          <w:szCs w:val="24"/>
        </w:rPr>
        <w:t>vis</w:t>
      </w:r>
      <w:r w:rsidRPr="00751A69">
        <w:rPr>
          <w:rFonts w:ascii="Times New Roman" w:eastAsia="Calibri" w:hAnsi="Times New Roman" w:cs="Calibri"/>
          <w:sz w:val="24"/>
          <w:szCs w:val="24"/>
          <w:lang w:val="tr-TR"/>
        </w:rPr>
        <w:t>)</w:t>
      </w:r>
      <w:r w:rsidRPr="00751A69">
        <w:rPr>
          <w:rFonts w:ascii="Times New Roman" w:eastAsia="Calibri" w:hAnsi="Times New Roman" w:cs="Times New Roman"/>
          <w:sz w:val="24"/>
          <w:szCs w:val="24"/>
        </w:rPr>
        <w:t xml:space="preserve"> was measured on a Perkin–Elmer Lambda 25 and Schimadzu 2101 UVPc UV/Vis spectrophotometer by using a 1 cm path length quartz cell at room temperature. FT–IR spectra were recorded on a Perkin–Elmer Spectrum One FT–IR spectrometer (ATR sampling accessory). FT–IR spectra were recorded in 4000–600 cm</w:t>
      </w:r>
      <w:r w:rsidRPr="00751A69">
        <w:rPr>
          <w:rFonts w:ascii="Times New Roman" w:eastAsia="Calibri" w:hAnsi="Times New Roman" w:cs="Times New Roman"/>
          <w:sz w:val="24"/>
          <w:szCs w:val="24"/>
          <w:vertAlign w:val="superscript"/>
        </w:rPr>
        <w:t>-1</w:t>
      </w:r>
      <w:r w:rsidRPr="00751A69">
        <w:rPr>
          <w:rFonts w:ascii="Times New Roman" w:eastAsia="Calibri" w:hAnsi="Times New Roman" w:cs="Times New Roman"/>
          <w:sz w:val="24"/>
          <w:szCs w:val="24"/>
        </w:rPr>
        <w:t xml:space="preserve"> spectral range. All samples were dripped on ATR crystal and measured directly.</w:t>
      </w:r>
      <w:r w:rsidR="00A91E79" w:rsidRPr="00751A69">
        <w:rPr>
          <w:rFonts w:ascii="Calibri" w:eastAsia="Calibri" w:hAnsi="Calibri" w:cs="Calibri"/>
          <w:sz w:val="24"/>
          <w:szCs w:val="24"/>
        </w:rPr>
        <w:t xml:space="preserve"> </w:t>
      </w:r>
      <w:r w:rsidR="00A91E79" w:rsidRPr="00751A69">
        <w:rPr>
          <w:rFonts w:ascii="Times New Roman" w:hAnsi="Times New Roman" w:cs="Times New Roman"/>
          <w:sz w:val="24"/>
          <w:szCs w:val="24"/>
        </w:rPr>
        <w:t xml:space="preserve">LECO TruSpec Micro instrument was used to obtain the </w:t>
      </w:r>
      <w:r w:rsidR="00A91E79" w:rsidRPr="00751A69">
        <w:rPr>
          <w:rFonts w:ascii="Times New Roman" w:hAnsi="Times New Roman" w:cs="Times New Roman"/>
          <w:sz w:val="24"/>
          <w:szCs w:val="24"/>
        </w:rPr>
        <w:lastRenderedPageBreak/>
        <w:t xml:space="preserve">elemental analysis data of the synthesized compounds. </w:t>
      </w:r>
      <w:r w:rsidR="002C2D6E" w:rsidRPr="00751A69">
        <w:rPr>
          <w:rFonts w:ascii="Times New Roman" w:eastAsia="Calibri" w:hAnsi="Times New Roman" w:cs="Times New Roman"/>
          <w:sz w:val="24"/>
          <w:szCs w:val="24"/>
        </w:rPr>
        <w:t xml:space="preserve">The photocleavage studies were performed using a General Electric quartz line lamp (300 W) and glass cut off filters (Schott). The DNA </w:t>
      </w:r>
      <w:r w:rsidR="00AA572F" w:rsidRPr="00751A69">
        <w:rPr>
          <w:rFonts w:ascii="Times New Roman" w:eastAsia="Calibri" w:hAnsi="Times New Roman" w:cs="Times New Roman"/>
          <w:sz w:val="24"/>
          <w:szCs w:val="24"/>
        </w:rPr>
        <w:t>cleavage</w:t>
      </w:r>
      <w:r w:rsidR="002C2D6E" w:rsidRPr="00751A69">
        <w:rPr>
          <w:rFonts w:ascii="Times New Roman" w:eastAsia="Calibri" w:hAnsi="Times New Roman" w:cs="Times New Roman"/>
          <w:sz w:val="24"/>
          <w:szCs w:val="24"/>
        </w:rPr>
        <w:t xml:space="preserve"> experiments were </w:t>
      </w:r>
      <w:r w:rsidR="00AA572F" w:rsidRPr="00751A69">
        <w:rPr>
          <w:rFonts w:ascii="Times New Roman" w:eastAsia="Calibri" w:hAnsi="Times New Roman" w:cs="Times New Roman"/>
          <w:sz w:val="24"/>
          <w:szCs w:val="24"/>
        </w:rPr>
        <w:t>visualized</w:t>
      </w:r>
      <w:r w:rsidR="002C2D6E" w:rsidRPr="00751A69">
        <w:rPr>
          <w:rFonts w:ascii="Times New Roman" w:eastAsia="Calibri" w:hAnsi="Times New Roman" w:cs="Times New Roman"/>
          <w:sz w:val="24"/>
          <w:szCs w:val="24"/>
        </w:rPr>
        <w:t xml:space="preserve"> using BioRad Gel Doc XR system and the results were calculated by Image Lab </w:t>
      </w:r>
      <w:r w:rsidR="00DC2C98" w:rsidRPr="00751A69">
        <w:rPr>
          <w:rFonts w:ascii="Times New Roman" w:eastAsia="Calibri" w:hAnsi="Times New Roman" w:cs="Times New Roman"/>
          <w:sz w:val="24"/>
          <w:szCs w:val="24"/>
        </w:rPr>
        <w:t>Version 4.0.1 Software</w:t>
      </w:r>
      <w:r w:rsidR="002C2D6E" w:rsidRPr="00751A69">
        <w:rPr>
          <w:rFonts w:ascii="Times New Roman" w:eastAsia="Calibri" w:hAnsi="Times New Roman" w:cs="Times New Roman"/>
          <w:sz w:val="24"/>
          <w:szCs w:val="24"/>
        </w:rPr>
        <w:t>.</w:t>
      </w:r>
    </w:p>
    <w:p w:rsidR="00D2321E" w:rsidRPr="003A4508" w:rsidRDefault="00D2321E" w:rsidP="00751A69">
      <w:pPr>
        <w:spacing w:after="0" w:line="360" w:lineRule="auto"/>
        <w:jc w:val="both"/>
        <w:rPr>
          <w:rFonts w:ascii="Times New Roman" w:eastAsia="Calibri" w:hAnsi="Times New Roman" w:cs="Times New Roman"/>
          <w:sz w:val="24"/>
          <w:szCs w:val="24"/>
          <w:lang w:val="tr-TR" w:eastAsia="tr-TR"/>
        </w:rPr>
      </w:pPr>
    </w:p>
    <w:p w:rsidR="00AA572F" w:rsidRPr="00751A69" w:rsidRDefault="005E6689" w:rsidP="00751A69">
      <w:pPr>
        <w:spacing w:after="0" w:line="360" w:lineRule="auto"/>
        <w:jc w:val="both"/>
        <w:rPr>
          <w:rFonts w:ascii="Times New Roman" w:eastAsia="Calibri" w:hAnsi="Times New Roman" w:cs="Times New Roman"/>
          <w:b/>
          <w:sz w:val="24"/>
          <w:szCs w:val="24"/>
          <w:lang w:val="tr-TR" w:eastAsia="tr-TR"/>
        </w:rPr>
      </w:pPr>
      <w:r w:rsidRPr="00751A69">
        <w:rPr>
          <w:rFonts w:ascii="Times New Roman" w:eastAsia="Calibri" w:hAnsi="Times New Roman" w:cs="Times New Roman"/>
          <w:b/>
          <w:sz w:val="24"/>
          <w:szCs w:val="24"/>
          <w:lang w:val="tr-TR" w:eastAsia="tr-TR"/>
        </w:rPr>
        <w:t xml:space="preserve">1.2. DNA cleavage </w:t>
      </w:r>
      <w:r w:rsidR="00114FB6" w:rsidRPr="00751A69">
        <w:rPr>
          <w:rFonts w:ascii="Times New Roman" w:eastAsia="Calibri" w:hAnsi="Times New Roman" w:cs="Times New Roman"/>
          <w:b/>
          <w:sz w:val="24"/>
          <w:szCs w:val="24"/>
          <w:lang w:val="tr-TR" w:eastAsia="tr-TR"/>
        </w:rPr>
        <w:t>studies</w:t>
      </w:r>
    </w:p>
    <w:p w:rsidR="003A4508" w:rsidRDefault="005E6689" w:rsidP="003A4508">
      <w:pPr>
        <w:pStyle w:val="ListParagraph"/>
        <w:spacing w:line="360" w:lineRule="auto"/>
        <w:ind w:left="0" w:firstLine="720"/>
        <w:contextualSpacing w:val="0"/>
        <w:jc w:val="both"/>
        <w:rPr>
          <w:szCs w:val="24"/>
        </w:rPr>
      </w:pPr>
      <w:r w:rsidRPr="00751A69">
        <w:rPr>
          <w:szCs w:val="24"/>
        </w:rPr>
        <w:t xml:space="preserve">The stock solutions of </w:t>
      </w:r>
      <w:r w:rsidR="0046278C" w:rsidRPr="00751A69">
        <w:rPr>
          <w:b/>
          <w:szCs w:val="24"/>
        </w:rPr>
        <w:t>5</w:t>
      </w:r>
      <w:r w:rsidR="003A4508">
        <w:rPr>
          <w:szCs w:val="24"/>
        </w:rPr>
        <w:t>-</w:t>
      </w:r>
      <w:r w:rsidR="0046278C" w:rsidRPr="00751A69">
        <w:rPr>
          <w:b/>
          <w:szCs w:val="24"/>
        </w:rPr>
        <w:t>8</w:t>
      </w:r>
      <w:r w:rsidRPr="00751A69">
        <w:rPr>
          <w:szCs w:val="24"/>
        </w:rPr>
        <w:t xml:space="preserve"> were prepared in DMSO</w:t>
      </w:r>
      <w:r w:rsidR="00374B3D" w:rsidRPr="00751A69">
        <w:rPr>
          <w:szCs w:val="24"/>
        </w:rPr>
        <w:t xml:space="preserve"> (10%)</w:t>
      </w:r>
      <w:r w:rsidR="009D3C36" w:rsidRPr="00751A69">
        <w:rPr>
          <w:szCs w:val="24"/>
        </w:rPr>
        <w:t xml:space="preserve"> and</w:t>
      </w:r>
      <w:r w:rsidRPr="00751A69">
        <w:rPr>
          <w:szCs w:val="24"/>
        </w:rPr>
        <w:t xml:space="preserve"> stored at room temperature. The DNA cleavage properties of the compounds were monitored by agarose gel electrophoresis using supercoiled pBR322 plasmid DNA without or with irradiation. Supercoiled pBR322 plasmid DNA was treated with varying concentrations (12.5 and 25 µM) of compounds</w:t>
      </w:r>
      <w:r w:rsidRPr="00751A69">
        <w:rPr>
          <w:b/>
          <w:szCs w:val="24"/>
        </w:rPr>
        <w:t xml:space="preserve"> </w:t>
      </w:r>
      <w:r w:rsidRPr="00751A69">
        <w:rPr>
          <w:szCs w:val="24"/>
        </w:rPr>
        <w:t xml:space="preserve">in the buffer containing 50 mM Tris-HCl pH 7.0. All samples were incubated at 37 </w:t>
      </w:r>
      <w:bookmarkStart w:id="1" w:name="OLE_LINK1"/>
      <w:bookmarkStart w:id="2" w:name="OLE_LINK2"/>
      <w:r w:rsidR="003A4508" w:rsidRPr="000E569B">
        <w:sym w:font="Symbol" w:char="F0B0"/>
      </w:r>
      <w:bookmarkEnd w:id="1"/>
      <w:bookmarkEnd w:id="2"/>
      <w:r w:rsidRPr="00751A69">
        <w:rPr>
          <w:szCs w:val="24"/>
        </w:rPr>
        <w:t xml:space="preserve">C for </w:t>
      </w:r>
      <w:r w:rsidR="003A4508">
        <w:rPr>
          <w:szCs w:val="24"/>
        </w:rPr>
        <w:t>30 </w:t>
      </w:r>
      <w:r w:rsidR="00374B3D" w:rsidRPr="00751A69">
        <w:rPr>
          <w:szCs w:val="24"/>
        </w:rPr>
        <w:t>min</w:t>
      </w:r>
      <w:r w:rsidR="007F5924" w:rsidRPr="00751A69">
        <w:rPr>
          <w:szCs w:val="24"/>
        </w:rPr>
        <w:t>. After that, loading buffer [</w:t>
      </w:r>
      <w:r w:rsidRPr="00751A69">
        <w:rPr>
          <w:szCs w:val="24"/>
        </w:rPr>
        <w:t xml:space="preserve">bromophenol blue, xylene cyanol, glycerol, </w:t>
      </w:r>
      <w:r w:rsidR="00C31C9E" w:rsidRPr="00751A69">
        <w:rPr>
          <w:szCs w:val="24"/>
        </w:rPr>
        <w:t>ethylenediamine</w:t>
      </w:r>
      <w:r w:rsidR="007A2B6C" w:rsidRPr="00751A69">
        <w:rPr>
          <w:szCs w:val="24"/>
        </w:rPr>
        <w:t>tetra</w:t>
      </w:r>
      <w:r w:rsidR="007F5924" w:rsidRPr="00751A69">
        <w:rPr>
          <w:szCs w:val="24"/>
        </w:rPr>
        <w:t>acetic acid (</w:t>
      </w:r>
      <w:r w:rsidRPr="00751A69">
        <w:rPr>
          <w:szCs w:val="24"/>
        </w:rPr>
        <w:t>EDTA</w:t>
      </w:r>
      <w:r w:rsidR="007F5924" w:rsidRPr="00751A69">
        <w:rPr>
          <w:szCs w:val="24"/>
        </w:rPr>
        <w:t>)</w:t>
      </w:r>
      <w:r w:rsidRPr="00751A69">
        <w:rPr>
          <w:szCs w:val="24"/>
        </w:rPr>
        <w:t xml:space="preserve">, </w:t>
      </w:r>
      <w:r w:rsidR="00C31C9E" w:rsidRPr="00751A69">
        <w:rPr>
          <w:szCs w:val="24"/>
        </w:rPr>
        <w:t>and sodium</w:t>
      </w:r>
      <w:r w:rsidR="00AD63DC" w:rsidRPr="00751A69">
        <w:rPr>
          <w:szCs w:val="24"/>
        </w:rPr>
        <w:t xml:space="preserve"> dodecyl sulfate</w:t>
      </w:r>
      <w:r w:rsidR="007F5924" w:rsidRPr="00751A69">
        <w:rPr>
          <w:szCs w:val="24"/>
        </w:rPr>
        <w:t>]</w:t>
      </w:r>
      <w:r w:rsidRPr="00751A69">
        <w:rPr>
          <w:szCs w:val="24"/>
        </w:rPr>
        <w:t xml:space="preserve"> was added and the mixtures were loaded on 0.8% agarose gel with ethidium bromide staining in TAE buffer (Tris-acetic acid-EDTA). Electrophoresis was </w:t>
      </w:r>
      <w:r w:rsidR="00374B3D" w:rsidRPr="00751A69">
        <w:rPr>
          <w:szCs w:val="24"/>
        </w:rPr>
        <w:t>performed</w:t>
      </w:r>
      <w:r w:rsidRPr="00751A69">
        <w:rPr>
          <w:szCs w:val="24"/>
        </w:rPr>
        <w:t xml:space="preserve"> at 100 V for 90 min and the resulting image was photographed by BioRad Gel Doc XR system and analyzed using Image Lab Ver</w:t>
      </w:r>
      <w:r w:rsidR="00DC2C98" w:rsidRPr="00751A69">
        <w:rPr>
          <w:szCs w:val="24"/>
        </w:rPr>
        <w:t xml:space="preserve">sion 4.0.1 Software </w:t>
      </w:r>
      <w:r w:rsidR="00E62719" w:rsidRPr="00751A69">
        <w:rPr>
          <w:szCs w:val="24"/>
        </w:rPr>
        <w:t>[</w:t>
      </w:r>
      <w:r w:rsidR="00B277E7" w:rsidRPr="00751A69">
        <w:rPr>
          <w:szCs w:val="24"/>
        </w:rPr>
        <w:t>S</w:t>
      </w:r>
      <w:r w:rsidR="00E62719" w:rsidRPr="00751A69">
        <w:rPr>
          <w:szCs w:val="24"/>
        </w:rPr>
        <w:t>3</w:t>
      </w:r>
      <w:r w:rsidRPr="00751A69">
        <w:rPr>
          <w:szCs w:val="24"/>
        </w:rPr>
        <w:t>]</w:t>
      </w:r>
      <w:r w:rsidR="003A4508">
        <w:rPr>
          <w:szCs w:val="24"/>
        </w:rPr>
        <w:t>.</w:t>
      </w:r>
    </w:p>
    <w:p w:rsidR="00AA572F" w:rsidRPr="00751A69" w:rsidRDefault="005E6689" w:rsidP="003A4508">
      <w:pPr>
        <w:pStyle w:val="ListParagraph"/>
        <w:spacing w:line="360" w:lineRule="auto"/>
        <w:ind w:left="0" w:firstLine="720"/>
        <w:contextualSpacing w:val="0"/>
        <w:jc w:val="both"/>
        <w:rPr>
          <w:szCs w:val="24"/>
        </w:rPr>
      </w:pPr>
      <w:r w:rsidRPr="00751A69">
        <w:rPr>
          <w:szCs w:val="24"/>
        </w:rPr>
        <w:t xml:space="preserve">For oxidative cleavage studies, supercoiled pBR322 plasmid DNA and </w:t>
      </w:r>
      <w:r w:rsidR="0046278C" w:rsidRPr="00751A69">
        <w:rPr>
          <w:b/>
          <w:szCs w:val="24"/>
        </w:rPr>
        <w:t>5</w:t>
      </w:r>
      <w:r w:rsidR="0046278C" w:rsidRPr="00751A69">
        <w:rPr>
          <w:szCs w:val="24"/>
        </w:rPr>
        <w:t>-</w:t>
      </w:r>
      <w:r w:rsidR="0046278C" w:rsidRPr="00751A69">
        <w:rPr>
          <w:b/>
          <w:szCs w:val="24"/>
        </w:rPr>
        <w:t>8</w:t>
      </w:r>
      <w:r w:rsidR="0046278C" w:rsidRPr="00751A69">
        <w:rPr>
          <w:szCs w:val="24"/>
        </w:rPr>
        <w:t xml:space="preserve"> </w:t>
      </w:r>
      <w:r w:rsidRPr="00751A69">
        <w:rPr>
          <w:szCs w:val="24"/>
        </w:rPr>
        <w:t>w</w:t>
      </w:r>
      <w:r w:rsidR="003A4508">
        <w:rPr>
          <w:szCs w:val="24"/>
        </w:rPr>
        <w:t>ere</w:t>
      </w:r>
      <w:r w:rsidRPr="00751A69">
        <w:rPr>
          <w:szCs w:val="24"/>
        </w:rPr>
        <w:t xml:space="preserve"> treated by adding oxidative agent </w:t>
      </w:r>
      <w:r w:rsidRPr="00751A69">
        <w:rPr>
          <w:rFonts w:eastAsiaTheme="minorHAnsi"/>
          <w:szCs w:val="24"/>
          <w:lang w:val="tr-TR" w:eastAsia="en-US"/>
        </w:rPr>
        <w:t>H</w:t>
      </w:r>
      <w:r w:rsidRPr="00751A69">
        <w:rPr>
          <w:rFonts w:eastAsiaTheme="minorHAnsi"/>
          <w:szCs w:val="24"/>
          <w:vertAlign w:val="subscript"/>
          <w:lang w:val="tr-TR" w:eastAsia="en-US"/>
        </w:rPr>
        <w:t>2</w:t>
      </w:r>
      <w:r w:rsidRPr="00751A69">
        <w:rPr>
          <w:rFonts w:eastAsiaTheme="minorHAnsi"/>
          <w:szCs w:val="24"/>
          <w:lang w:val="tr-TR" w:eastAsia="en-US"/>
        </w:rPr>
        <w:t>O</w:t>
      </w:r>
      <w:r w:rsidRPr="00751A69">
        <w:rPr>
          <w:rFonts w:eastAsiaTheme="minorHAnsi"/>
          <w:szCs w:val="24"/>
          <w:vertAlign w:val="subscript"/>
          <w:lang w:val="tr-TR" w:eastAsia="en-US"/>
        </w:rPr>
        <w:t>2</w:t>
      </w:r>
      <w:r w:rsidRPr="00751A69">
        <w:rPr>
          <w:rFonts w:eastAsiaTheme="minorHAnsi"/>
          <w:szCs w:val="24"/>
          <w:lang w:val="tr-TR" w:eastAsia="en-US"/>
        </w:rPr>
        <w:t xml:space="preserve"> </w:t>
      </w:r>
      <w:r w:rsidR="003A4508">
        <w:rPr>
          <w:szCs w:val="24"/>
        </w:rPr>
        <w:t>without</w:t>
      </w:r>
      <w:r w:rsidRPr="00751A69">
        <w:rPr>
          <w:szCs w:val="24"/>
        </w:rPr>
        <w:t>/with irradiation</w:t>
      </w:r>
      <w:r w:rsidR="00EF5AB1" w:rsidRPr="00751A69">
        <w:rPr>
          <w:szCs w:val="24"/>
        </w:rPr>
        <w:t xml:space="preserve"> at 700 nm</w:t>
      </w:r>
      <w:r w:rsidR="00282FDE" w:rsidRPr="00751A69">
        <w:rPr>
          <w:szCs w:val="24"/>
        </w:rPr>
        <w:t xml:space="preserve"> (17.5 mW/cm</w:t>
      </w:r>
      <w:r w:rsidR="00282FDE" w:rsidRPr="00751A69">
        <w:rPr>
          <w:szCs w:val="24"/>
          <w:vertAlign w:val="superscript"/>
        </w:rPr>
        <w:t>2</w:t>
      </w:r>
      <w:r w:rsidR="00282FDE" w:rsidRPr="00751A69">
        <w:rPr>
          <w:szCs w:val="24"/>
        </w:rPr>
        <w:t>, 15 min)</w:t>
      </w:r>
      <w:r w:rsidRPr="00751A69">
        <w:rPr>
          <w:szCs w:val="24"/>
        </w:rPr>
        <w:t xml:space="preserve"> and analyzed according to the procedure described above </w:t>
      </w:r>
      <w:r w:rsidR="00E62719" w:rsidRPr="00751A69">
        <w:rPr>
          <w:szCs w:val="24"/>
        </w:rPr>
        <w:t>[</w:t>
      </w:r>
      <w:r w:rsidR="00B277E7" w:rsidRPr="00751A69">
        <w:rPr>
          <w:szCs w:val="24"/>
        </w:rPr>
        <w:t>S</w:t>
      </w:r>
      <w:r w:rsidR="00E62719" w:rsidRPr="00751A69">
        <w:rPr>
          <w:szCs w:val="24"/>
        </w:rPr>
        <w:t>4</w:t>
      </w:r>
      <w:r w:rsidRPr="00751A69">
        <w:rPr>
          <w:szCs w:val="24"/>
        </w:rPr>
        <w:t>].</w:t>
      </w:r>
    </w:p>
    <w:p w:rsidR="00492044" w:rsidRPr="00751A69" w:rsidRDefault="00492044" w:rsidP="00751A69">
      <w:pPr>
        <w:spacing w:after="0" w:line="360" w:lineRule="auto"/>
        <w:jc w:val="both"/>
        <w:rPr>
          <w:rFonts w:ascii="Times New Roman" w:hAnsi="Times New Roman" w:cs="Times New Roman"/>
          <w:sz w:val="24"/>
          <w:szCs w:val="24"/>
        </w:rPr>
      </w:pPr>
    </w:p>
    <w:p w:rsidR="00D31E28" w:rsidRPr="00751A69" w:rsidRDefault="005E6689" w:rsidP="00751A69">
      <w:pPr>
        <w:spacing w:after="0" w:line="360" w:lineRule="auto"/>
        <w:jc w:val="both"/>
        <w:rPr>
          <w:rFonts w:ascii="Times New Roman" w:hAnsi="Times New Roman" w:cs="Times New Roman"/>
          <w:b/>
          <w:sz w:val="24"/>
          <w:szCs w:val="24"/>
        </w:rPr>
      </w:pPr>
      <w:r w:rsidRPr="00751A69">
        <w:rPr>
          <w:rFonts w:ascii="Times New Roman" w:hAnsi="Times New Roman" w:cs="Times New Roman"/>
          <w:b/>
          <w:sz w:val="24"/>
          <w:szCs w:val="24"/>
        </w:rPr>
        <w:t xml:space="preserve">1.3. DPPH </w:t>
      </w:r>
      <w:r w:rsidR="00671E88" w:rsidRPr="00751A69">
        <w:rPr>
          <w:rFonts w:ascii="Times New Roman" w:hAnsi="Times New Roman" w:cs="Times New Roman"/>
          <w:b/>
          <w:sz w:val="24"/>
          <w:szCs w:val="24"/>
        </w:rPr>
        <w:t xml:space="preserve">(2,2-diphenyl-1-picrylhydrazyl) </w:t>
      </w:r>
      <w:r w:rsidRPr="00751A69">
        <w:rPr>
          <w:rFonts w:ascii="Times New Roman" w:hAnsi="Times New Roman" w:cs="Times New Roman"/>
          <w:b/>
          <w:sz w:val="24"/>
          <w:szCs w:val="24"/>
        </w:rPr>
        <w:t>radical scavenging assay</w:t>
      </w:r>
    </w:p>
    <w:p w:rsidR="00DF731E" w:rsidRDefault="005E6689" w:rsidP="00A30417">
      <w:pPr>
        <w:spacing w:after="0" w:line="360" w:lineRule="auto"/>
        <w:ind w:firstLine="720"/>
        <w:jc w:val="both"/>
        <w:rPr>
          <w:rFonts w:ascii="Times New Roman" w:hAnsi="Times New Roman" w:cs="Times New Roman"/>
          <w:sz w:val="24"/>
          <w:szCs w:val="24"/>
        </w:rPr>
      </w:pPr>
      <w:r w:rsidRPr="00751A69">
        <w:rPr>
          <w:rFonts w:ascii="Times New Roman" w:hAnsi="Times New Roman" w:cs="Times New Roman"/>
          <w:snapToGrid w:val="0"/>
          <w:sz w:val="24"/>
          <w:szCs w:val="24"/>
        </w:rPr>
        <w:t xml:space="preserve">The DPPH radical scavenging </w:t>
      </w:r>
      <w:r w:rsidR="000317A3" w:rsidRPr="00751A69">
        <w:rPr>
          <w:rFonts w:ascii="Times New Roman" w:hAnsi="Times New Roman" w:cs="Times New Roman"/>
          <w:sz w:val="24"/>
          <w:szCs w:val="24"/>
        </w:rPr>
        <w:t xml:space="preserve">effects </w:t>
      </w:r>
      <w:r w:rsidRPr="00751A69">
        <w:rPr>
          <w:rFonts w:ascii="Times New Roman" w:hAnsi="Times New Roman" w:cs="Times New Roman"/>
          <w:sz w:val="24"/>
          <w:szCs w:val="24"/>
        </w:rPr>
        <w:t xml:space="preserve">of </w:t>
      </w:r>
      <w:r w:rsidR="0046278C" w:rsidRPr="00751A69">
        <w:rPr>
          <w:rFonts w:ascii="Times New Roman" w:hAnsi="Times New Roman" w:cs="Times New Roman"/>
          <w:b/>
          <w:sz w:val="24"/>
          <w:szCs w:val="24"/>
        </w:rPr>
        <w:t>5</w:t>
      </w:r>
      <w:r w:rsidR="003A4508">
        <w:rPr>
          <w:rFonts w:ascii="Times New Roman" w:hAnsi="Times New Roman" w:cs="Times New Roman"/>
          <w:sz w:val="24"/>
          <w:szCs w:val="24"/>
        </w:rPr>
        <w:t>-</w:t>
      </w:r>
      <w:r w:rsidR="0046278C" w:rsidRPr="00751A69">
        <w:rPr>
          <w:rFonts w:ascii="Times New Roman" w:hAnsi="Times New Roman" w:cs="Times New Roman"/>
          <w:b/>
          <w:sz w:val="24"/>
          <w:szCs w:val="24"/>
        </w:rPr>
        <w:t>8</w:t>
      </w:r>
      <w:r w:rsidRPr="00751A69">
        <w:rPr>
          <w:rFonts w:ascii="Times New Roman" w:hAnsi="Times New Roman" w:cs="Times New Roman"/>
          <w:sz w:val="24"/>
          <w:szCs w:val="24"/>
        </w:rPr>
        <w:t xml:space="preserve"> were </w:t>
      </w:r>
      <w:r w:rsidR="000317A3" w:rsidRPr="00751A69">
        <w:rPr>
          <w:rFonts w:ascii="Times New Roman" w:hAnsi="Times New Roman" w:cs="Times New Roman"/>
          <w:sz w:val="24"/>
          <w:szCs w:val="24"/>
        </w:rPr>
        <w:t>evaluated</w:t>
      </w:r>
      <w:r w:rsidRPr="00751A69">
        <w:rPr>
          <w:rFonts w:ascii="Times New Roman" w:hAnsi="Times New Roman" w:cs="Times New Roman"/>
          <w:sz w:val="24"/>
          <w:szCs w:val="24"/>
        </w:rPr>
        <w:t xml:space="preserve"> using the method described by Blois and c</w:t>
      </w:r>
      <w:r w:rsidR="00E62719" w:rsidRPr="00751A69">
        <w:rPr>
          <w:rFonts w:ascii="Times New Roman" w:hAnsi="Times New Roman" w:cs="Times New Roman"/>
          <w:sz w:val="24"/>
          <w:szCs w:val="24"/>
        </w:rPr>
        <w:t>ompared to GA as the standard [</w:t>
      </w:r>
      <w:r w:rsidR="00B277E7" w:rsidRPr="00751A69">
        <w:rPr>
          <w:rFonts w:ascii="Times New Roman" w:hAnsi="Times New Roman" w:cs="Times New Roman"/>
          <w:sz w:val="24"/>
          <w:szCs w:val="24"/>
        </w:rPr>
        <w:t>S</w:t>
      </w:r>
      <w:r w:rsidR="00E62719" w:rsidRPr="00751A69">
        <w:rPr>
          <w:rFonts w:ascii="Times New Roman" w:hAnsi="Times New Roman" w:cs="Times New Roman"/>
          <w:sz w:val="24"/>
          <w:szCs w:val="24"/>
        </w:rPr>
        <w:t>5</w:t>
      </w:r>
      <w:r w:rsidRPr="00751A69">
        <w:rPr>
          <w:rFonts w:ascii="Times New Roman" w:hAnsi="Times New Roman" w:cs="Times New Roman"/>
          <w:sz w:val="24"/>
          <w:szCs w:val="24"/>
        </w:rPr>
        <w:t xml:space="preserve">]. </w:t>
      </w:r>
      <w:r w:rsidR="00F03CEF" w:rsidRPr="00751A69">
        <w:rPr>
          <w:rFonts w:ascii="Times New Roman" w:hAnsi="Times New Roman" w:cs="Times New Roman"/>
          <w:sz w:val="24"/>
          <w:szCs w:val="24"/>
        </w:rPr>
        <w:t xml:space="preserve">The </w:t>
      </w:r>
      <w:r w:rsidRPr="00751A69">
        <w:rPr>
          <w:rFonts w:ascii="Times New Roman" w:hAnsi="Times New Roman" w:cs="Times New Roman"/>
          <w:sz w:val="24"/>
          <w:szCs w:val="24"/>
        </w:rPr>
        <w:t>methanolic DPPH solution (0.</w:t>
      </w:r>
      <w:r w:rsidR="00F03CEF" w:rsidRPr="00751A69">
        <w:rPr>
          <w:rFonts w:ascii="Times New Roman" w:hAnsi="Times New Roman" w:cs="Times New Roman"/>
          <w:sz w:val="24"/>
          <w:szCs w:val="24"/>
        </w:rPr>
        <w:t>2</w:t>
      </w:r>
      <w:r w:rsidRPr="00751A69">
        <w:rPr>
          <w:rFonts w:ascii="Times New Roman" w:hAnsi="Times New Roman" w:cs="Times New Roman"/>
          <w:sz w:val="24"/>
          <w:szCs w:val="24"/>
        </w:rPr>
        <w:t xml:space="preserve"> mM) </w:t>
      </w:r>
      <w:r w:rsidR="00F03CEF" w:rsidRPr="00751A69">
        <w:rPr>
          <w:rFonts w:ascii="Times New Roman" w:hAnsi="Times New Roman" w:cs="Times New Roman"/>
          <w:sz w:val="24"/>
          <w:szCs w:val="24"/>
        </w:rPr>
        <w:t>was treated with</w:t>
      </w:r>
      <w:r w:rsidRPr="00751A69">
        <w:rPr>
          <w:rFonts w:ascii="Times New Roman" w:hAnsi="Times New Roman" w:cs="Times New Roman"/>
          <w:sz w:val="24"/>
          <w:szCs w:val="24"/>
        </w:rPr>
        <w:t xml:space="preserve"> various concentrations of </w:t>
      </w:r>
      <w:r w:rsidR="00F03CEF" w:rsidRPr="00751A69">
        <w:rPr>
          <w:rFonts w:ascii="Times New Roman" w:hAnsi="Times New Roman" w:cs="Times New Roman"/>
          <w:sz w:val="24"/>
          <w:szCs w:val="24"/>
        </w:rPr>
        <w:t>compounds.</w:t>
      </w:r>
      <w:r w:rsidRPr="00751A69">
        <w:rPr>
          <w:rFonts w:ascii="Times New Roman" w:hAnsi="Times New Roman" w:cs="Times New Roman"/>
          <w:sz w:val="24"/>
          <w:szCs w:val="24"/>
        </w:rPr>
        <w:t xml:space="preserve"> The mixtures were incubated for 30 min </w:t>
      </w:r>
      <w:r w:rsidRPr="00751A69">
        <w:rPr>
          <w:rFonts w:ascii="Times New Roman" w:hAnsi="Times New Roman" w:cs="Times New Roman"/>
          <w:sz w:val="24"/>
          <w:szCs w:val="24"/>
          <w:shd w:val="clear" w:color="auto" w:fill="FFFFFF"/>
        </w:rPr>
        <w:t>at room temperature in the dark. After incubation, the absorbance of the extract (A</w:t>
      </w:r>
      <w:r w:rsidR="00F03CEF" w:rsidRPr="00751A69">
        <w:rPr>
          <w:rFonts w:ascii="Times New Roman" w:hAnsi="Times New Roman" w:cs="Times New Roman"/>
          <w:sz w:val="24"/>
          <w:szCs w:val="24"/>
          <w:shd w:val="clear" w:color="auto" w:fill="FFFFFF"/>
          <w:vertAlign w:val="subscript"/>
        </w:rPr>
        <w:t>compound</w:t>
      </w:r>
      <w:r w:rsidRPr="00751A69">
        <w:rPr>
          <w:rFonts w:ascii="Times New Roman" w:hAnsi="Times New Roman" w:cs="Times New Roman"/>
          <w:sz w:val="24"/>
          <w:szCs w:val="24"/>
          <w:shd w:val="clear" w:color="auto" w:fill="FFFFFF"/>
        </w:rPr>
        <w:t xml:space="preserve">) was measured at 517 nm. </w:t>
      </w:r>
      <w:r w:rsidRPr="00751A69">
        <w:rPr>
          <w:rFonts w:ascii="Times New Roman" w:hAnsi="Times New Roman" w:cs="Times New Roman"/>
          <w:sz w:val="24"/>
          <w:szCs w:val="24"/>
        </w:rPr>
        <w:t xml:space="preserve">Assay mixture without </w:t>
      </w:r>
      <w:r w:rsidR="00F03CEF" w:rsidRPr="00751A69">
        <w:rPr>
          <w:rFonts w:ascii="Times New Roman" w:hAnsi="Times New Roman" w:cs="Times New Roman"/>
          <w:sz w:val="24"/>
          <w:szCs w:val="24"/>
        </w:rPr>
        <w:t>compound</w:t>
      </w:r>
      <w:r w:rsidRPr="00751A69">
        <w:rPr>
          <w:rFonts w:ascii="Times New Roman" w:hAnsi="Times New Roman" w:cs="Times New Roman"/>
          <w:sz w:val="24"/>
          <w:szCs w:val="24"/>
        </w:rPr>
        <w:t xml:space="preserve"> was used as a control (A</w:t>
      </w:r>
      <w:r w:rsidRPr="00751A69">
        <w:rPr>
          <w:rFonts w:ascii="Times New Roman" w:hAnsi="Times New Roman" w:cs="Times New Roman"/>
          <w:sz w:val="24"/>
          <w:szCs w:val="24"/>
          <w:vertAlign w:val="subscript"/>
        </w:rPr>
        <w:t>control</w:t>
      </w:r>
      <w:r w:rsidRPr="00751A69">
        <w:rPr>
          <w:rFonts w:ascii="Times New Roman" w:hAnsi="Times New Roman" w:cs="Times New Roman"/>
          <w:sz w:val="24"/>
          <w:szCs w:val="24"/>
        </w:rPr>
        <w:t>). The inhibition percentage was calculated using formula 1</w:t>
      </w:r>
      <w:r w:rsidR="00F03CEF" w:rsidRPr="00751A69">
        <w:rPr>
          <w:rFonts w:ascii="Times New Roman" w:hAnsi="Times New Roman" w:cs="Times New Roman"/>
          <w:sz w:val="24"/>
          <w:szCs w:val="24"/>
        </w:rPr>
        <w:t xml:space="preserve"> against compounds concentrations</w:t>
      </w:r>
      <w:r w:rsidR="00751A69">
        <w:rPr>
          <w:rFonts w:ascii="Times New Roman" w:hAnsi="Times New Roman" w:cs="Times New Roman"/>
          <w:sz w:val="24"/>
          <w:szCs w:val="24"/>
        </w:rPr>
        <w:t>.</w:t>
      </w:r>
    </w:p>
    <w:p w:rsidR="00751A69" w:rsidRPr="00751A69" w:rsidRDefault="00751A69" w:rsidP="003A4508">
      <w:pPr>
        <w:spacing w:after="0" w:line="240" w:lineRule="auto"/>
        <w:jc w:val="both"/>
        <w:rPr>
          <w:rFonts w:ascii="Times New Roman" w:hAnsi="Times New Roman" w:cs="Times New Roman"/>
          <w:sz w:val="24"/>
          <w:szCs w:val="24"/>
        </w:rPr>
      </w:pPr>
    </w:p>
    <w:p w:rsidR="009D3C36" w:rsidRPr="00B277E7" w:rsidRDefault="005E6689" w:rsidP="00C21BF4">
      <w:pPr>
        <w:jc w:val="center"/>
        <w:rPr>
          <w:rFonts w:ascii="Times New Roman" w:hAnsi="Times New Roman" w:cs="Times New Roman"/>
        </w:rPr>
      </w:pPr>
      <w:r w:rsidRPr="00B277E7">
        <w:rPr>
          <w:rFonts w:ascii="Times New Roman" w:hAnsi="Times New Roman" w:cs="Times New Roman"/>
        </w:rPr>
        <w:t>Formula 1.</w:t>
      </w:r>
      <w:r w:rsidR="00B277E7">
        <w:rPr>
          <w:rFonts w:ascii="Times New Roman" w:hAnsi="Times New Roman" w:cs="Times New Roman"/>
        </w:rPr>
        <w:t xml:space="preserve"> </w:t>
      </w:r>
      <m:oMath>
        <m:r>
          <w:rPr>
            <w:rFonts w:ascii="Cambria Math" w:eastAsia="AdvGulliv-R" w:hAnsi="Cambria Math" w:cs="Times New Roman"/>
          </w:rPr>
          <m:t>Scavenging effects (%)=</m:t>
        </m:r>
        <m:d>
          <m:dPr>
            <m:begChr m:val="["/>
            <m:endChr m:val="]"/>
            <m:ctrlPr>
              <w:rPr>
                <w:rFonts w:ascii="Cambria Math" w:eastAsia="AdvGulliv-R" w:hAnsi="Cambria Math" w:cs="Times New Roman"/>
                <w:i/>
              </w:rPr>
            </m:ctrlPr>
          </m:dPr>
          <m:e>
            <m:f>
              <m:fPr>
                <m:ctrlPr>
                  <w:rPr>
                    <w:rFonts w:ascii="Cambria Math" w:eastAsia="AdvGulliv-R" w:hAnsi="Cambria Math" w:cs="Times New Roman"/>
                    <w:i/>
                  </w:rPr>
                </m:ctrlPr>
              </m:fPr>
              <m:num>
                <m:d>
                  <m:dPr>
                    <m:ctrlPr>
                      <w:rPr>
                        <w:rFonts w:ascii="Cambria Math" w:eastAsia="AdvGulliv-R" w:hAnsi="Cambria Math" w:cs="Times New Roman"/>
                        <w:i/>
                      </w:rPr>
                    </m:ctrlPr>
                  </m:dPr>
                  <m:e>
                    <m:sSub>
                      <m:sSubPr>
                        <m:ctrlPr>
                          <w:rPr>
                            <w:rFonts w:ascii="Cambria Math" w:eastAsia="AdvGulliv-R" w:hAnsi="Cambria Math" w:cs="Times New Roman"/>
                            <w:i/>
                          </w:rPr>
                        </m:ctrlPr>
                      </m:sSubPr>
                      <m:e>
                        <m:r>
                          <w:rPr>
                            <w:rFonts w:ascii="Cambria Math" w:eastAsia="AdvGulliv-R" w:hAnsi="Cambria Math" w:cs="Times New Roman"/>
                          </w:rPr>
                          <m:t>A</m:t>
                        </m:r>
                      </m:e>
                      <m:sub>
                        <m:r>
                          <w:rPr>
                            <w:rFonts w:ascii="Cambria Math" w:eastAsia="AdvGulliv-R" w:hAnsi="Cambria Math" w:cs="Times New Roman"/>
                          </w:rPr>
                          <m:t xml:space="preserve">control </m:t>
                        </m:r>
                      </m:sub>
                    </m:sSub>
                    <m:r>
                      <w:rPr>
                        <w:rFonts w:ascii="Cambria Math" w:eastAsia="AdvGulliv-R" w:hAnsi="Cambria Math" w:cs="Times New Roman"/>
                      </w:rPr>
                      <m:t xml:space="preserve">- </m:t>
                    </m:r>
                    <m:sSub>
                      <m:sSubPr>
                        <m:ctrlPr>
                          <w:rPr>
                            <w:rFonts w:ascii="Cambria Math" w:eastAsia="AdvGulliv-R" w:hAnsi="Cambria Math" w:cs="Times New Roman"/>
                            <w:i/>
                          </w:rPr>
                        </m:ctrlPr>
                      </m:sSubPr>
                      <m:e>
                        <m:r>
                          <w:rPr>
                            <w:rFonts w:ascii="Cambria Math" w:eastAsia="AdvGulliv-R" w:hAnsi="Cambria Math" w:cs="Times New Roman"/>
                          </w:rPr>
                          <m:t>A</m:t>
                        </m:r>
                      </m:e>
                      <m:sub>
                        <m:r>
                          <w:rPr>
                            <w:rFonts w:ascii="Cambria Math" w:eastAsia="AdvGulliv-R" w:hAnsi="Cambria Math" w:cs="Times New Roman"/>
                          </w:rPr>
                          <m:t>compound</m:t>
                        </m:r>
                      </m:sub>
                    </m:sSub>
                  </m:e>
                </m:d>
              </m:num>
              <m:den>
                <m:sSub>
                  <m:sSubPr>
                    <m:ctrlPr>
                      <w:rPr>
                        <w:rFonts w:ascii="Cambria Math" w:eastAsia="AdvGulliv-R" w:hAnsi="Cambria Math" w:cs="Times New Roman"/>
                        <w:i/>
                      </w:rPr>
                    </m:ctrlPr>
                  </m:sSubPr>
                  <m:e>
                    <m:r>
                      <w:rPr>
                        <w:rFonts w:ascii="Cambria Math" w:eastAsia="AdvGulliv-R" w:hAnsi="Cambria Math" w:cs="Times New Roman"/>
                      </w:rPr>
                      <m:t>A</m:t>
                    </m:r>
                  </m:e>
                  <m:sub>
                    <m:r>
                      <w:rPr>
                        <w:rFonts w:ascii="Cambria Math" w:eastAsia="AdvGulliv-R" w:hAnsi="Cambria Math" w:cs="Times New Roman"/>
                      </w:rPr>
                      <m:t>control</m:t>
                    </m:r>
                  </m:sub>
                </m:sSub>
              </m:den>
            </m:f>
          </m:e>
        </m:d>
        <m:r>
          <w:rPr>
            <w:rFonts w:ascii="Cambria Math" w:eastAsia="AdvGulliv-R" w:hAnsi="Cambria Math" w:cs="Times New Roman"/>
          </w:rPr>
          <m:t xml:space="preserve"> ×100</m:t>
        </m:r>
      </m:oMath>
      <w:r w:rsidR="00751A69">
        <w:rPr>
          <w:rFonts w:ascii="Times New Roman" w:eastAsiaTheme="minorEastAsia" w:hAnsi="Times New Roman" w:cs="Times New Roman"/>
        </w:rPr>
        <w:t>.</w:t>
      </w:r>
    </w:p>
    <w:p w:rsidR="00751A69" w:rsidRDefault="00751A69">
      <w:pPr>
        <w:rPr>
          <w:rFonts w:ascii="Times New Roman" w:hAnsi="Times New Roman" w:cs="Times New Roman"/>
        </w:rPr>
      </w:pPr>
      <w:r>
        <w:rPr>
          <w:rFonts w:ascii="Times New Roman" w:hAnsi="Times New Roman" w:cs="Times New Roman"/>
        </w:rPr>
        <w:br w:type="page"/>
      </w:r>
    </w:p>
    <w:p w:rsidR="00303609" w:rsidRPr="00751A69" w:rsidRDefault="00303609" w:rsidP="00303609">
      <w:pPr>
        <w:jc w:val="center"/>
        <w:rPr>
          <w:rFonts w:ascii="Times New Roman" w:hAnsi="Times New Roman" w:cs="Times New Roman"/>
          <w:sz w:val="24"/>
          <w:szCs w:val="24"/>
        </w:rPr>
      </w:pPr>
      <w:r w:rsidRPr="00751A69">
        <w:rPr>
          <w:rFonts w:ascii="Times New Roman" w:hAnsi="Times New Roman" w:cs="Times New Roman"/>
          <w:noProof/>
          <w:sz w:val="24"/>
          <w:szCs w:val="24"/>
        </w:rPr>
        <w:lastRenderedPageBreak/>
        <w:drawing>
          <wp:inline distT="0" distB="0" distL="0" distR="0" wp14:anchorId="2D31C5FF" wp14:editId="69859197">
            <wp:extent cx="5545460" cy="3657600"/>
            <wp:effectExtent l="0" t="0" r="0" b="0"/>
            <wp:docPr id="3" name="Resim 3" descr="F:\manuscript\TA3-non-periferal-elektrokimya\TA3-non periferal küt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283446" name="Picture 1" descr="F:\manuscript\TA3-non-periferal-elektrokimya\TA3-non periferal kütle\2.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553665" cy="3663012"/>
                    </a:xfrm>
                    <a:prstGeom prst="rect">
                      <a:avLst/>
                    </a:prstGeom>
                    <a:noFill/>
                    <a:ln>
                      <a:noFill/>
                    </a:ln>
                  </pic:spPr>
                </pic:pic>
              </a:graphicData>
            </a:graphic>
          </wp:inline>
        </w:drawing>
      </w:r>
    </w:p>
    <w:p w:rsidR="00303609" w:rsidRPr="00751A69" w:rsidRDefault="00303609" w:rsidP="00751A69">
      <w:pPr>
        <w:spacing w:after="0" w:line="240" w:lineRule="auto"/>
        <w:jc w:val="center"/>
        <w:rPr>
          <w:rFonts w:ascii="Times New Roman" w:hAnsi="Times New Roman" w:cs="Times New Roman"/>
          <w:sz w:val="24"/>
          <w:szCs w:val="24"/>
        </w:rPr>
      </w:pPr>
    </w:p>
    <w:p w:rsidR="00303609" w:rsidRPr="00B277E7" w:rsidRDefault="00303609" w:rsidP="00303609">
      <w:pPr>
        <w:jc w:val="center"/>
      </w:pPr>
      <w:r w:rsidRPr="00B277E7">
        <w:rPr>
          <w:noProof/>
        </w:rPr>
        <w:drawing>
          <wp:inline distT="0" distB="0" distL="0" distR="0" wp14:anchorId="442F3269" wp14:editId="61ADB6D7">
            <wp:extent cx="5538159" cy="3664240"/>
            <wp:effectExtent l="0" t="0" r="5715" b="0"/>
            <wp:docPr id="4" name="Resim 4" descr="F:\manuscript\TA3-non-periferal-elektrokimya\TA3-non periferal kütl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188414" name="Picture 2" descr="F:\manuscript\TA3-non-periferal-elektrokimya\TA3-non periferal kütle\4.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541250" cy="3666285"/>
                    </a:xfrm>
                    <a:prstGeom prst="rect">
                      <a:avLst/>
                    </a:prstGeom>
                    <a:noFill/>
                    <a:ln>
                      <a:noFill/>
                    </a:ln>
                  </pic:spPr>
                </pic:pic>
              </a:graphicData>
            </a:graphic>
          </wp:inline>
        </w:drawing>
      </w:r>
    </w:p>
    <w:p w:rsidR="00751A69" w:rsidRDefault="00C7014B" w:rsidP="00751A69">
      <w:pPr>
        <w:spacing w:before="120" w:after="0"/>
        <w:jc w:val="center"/>
        <w:rPr>
          <w:rFonts w:ascii="Times New Roman" w:hAnsi="Times New Roman" w:cs="Times New Roman"/>
          <w:sz w:val="24"/>
          <w:szCs w:val="24"/>
        </w:rPr>
      </w:pPr>
      <w:r w:rsidRPr="00751A69">
        <w:rPr>
          <w:rFonts w:ascii="Times New Roman" w:eastAsia="Calibri" w:hAnsi="Times New Roman" w:cs="Times New Roman"/>
          <w:sz w:val="24"/>
          <w:szCs w:val="24"/>
        </w:rPr>
        <w:t>Figure S1.</w:t>
      </w:r>
      <w:r w:rsidRPr="00751A69">
        <w:rPr>
          <w:rFonts w:ascii="Calibri" w:eastAsia="Calibri" w:hAnsi="Calibri" w:cs="Times New Roman"/>
        </w:rPr>
        <w:t xml:space="preserve"> </w:t>
      </w:r>
      <w:r w:rsidR="00303609" w:rsidRPr="00751A69">
        <w:rPr>
          <w:rFonts w:ascii="Times New Roman" w:hAnsi="Times New Roman" w:cs="Times New Roman"/>
          <w:sz w:val="24"/>
          <w:szCs w:val="24"/>
        </w:rPr>
        <w:t>MALDI-</w:t>
      </w:r>
      <w:r w:rsidR="00303609" w:rsidRPr="00B277E7">
        <w:rPr>
          <w:rFonts w:ascii="Times New Roman" w:hAnsi="Times New Roman" w:cs="Times New Roman"/>
          <w:sz w:val="24"/>
          <w:szCs w:val="24"/>
        </w:rPr>
        <w:t xml:space="preserve">TOF mass spectra of </w:t>
      </w:r>
      <w:r w:rsidR="00303609" w:rsidRPr="00B277E7">
        <w:rPr>
          <w:rFonts w:ascii="Times New Roman" w:hAnsi="Times New Roman" w:cs="Times New Roman"/>
          <w:b/>
          <w:sz w:val="24"/>
          <w:szCs w:val="24"/>
        </w:rPr>
        <w:t>2</w:t>
      </w:r>
      <w:r w:rsidR="00303609" w:rsidRPr="00B277E7">
        <w:rPr>
          <w:rFonts w:ascii="Times New Roman" w:hAnsi="Times New Roman" w:cs="Times New Roman"/>
          <w:sz w:val="24"/>
          <w:szCs w:val="24"/>
        </w:rPr>
        <w:t xml:space="preserve"> and </w:t>
      </w:r>
      <w:r w:rsidR="00303609" w:rsidRPr="00B277E7">
        <w:rPr>
          <w:rFonts w:ascii="Times New Roman" w:hAnsi="Times New Roman" w:cs="Times New Roman"/>
          <w:b/>
          <w:sz w:val="24"/>
          <w:szCs w:val="24"/>
        </w:rPr>
        <w:t>4</w:t>
      </w:r>
      <w:r w:rsidR="00303609" w:rsidRPr="00B277E7">
        <w:rPr>
          <w:rFonts w:ascii="Times New Roman" w:hAnsi="Times New Roman" w:cs="Times New Roman"/>
          <w:sz w:val="24"/>
          <w:szCs w:val="24"/>
        </w:rPr>
        <w:t>.</w:t>
      </w:r>
    </w:p>
    <w:p w:rsidR="00751A69" w:rsidRDefault="00751A69">
      <w:pPr>
        <w:rPr>
          <w:rFonts w:ascii="Times New Roman" w:hAnsi="Times New Roman" w:cs="Times New Roman"/>
          <w:sz w:val="24"/>
          <w:szCs w:val="24"/>
        </w:rPr>
      </w:pPr>
      <w:r>
        <w:rPr>
          <w:rFonts w:ascii="Times New Roman" w:hAnsi="Times New Roman" w:cs="Times New Roman"/>
          <w:sz w:val="24"/>
          <w:szCs w:val="24"/>
        </w:rPr>
        <w:br w:type="page"/>
      </w:r>
    </w:p>
    <w:p w:rsidR="00303609" w:rsidRPr="00751A69" w:rsidRDefault="00303609" w:rsidP="00751A69">
      <w:pPr>
        <w:spacing w:after="240"/>
        <w:jc w:val="center"/>
        <w:rPr>
          <w:rFonts w:ascii="Times New Roman" w:hAnsi="Times New Roman" w:cs="Times New Roman"/>
          <w:sz w:val="24"/>
          <w:szCs w:val="24"/>
        </w:rPr>
      </w:pPr>
      <w:r w:rsidRPr="00751A69">
        <w:rPr>
          <w:rFonts w:ascii="Times New Roman" w:hAnsi="Times New Roman" w:cs="Times New Roman"/>
          <w:noProof/>
          <w:sz w:val="24"/>
          <w:szCs w:val="24"/>
        </w:rPr>
        <w:lastRenderedPageBreak/>
        <w:drawing>
          <wp:inline distT="0" distB="0" distL="0" distR="0" wp14:anchorId="5E33B404" wp14:editId="008DE54F">
            <wp:extent cx="5207699" cy="3683479"/>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28196" cy="3697977"/>
                    </a:xfrm>
                    <a:prstGeom prst="rect">
                      <a:avLst/>
                    </a:prstGeom>
                  </pic:spPr>
                </pic:pic>
              </a:graphicData>
            </a:graphic>
          </wp:inline>
        </w:drawing>
      </w:r>
    </w:p>
    <w:p w:rsidR="00303609" w:rsidRPr="00751A69" w:rsidRDefault="00303609" w:rsidP="00751A69">
      <w:pPr>
        <w:spacing w:after="0"/>
        <w:jc w:val="center"/>
        <w:rPr>
          <w:rFonts w:ascii="Times New Roman" w:hAnsi="Times New Roman" w:cs="Times New Roman"/>
          <w:sz w:val="24"/>
          <w:szCs w:val="24"/>
        </w:rPr>
      </w:pPr>
    </w:p>
    <w:p w:rsidR="00303609" w:rsidRPr="00751A69" w:rsidRDefault="00303609" w:rsidP="00751A69">
      <w:pPr>
        <w:spacing w:after="240"/>
        <w:jc w:val="center"/>
        <w:rPr>
          <w:rFonts w:ascii="Times New Roman" w:hAnsi="Times New Roman" w:cs="Times New Roman"/>
          <w:sz w:val="24"/>
          <w:szCs w:val="24"/>
        </w:rPr>
      </w:pPr>
      <w:r w:rsidRPr="00751A69">
        <w:rPr>
          <w:rFonts w:ascii="Times New Roman" w:hAnsi="Times New Roman" w:cs="Times New Roman"/>
          <w:noProof/>
          <w:sz w:val="24"/>
          <w:szCs w:val="24"/>
        </w:rPr>
        <w:drawing>
          <wp:inline distT="0" distB="0" distL="0" distR="0" wp14:anchorId="5EA2B1BC" wp14:editId="22894F51">
            <wp:extent cx="5284589" cy="3726612"/>
            <wp:effectExtent l="0" t="0" r="0" b="7620"/>
            <wp:docPr id="6" name="Resim 6" descr="F:\manuscript\TA3-non-periferal\TA3\TA3-non periferal NMR\TA3-CN 13C N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anuscript\TA3-non-periferal\TA3\TA3-non periferal NMR\TA3-CN 13C NM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614" cy="3732976"/>
                    </a:xfrm>
                    <a:prstGeom prst="rect">
                      <a:avLst/>
                    </a:prstGeom>
                    <a:noFill/>
                    <a:ln>
                      <a:noFill/>
                    </a:ln>
                  </pic:spPr>
                </pic:pic>
              </a:graphicData>
            </a:graphic>
          </wp:inline>
        </w:drawing>
      </w:r>
    </w:p>
    <w:p w:rsidR="00303609" w:rsidRPr="00B277E7" w:rsidRDefault="00C7014B" w:rsidP="00751A69">
      <w:pPr>
        <w:spacing w:before="120" w:after="0" w:line="360" w:lineRule="auto"/>
        <w:jc w:val="center"/>
        <w:rPr>
          <w:rFonts w:ascii="Times New Roman" w:eastAsia="Calibri" w:hAnsi="Times New Roman" w:cs="Times New Roman"/>
          <w:sz w:val="24"/>
          <w:szCs w:val="24"/>
        </w:rPr>
      </w:pPr>
      <w:r w:rsidRPr="00B277E7">
        <w:rPr>
          <w:rFonts w:ascii="Times New Roman" w:eastAsia="Calibri" w:hAnsi="Times New Roman" w:cs="Times New Roman"/>
          <w:sz w:val="24"/>
          <w:szCs w:val="24"/>
        </w:rPr>
        <w:t>Figure S2.</w:t>
      </w:r>
      <w:r w:rsidR="00B277E7" w:rsidRPr="00B277E7">
        <w:rPr>
          <w:rFonts w:ascii="Times New Roman" w:eastAsia="Calibri" w:hAnsi="Times New Roman" w:cs="Times New Roman"/>
          <w:sz w:val="24"/>
          <w:szCs w:val="24"/>
        </w:rPr>
        <w:t xml:space="preserve"> </w:t>
      </w:r>
      <w:r w:rsidR="00303609" w:rsidRPr="00B277E7">
        <w:rPr>
          <w:rFonts w:ascii="Times New Roman" w:eastAsia="Calibri" w:hAnsi="Times New Roman" w:cs="Times New Roman"/>
          <w:sz w:val="24"/>
          <w:szCs w:val="24"/>
          <w:vertAlign w:val="superscript"/>
        </w:rPr>
        <w:t>1</w:t>
      </w:r>
      <w:r w:rsidR="00303609" w:rsidRPr="00B277E7">
        <w:rPr>
          <w:rFonts w:ascii="Times New Roman" w:eastAsia="Calibri" w:hAnsi="Times New Roman" w:cs="Times New Roman"/>
          <w:sz w:val="24"/>
          <w:szCs w:val="24"/>
        </w:rPr>
        <w:t>H</w:t>
      </w:r>
      <w:r w:rsidR="00B277E7" w:rsidRPr="00B277E7">
        <w:rPr>
          <w:rFonts w:ascii="Times New Roman" w:eastAsia="Times New Roman" w:hAnsi="Times New Roman" w:cs="Times New Roman"/>
          <w:sz w:val="24"/>
          <w:szCs w:val="20"/>
          <w:lang w:eastAsia="ar-SA"/>
        </w:rPr>
        <w:t>-</w:t>
      </w:r>
      <w:r w:rsidR="00303609" w:rsidRPr="00B277E7">
        <w:rPr>
          <w:rFonts w:ascii="Times New Roman" w:eastAsia="Calibri" w:hAnsi="Times New Roman" w:cs="Times New Roman"/>
          <w:sz w:val="24"/>
          <w:szCs w:val="24"/>
        </w:rPr>
        <w:t xml:space="preserve"> and </w:t>
      </w:r>
      <w:r w:rsidR="00303609" w:rsidRPr="00B277E7">
        <w:rPr>
          <w:rFonts w:ascii="Times New Roman" w:eastAsia="Calibri" w:hAnsi="Times New Roman" w:cs="Times New Roman"/>
          <w:sz w:val="24"/>
          <w:szCs w:val="24"/>
          <w:vertAlign w:val="superscript"/>
        </w:rPr>
        <w:t>13</w:t>
      </w:r>
      <w:r w:rsidR="00303609" w:rsidRPr="00B277E7">
        <w:rPr>
          <w:rFonts w:ascii="Times New Roman" w:eastAsia="Calibri" w:hAnsi="Times New Roman" w:cs="Times New Roman"/>
          <w:sz w:val="24"/>
          <w:szCs w:val="24"/>
        </w:rPr>
        <w:t>C</w:t>
      </w:r>
      <w:r w:rsidR="00B277E7">
        <w:rPr>
          <w:rFonts w:ascii="Times New Roman" w:eastAsia="Times New Roman" w:hAnsi="Times New Roman" w:cs="Times New Roman"/>
          <w:sz w:val="24"/>
          <w:szCs w:val="20"/>
          <w:lang w:eastAsia="ar-SA"/>
        </w:rPr>
        <w:t>-</w:t>
      </w:r>
      <w:r w:rsidR="00303609" w:rsidRPr="00B277E7">
        <w:rPr>
          <w:rFonts w:ascii="Times New Roman" w:eastAsia="Calibri" w:hAnsi="Times New Roman" w:cs="Times New Roman"/>
          <w:sz w:val="24"/>
          <w:szCs w:val="24"/>
        </w:rPr>
        <w:t xml:space="preserve">NMR spectra of </w:t>
      </w:r>
      <w:r w:rsidR="00303609" w:rsidRPr="00B277E7">
        <w:rPr>
          <w:rFonts w:ascii="Times New Roman" w:eastAsia="Calibri" w:hAnsi="Times New Roman" w:cs="Times New Roman"/>
          <w:b/>
          <w:sz w:val="24"/>
          <w:szCs w:val="24"/>
        </w:rPr>
        <w:t>4</w:t>
      </w:r>
      <w:r w:rsidR="00303609" w:rsidRPr="00B277E7">
        <w:rPr>
          <w:rFonts w:ascii="Times New Roman" w:eastAsia="Calibri" w:hAnsi="Times New Roman" w:cs="Times New Roman"/>
          <w:sz w:val="24"/>
          <w:szCs w:val="24"/>
        </w:rPr>
        <w:t xml:space="preserve"> in CDC1</w:t>
      </w:r>
      <w:r w:rsidR="00303609" w:rsidRPr="00B277E7">
        <w:rPr>
          <w:rFonts w:ascii="Times New Roman" w:eastAsia="Calibri" w:hAnsi="Times New Roman" w:cs="Times New Roman"/>
          <w:sz w:val="24"/>
          <w:szCs w:val="24"/>
          <w:vertAlign w:val="subscript"/>
        </w:rPr>
        <w:t>3</w:t>
      </w:r>
      <w:r w:rsidR="00303609" w:rsidRPr="00B277E7">
        <w:rPr>
          <w:rFonts w:ascii="Times New Roman" w:eastAsia="Calibri" w:hAnsi="Times New Roman" w:cs="Times New Roman"/>
          <w:sz w:val="24"/>
          <w:szCs w:val="24"/>
        </w:rPr>
        <w:t>.</w:t>
      </w:r>
    </w:p>
    <w:p w:rsidR="00303609" w:rsidRPr="00751A69" w:rsidRDefault="00303609" w:rsidP="00751A69">
      <w:pPr>
        <w:jc w:val="center"/>
        <w:rPr>
          <w:rFonts w:ascii="Times New Roman" w:hAnsi="Times New Roman" w:cs="Times New Roman"/>
          <w:sz w:val="24"/>
          <w:szCs w:val="24"/>
        </w:rPr>
      </w:pPr>
      <w:r w:rsidRPr="00751A69">
        <w:rPr>
          <w:rFonts w:ascii="Times New Roman" w:hAnsi="Times New Roman" w:cs="Times New Roman"/>
          <w:noProof/>
          <w:sz w:val="24"/>
          <w:szCs w:val="24"/>
        </w:rPr>
        <w:lastRenderedPageBreak/>
        <w:drawing>
          <wp:inline distT="0" distB="0" distL="0" distR="0" wp14:anchorId="0112BCBC" wp14:editId="46DF38A9">
            <wp:extent cx="5613621" cy="3696912"/>
            <wp:effectExtent l="0" t="0" r="6350" b="0"/>
            <wp:docPr id="7" name="Resim 7" descr="F:\manuscript\TA3-non-periferal\TA3\TA3-non periferal kütl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nuscript\TA3-non-periferal\TA3\TA3-non periferal kütle\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7066" cy="3705766"/>
                    </a:xfrm>
                    <a:prstGeom prst="rect">
                      <a:avLst/>
                    </a:prstGeom>
                    <a:noFill/>
                    <a:ln>
                      <a:noFill/>
                    </a:ln>
                  </pic:spPr>
                </pic:pic>
              </a:graphicData>
            </a:graphic>
          </wp:inline>
        </w:drawing>
      </w:r>
    </w:p>
    <w:p w:rsidR="00303609" w:rsidRPr="00751A69" w:rsidRDefault="00303609" w:rsidP="00751A69">
      <w:pPr>
        <w:spacing w:after="0"/>
        <w:jc w:val="center"/>
        <w:rPr>
          <w:rFonts w:ascii="Times New Roman" w:hAnsi="Times New Roman" w:cs="Times New Roman"/>
        </w:rPr>
      </w:pPr>
    </w:p>
    <w:p w:rsidR="00303609" w:rsidRPr="00751A69" w:rsidRDefault="00303609" w:rsidP="00751A69">
      <w:pPr>
        <w:jc w:val="center"/>
        <w:rPr>
          <w:rFonts w:ascii="Times New Roman" w:hAnsi="Times New Roman" w:cs="Times New Roman"/>
        </w:rPr>
      </w:pPr>
      <w:r w:rsidRPr="00751A69">
        <w:rPr>
          <w:rFonts w:ascii="Times New Roman" w:hAnsi="Times New Roman" w:cs="Times New Roman"/>
          <w:noProof/>
        </w:rPr>
        <w:drawing>
          <wp:inline distT="0" distB="0" distL="0" distR="0" wp14:anchorId="7C8D865B" wp14:editId="5C6849FE">
            <wp:extent cx="5746750" cy="3786813"/>
            <wp:effectExtent l="0" t="0" r="6350" b="4445"/>
            <wp:docPr id="8" name="Resim 8" descr="F:\manuscript\TA3-non-periferal\TA3\TA3-non periferal kütl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nuscript\TA3-non-periferal\TA3\TA3-non periferal kütle\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4962" cy="3785635"/>
                    </a:xfrm>
                    <a:prstGeom prst="rect">
                      <a:avLst/>
                    </a:prstGeom>
                    <a:noFill/>
                    <a:ln>
                      <a:noFill/>
                    </a:ln>
                  </pic:spPr>
                </pic:pic>
              </a:graphicData>
            </a:graphic>
          </wp:inline>
        </w:drawing>
      </w:r>
    </w:p>
    <w:p w:rsidR="00303609" w:rsidRPr="00B277E7" w:rsidRDefault="00C7014B" w:rsidP="00751A69">
      <w:pPr>
        <w:spacing w:before="120" w:after="0"/>
        <w:jc w:val="center"/>
      </w:pPr>
      <w:r w:rsidRPr="00B277E7">
        <w:rPr>
          <w:rFonts w:ascii="Times New Roman" w:eastAsia="Calibri" w:hAnsi="Times New Roman" w:cs="Times New Roman"/>
          <w:sz w:val="24"/>
          <w:szCs w:val="24"/>
        </w:rPr>
        <w:t>Figure S3.</w:t>
      </w:r>
      <w:r w:rsidRPr="00B277E7">
        <w:rPr>
          <w:rFonts w:ascii="Calibri" w:eastAsia="Calibri" w:hAnsi="Calibri" w:cs="Times New Roman"/>
        </w:rPr>
        <w:t xml:space="preserve"> </w:t>
      </w:r>
      <w:r w:rsidR="00303609" w:rsidRPr="00B277E7">
        <w:rPr>
          <w:rFonts w:ascii="Times New Roman" w:hAnsi="Times New Roman" w:cs="Times New Roman"/>
          <w:sz w:val="24"/>
          <w:szCs w:val="24"/>
        </w:rPr>
        <w:t xml:space="preserve">MALDI-TOF mass spectra of </w:t>
      </w:r>
      <w:r w:rsidR="00303609" w:rsidRPr="00B277E7">
        <w:rPr>
          <w:rFonts w:ascii="Times New Roman" w:hAnsi="Times New Roman" w:cs="Times New Roman"/>
          <w:b/>
          <w:sz w:val="24"/>
          <w:szCs w:val="24"/>
        </w:rPr>
        <w:t>7</w:t>
      </w:r>
      <w:r w:rsidR="00303609" w:rsidRPr="00B277E7">
        <w:rPr>
          <w:rFonts w:ascii="Times New Roman" w:hAnsi="Times New Roman" w:cs="Times New Roman"/>
          <w:sz w:val="24"/>
          <w:szCs w:val="24"/>
        </w:rPr>
        <w:t xml:space="preserve"> and </w:t>
      </w:r>
      <w:r w:rsidR="00303609" w:rsidRPr="00B277E7">
        <w:rPr>
          <w:rFonts w:ascii="Times New Roman" w:hAnsi="Times New Roman" w:cs="Times New Roman"/>
          <w:b/>
          <w:sz w:val="24"/>
          <w:szCs w:val="24"/>
        </w:rPr>
        <w:t>8</w:t>
      </w:r>
      <w:r w:rsidR="00303609" w:rsidRPr="00B277E7">
        <w:rPr>
          <w:rFonts w:ascii="Times New Roman" w:hAnsi="Times New Roman" w:cs="Times New Roman"/>
          <w:sz w:val="24"/>
          <w:szCs w:val="24"/>
        </w:rPr>
        <w:t>.</w:t>
      </w:r>
    </w:p>
    <w:p w:rsidR="00492044" w:rsidRPr="00B277E7" w:rsidRDefault="00492044" w:rsidP="00492044">
      <w:pPr>
        <w:spacing w:after="0"/>
        <w:jc w:val="center"/>
        <w:rPr>
          <w:rFonts w:ascii="Times New Roman" w:eastAsia="Calibri" w:hAnsi="Times New Roman" w:cs="Times New Roman"/>
          <w:sz w:val="24"/>
          <w:szCs w:val="24"/>
        </w:rPr>
      </w:pPr>
      <w:r w:rsidRPr="00B277E7">
        <w:rPr>
          <w:rFonts w:ascii="Times New Roman" w:eastAsia="Calibri" w:hAnsi="Times New Roman" w:cs="Times New Roman"/>
          <w:noProof/>
          <w:sz w:val="24"/>
          <w:szCs w:val="24"/>
        </w:rPr>
        <w:lastRenderedPageBreak/>
        <w:drawing>
          <wp:inline distT="0" distB="0" distL="0" distR="0" wp14:anchorId="6A86C51C" wp14:editId="4F44BC2E">
            <wp:extent cx="5229225" cy="3845476"/>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36381" cy="3850738"/>
                    </a:xfrm>
                    <a:prstGeom prst="rect">
                      <a:avLst/>
                    </a:prstGeom>
                  </pic:spPr>
                </pic:pic>
              </a:graphicData>
            </a:graphic>
          </wp:inline>
        </w:drawing>
      </w:r>
    </w:p>
    <w:p w:rsidR="00492044" w:rsidRPr="00B277E7" w:rsidRDefault="00492044" w:rsidP="00B277E7">
      <w:pPr>
        <w:spacing w:after="0" w:line="360" w:lineRule="auto"/>
        <w:jc w:val="center"/>
        <w:rPr>
          <w:rFonts w:ascii="Times New Roman" w:eastAsia="Calibri" w:hAnsi="Times New Roman" w:cs="Times New Roman"/>
          <w:sz w:val="24"/>
          <w:szCs w:val="24"/>
        </w:rPr>
      </w:pPr>
    </w:p>
    <w:p w:rsidR="00492044" w:rsidRPr="00B277E7" w:rsidRDefault="00492044" w:rsidP="00B277E7">
      <w:pPr>
        <w:spacing w:after="0" w:line="360" w:lineRule="auto"/>
        <w:jc w:val="center"/>
        <w:rPr>
          <w:rFonts w:ascii="Times New Roman" w:eastAsia="Calibri" w:hAnsi="Times New Roman" w:cs="Times New Roman"/>
          <w:sz w:val="24"/>
          <w:szCs w:val="24"/>
        </w:rPr>
      </w:pPr>
      <w:r w:rsidRPr="00B277E7">
        <w:rPr>
          <w:rFonts w:ascii="Times New Roman" w:eastAsia="Calibri" w:hAnsi="Times New Roman" w:cs="Times New Roman"/>
          <w:noProof/>
          <w:sz w:val="24"/>
          <w:szCs w:val="24"/>
        </w:rPr>
        <w:drawing>
          <wp:inline distT="0" distB="0" distL="0" distR="0" wp14:anchorId="1AF417F7" wp14:editId="21481DBF">
            <wp:extent cx="5153025" cy="3623928"/>
            <wp:effectExtent l="0" t="0" r="0" b="0"/>
            <wp:docPr id="2" name="Resim 2" descr="C:\Users\Fujitsu\Desktop\TA3-MgPc (8) 1H N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TA3-MgPc (8) 1H NM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5193" cy="3625453"/>
                    </a:xfrm>
                    <a:prstGeom prst="rect">
                      <a:avLst/>
                    </a:prstGeom>
                    <a:noFill/>
                    <a:ln>
                      <a:noFill/>
                    </a:ln>
                  </pic:spPr>
                </pic:pic>
              </a:graphicData>
            </a:graphic>
          </wp:inline>
        </w:drawing>
      </w:r>
    </w:p>
    <w:p w:rsidR="00492044" w:rsidRPr="00B277E7" w:rsidRDefault="00492044" w:rsidP="00751A69">
      <w:pPr>
        <w:spacing w:before="240" w:after="0" w:line="360" w:lineRule="auto"/>
        <w:jc w:val="center"/>
        <w:rPr>
          <w:rFonts w:ascii="Calibri" w:eastAsia="Calibri" w:hAnsi="Calibri" w:cs="Times New Roman"/>
        </w:rPr>
      </w:pPr>
      <w:r w:rsidRPr="00B277E7">
        <w:rPr>
          <w:rFonts w:ascii="Times New Roman" w:eastAsia="Calibri" w:hAnsi="Times New Roman" w:cs="Times New Roman"/>
          <w:sz w:val="24"/>
          <w:szCs w:val="24"/>
        </w:rPr>
        <w:t>Figure S</w:t>
      </w:r>
      <w:r w:rsidR="00C7014B" w:rsidRPr="00B277E7">
        <w:rPr>
          <w:rFonts w:ascii="Times New Roman" w:eastAsia="Calibri" w:hAnsi="Times New Roman" w:cs="Times New Roman"/>
          <w:sz w:val="24"/>
          <w:szCs w:val="24"/>
        </w:rPr>
        <w:t>4</w:t>
      </w:r>
      <w:r w:rsidRPr="00B277E7">
        <w:rPr>
          <w:rFonts w:ascii="Times New Roman" w:eastAsia="Calibri" w:hAnsi="Times New Roman" w:cs="Times New Roman"/>
          <w:sz w:val="24"/>
          <w:szCs w:val="24"/>
        </w:rPr>
        <w:t xml:space="preserve">. </w:t>
      </w:r>
      <w:r w:rsidRPr="00B277E7">
        <w:rPr>
          <w:rFonts w:ascii="Times New Roman" w:eastAsia="Calibri" w:hAnsi="Times New Roman" w:cs="Times New Roman"/>
          <w:sz w:val="24"/>
          <w:szCs w:val="24"/>
          <w:vertAlign w:val="superscript"/>
        </w:rPr>
        <w:t>1</w:t>
      </w:r>
      <w:r w:rsidRPr="00B277E7">
        <w:rPr>
          <w:rFonts w:ascii="Times New Roman" w:eastAsia="Calibri" w:hAnsi="Times New Roman" w:cs="Times New Roman"/>
          <w:sz w:val="24"/>
          <w:szCs w:val="24"/>
        </w:rPr>
        <w:t>H</w:t>
      </w:r>
      <w:r w:rsidR="00B277E7">
        <w:rPr>
          <w:rFonts w:ascii="Times New Roman" w:eastAsia="Times New Roman" w:hAnsi="Times New Roman" w:cs="Times New Roman"/>
          <w:sz w:val="24"/>
          <w:szCs w:val="20"/>
          <w:lang w:eastAsia="ar-SA"/>
        </w:rPr>
        <w:t>-</w:t>
      </w:r>
      <w:r w:rsidRPr="00B277E7">
        <w:rPr>
          <w:rFonts w:ascii="Times New Roman" w:eastAsia="Calibri" w:hAnsi="Times New Roman" w:cs="Times New Roman"/>
          <w:sz w:val="24"/>
          <w:szCs w:val="24"/>
        </w:rPr>
        <w:t xml:space="preserve">NMR spectra of </w:t>
      </w:r>
      <w:r w:rsidRPr="00B277E7">
        <w:rPr>
          <w:rFonts w:ascii="Times New Roman" w:eastAsia="Calibri" w:hAnsi="Times New Roman" w:cs="Times New Roman"/>
          <w:b/>
          <w:sz w:val="24"/>
          <w:szCs w:val="24"/>
        </w:rPr>
        <w:t>7</w:t>
      </w:r>
      <w:r w:rsidRPr="00B277E7">
        <w:rPr>
          <w:rFonts w:ascii="Times New Roman" w:eastAsia="Calibri" w:hAnsi="Times New Roman" w:cs="Times New Roman"/>
          <w:sz w:val="24"/>
          <w:szCs w:val="24"/>
        </w:rPr>
        <w:t xml:space="preserve"> and </w:t>
      </w:r>
      <w:r w:rsidRPr="00B277E7">
        <w:rPr>
          <w:rFonts w:ascii="Times New Roman" w:eastAsia="Calibri" w:hAnsi="Times New Roman" w:cs="Times New Roman"/>
          <w:b/>
          <w:sz w:val="24"/>
          <w:szCs w:val="24"/>
        </w:rPr>
        <w:t>8</w:t>
      </w:r>
      <w:r w:rsidRPr="00B277E7">
        <w:rPr>
          <w:rFonts w:ascii="Times New Roman" w:eastAsia="Calibri" w:hAnsi="Times New Roman" w:cs="Times New Roman"/>
          <w:sz w:val="24"/>
          <w:szCs w:val="24"/>
        </w:rPr>
        <w:t xml:space="preserve"> in CDC1</w:t>
      </w:r>
      <w:r w:rsidRPr="00B277E7">
        <w:rPr>
          <w:rFonts w:ascii="Times New Roman" w:eastAsia="Calibri" w:hAnsi="Times New Roman" w:cs="Times New Roman"/>
          <w:sz w:val="24"/>
          <w:szCs w:val="24"/>
          <w:vertAlign w:val="subscript"/>
        </w:rPr>
        <w:t>3</w:t>
      </w:r>
      <w:r w:rsidRPr="00B277E7">
        <w:rPr>
          <w:rFonts w:ascii="Times New Roman" w:eastAsia="Calibri" w:hAnsi="Times New Roman" w:cs="Times New Roman"/>
          <w:sz w:val="24"/>
          <w:szCs w:val="24"/>
        </w:rPr>
        <w:t>.</w:t>
      </w:r>
    </w:p>
    <w:p w:rsidR="00563B98" w:rsidRPr="00B277E7" w:rsidRDefault="005E6689" w:rsidP="00B277E7">
      <w:pPr>
        <w:keepNext/>
        <w:spacing w:after="0" w:line="360" w:lineRule="auto"/>
        <w:rPr>
          <w:rFonts w:ascii="Times New Roman" w:eastAsia="Calibri" w:hAnsi="Times New Roman" w:cs="Times New Roman"/>
          <w:b/>
          <w:sz w:val="24"/>
          <w:szCs w:val="24"/>
          <w:lang w:eastAsia="tr-TR"/>
        </w:rPr>
      </w:pPr>
      <w:r w:rsidRPr="00B277E7">
        <w:rPr>
          <w:rFonts w:ascii="Times New Roman" w:eastAsia="Calibri" w:hAnsi="Times New Roman" w:cs="Times New Roman"/>
          <w:b/>
          <w:sz w:val="24"/>
          <w:szCs w:val="24"/>
          <w:lang w:eastAsia="tr-TR"/>
        </w:rPr>
        <w:lastRenderedPageBreak/>
        <w:t xml:space="preserve">References </w:t>
      </w:r>
    </w:p>
    <w:p w:rsidR="00E62719" w:rsidRPr="00B277E7" w:rsidRDefault="005E6689" w:rsidP="00B277E7">
      <w:pPr>
        <w:spacing w:after="0" w:line="360" w:lineRule="auto"/>
        <w:ind w:left="720" w:hanging="720"/>
        <w:rPr>
          <w:rFonts w:ascii="Times New Roman" w:eastAsia="Calibri" w:hAnsi="Times New Roman" w:cs="Times New Roman"/>
          <w:sz w:val="24"/>
          <w:szCs w:val="24"/>
          <w:lang w:eastAsia="tr-TR"/>
        </w:rPr>
      </w:pPr>
      <w:r w:rsidRPr="00B277E7">
        <w:rPr>
          <w:rFonts w:ascii="Times New Roman" w:eastAsia="Calibri" w:hAnsi="Times New Roman" w:cs="Times New Roman"/>
          <w:sz w:val="24"/>
          <w:szCs w:val="24"/>
          <w:lang w:eastAsia="tr-TR"/>
        </w:rPr>
        <w:t>[</w:t>
      </w:r>
      <w:r w:rsidR="00B277E7" w:rsidRPr="00B277E7">
        <w:rPr>
          <w:rFonts w:ascii="Times New Roman" w:eastAsia="Calibri" w:hAnsi="Times New Roman" w:cs="Times New Roman"/>
          <w:sz w:val="24"/>
          <w:szCs w:val="24"/>
          <w:lang w:eastAsia="tr-TR"/>
        </w:rPr>
        <w:t>S</w:t>
      </w:r>
      <w:r w:rsidRPr="00B277E7">
        <w:rPr>
          <w:rFonts w:ascii="Times New Roman" w:eastAsia="Calibri" w:hAnsi="Times New Roman" w:cs="Times New Roman"/>
          <w:sz w:val="24"/>
          <w:szCs w:val="24"/>
          <w:lang w:eastAsia="tr-TR"/>
        </w:rPr>
        <w:t>1]</w:t>
      </w:r>
      <w:r w:rsidR="00B277E7">
        <w:rPr>
          <w:rFonts w:ascii="Times New Roman" w:eastAsia="Calibri" w:hAnsi="Times New Roman" w:cs="Times New Roman"/>
          <w:sz w:val="24"/>
          <w:szCs w:val="24"/>
          <w:lang w:eastAsia="tr-TR"/>
        </w:rPr>
        <w:tab/>
      </w:r>
      <w:r w:rsidRPr="00B277E7">
        <w:rPr>
          <w:rFonts w:ascii="Times New Roman" w:eastAsia="Calibri" w:hAnsi="Times New Roman" w:cs="Times New Roman"/>
          <w:sz w:val="24"/>
          <w:szCs w:val="24"/>
          <w:lang w:eastAsia="tr-TR"/>
        </w:rPr>
        <w:t>R.D. George, A.W. Snow</w:t>
      </w:r>
      <w:r w:rsidR="00B277E7">
        <w:rPr>
          <w:rFonts w:ascii="Times New Roman" w:eastAsia="Calibri" w:hAnsi="Times New Roman" w:cs="Times New Roman"/>
          <w:sz w:val="24"/>
          <w:szCs w:val="24"/>
          <w:lang w:eastAsia="tr-TR"/>
        </w:rPr>
        <w:t xml:space="preserve">. </w:t>
      </w:r>
      <w:r w:rsidR="00B277E7" w:rsidRPr="00B277E7">
        <w:rPr>
          <w:rFonts w:ascii="Times New Roman" w:eastAsia="Calibri" w:hAnsi="Times New Roman" w:cs="Times New Roman"/>
          <w:i/>
          <w:sz w:val="24"/>
          <w:szCs w:val="24"/>
          <w:lang w:eastAsia="tr-TR"/>
        </w:rPr>
        <w:t>J. Heterocycl</w:t>
      </w:r>
      <w:r w:rsidRPr="00B277E7">
        <w:rPr>
          <w:rFonts w:ascii="Times New Roman" w:eastAsia="Calibri" w:hAnsi="Times New Roman" w:cs="Times New Roman"/>
          <w:i/>
          <w:sz w:val="24"/>
          <w:szCs w:val="24"/>
          <w:lang w:eastAsia="tr-TR"/>
        </w:rPr>
        <w:t>. Chem</w:t>
      </w:r>
      <w:r w:rsidR="009E0D3D" w:rsidRPr="00B277E7">
        <w:rPr>
          <w:rFonts w:ascii="Times New Roman" w:eastAsia="Calibri" w:hAnsi="Times New Roman" w:cs="Times New Roman"/>
          <w:i/>
          <w:sz w:val="24"/>
          <w:szCs w:val="24"/>
          <w:lang w:eastAsia="tr-TR"/>
        </w:rPr>
        <w:t>.</w:t>
      </w:r>
      <w:r w:rsidR="00B277E7">
        <w:rPr>
          <w:rFonts w:ascii="Times New Roman" w:eastAsia="Calibri" w:hAnsi="Times New Roman" w:cs="Times New Roman"/>
          <w:sz w:val="24"/>
          <w:szCs w:val="24"/>
          <w:lang w:eastAsia="tr-TR"/>
        </w:rPr>
        <w:t xml:space="preserve">, </w:t>
      </w:r>
      <w:r w:rsidRPr="00B277E7">
        <w:rPr>
          <w:rFonts w:ascii="Times New Roman" w:eastAsia="Calibri" w:hAnsi="Times New Roman" w:cs="Times New Roman"/>
          <w:b/>
          <w:sz w:val="24"/>
          <w:szCs w:val="24"/>
          <w:lang w:eastAsia="tr-TR"/>
        </w:rPr>
        <w:t>32</w:t>
      </w:r>
      <w:r w:rsidR="00B277E7">
        <w:rPr>
          <w:rFonts w:ascii="Times New Roman" w:eastAsia="Calibri" w:hAnsi="Times New Roman" w:cs="Times New Roman"/>
          <w:sz w:val="24"/>
          <w:szCs w:val="24"/>
          <w:lang w:eastAsia="tr-TR"/>
        </w:rPr>
        <w:t>,</w:t>
      </w:r>
      <w:r w:rsidRPr="00B277E7">
        <w:rPr>
          <w:rFonts w:ascii="Times New Roman" w:eastAsia="Calibri" w:hAnsi="Times New Roman" w:cs="Times New Roman"/>
          <w:sz w:val="24"/>
          <w:szCs w:val="24"/>
          <w:lang w:eastAsia="tr-TR"/>
        </w:rPr>
        <w:t xml:space="preserve"> 495</w:t>
      </w:r>
      <w:r w:rsidR="00B277E7" w:rsidRPr="00B277E7">
        <w:rPr>
          <w:rFonts w:ascii="Times New Roman" w:eastAsia="Calibri" w:hAnsi="Times New Roman" w:cs="Times New Roman"/>
          <w:sz w:val="24"/>
          <w:szCs w:val="24"/>
          <w:lang w:eastAsia="tr-TR"/>
        </w:rPr>
        <w:t xml:space="preserve"> (1995)</w:t>
      </w:r>
      <w:r w:rsidRPr="00B277E7">
        <w:rPr>
          <w:rFonts w:ascii="Times New Roman" w:eastAsia="Calibri" w:hAnsi="Times New Roman" w:cs="Times New Roman"/>
          <w:sz w:val="24"/>
          <w:szCs w:val="24"/>
          <w:lang w:eastAsia="tr-TR"/>
        </w:rPr>
        <w:t>.</w:t>
      </w:r>
    </w:p>
    <w:p w:rsidR="00E62719" w:rsidRPr="00B277E7" w:rsidRDefault="005E6689" w:rsidP="00B277E7">
      <w:pPr>
        <w:autoSpaceDE w:val="0"/>
        <w:autoSpaceDN w:val="0"/>
        <w:adjustRightInd w:val="0"/>
        <w:spacing w:after="0" w:line="360" w:lineRule="auto"/>
        <w:ind w:left="720" w:hanging="720"/>
        <w:rPr>
          <w:rFonts w:ascii="Times New Roman" w:eastAsia="Calibri" w:hAnsi="Times New Roman" w:cs="Times New Roman"/>
          <w:sz w:val="24"/>
          <w:szCs w:val="24"/>
          <w:lang w:val="tr-TR"/>
        </w:rPr>
      </w:pPr>
      <w:r w:rsidRPr="00B277E7">
        <w:rPr>
          <w:rFonts w:ascii="Times New Roman" w:eastAsia="Calibri" w:hAnsi="Times New Roman" w:cs="Times New Roman"/>
          <w:sz w:val="24"/>
          <w:szCs w:val="24"/>
          <w:lang w:val="tr-TR"/>
        </w:rPr>
        <w:t>[</w:t>
      </w:r>
      <w:r w:rsidR="00B277E7" w:rsidRPr="00B277E7">
        <w:rPr>
          <w:rFonts w:ascii="Times New Roman" w:eastAsia="Calibri" w:hAnsi="Times New Roman" w:cs="Times New Roman"/>
          <w:sz w:val="24"/>
          <w:szCs w:val="24"/>
          <w:lang w:val="tr-TR"/>
        </w:rPr>
        <w:t>S</w:t>
      </w:r>
      <w:r w:rsidRPr="00B277E7">
        <w:rPr>
          <w:rFonts w:ascii="Times New Roman" w:eastAsia="Calibri" w:hAnsi="Times New Roman" w:cs="Times New Roman"/>
          <w:sz w:val="24"/>
          <w:szCs w:val="24"/>
          <w:lang w:val="tr-TR"/>
        </w:rPr>
        <w:t>2]</w:t>
      </w:r>
      <w:r w:rsidR="00B277E7">
        <w:rPr>
          <w:rFonts w:ascii="Times New Roman" w:eastAsia="Calibri" w:hAnsi="Times New Roman" w:cs="Times New Roman"/>
          <w:sz w:val="24"/>
          <w:szCs w:val="24"/>
          <w:lang w:val="tr-TR"/>
        </w:rPr>
        <w:tab/>
      </w:r>
      <w:r w:rsidRPr="00B277E7">
        <w:rPr>
          <w:rFonts w:ascii="Times New Roman" w:eastAsia="Calibri" w:hAnsi="Times New Roman" w:cs="Times New Roman"/>
          <w:sz w:val="24"/>
          <w:szCs w:val="24"/>
          <w:lang w:val="tr-TR"/>
        </w:rPr>
        <w:t xml:space="preserve">D.D. Perrin, W.L.F. Armarego, Purification of Laboratory Chemicals, </w:t>
      </w:r>
      <w:r w:rsidR="00B277E7">
        <w:rPr>
          <w:rFonts w:ascii="Times New Roman" w:eastAsia="Calibri" w:hAnsi="Times New Roman" w:cs="Times New Roman"/>
          <w:sz w:val="24"/>
          <w:szCs w:val="24"/>
          <w:lang w:val="tr-TR"/>
        </w:rPr>
        <w:t>S</w:t>
      </w:r>
      <w:r w:rsidRPr="00B277E7">
        <w:rPr>
          <w:rFonts w:ascii="Times New Roman" w:eastAsia="Calibri" w:hAnsi="Times New Roman" w:cs="Times New Roman"/>
          <w:sz w:val="24"/>
          <w:szCs w:val="24"/>
          <w:lang w:val="tr-TR"/>
        </w:rPr>
        <w:t xml:space="preserve">econd </w:t>
      </w:r>
      <w:r w:rsidR="00B277E7">
        <w:rPr>
          <w:rFonts w:ascii="Times New Roman" w:eastAsia="Calibri" w:hAnsi="Times New Roman" w:cs="Times New Roman"/>
          <w:sz w:val="24"/>
          <w:szCs w:val="24"/>
          <w:lang w:val="tr-TR"/>
        </w:rPr>
        <w:t>E</w:t>
      </w:r>
      <w:r w:rsidRPr="00B277E7">
        <w:rPr>
          <w:rFonts w:ascii="Times New Roman" w:eastAsia="Calibri" w:hAnsi="Times New Roman" w:cs="Times New Roman"/>
          <w:sz w:val="24"/>
          <w:szCs w:val="24"/>
          <w:lang w:val="tr-TR"/>
        </w:rPr>
        <w:t>d</w:t>
      </w:r>
      <w:r w:rsidR="00B277E7">
        <w:rPr>
          <w:rFonts w:ascii="Times New Roman" w:eastAsia="Calibri" w:hAnsi="Times New Roman" w:cs="Times New Roman"/>
          <w:sz w:val="24"/>
          <w:szCs w:val="24"/>
          <w:lang w:val="tr-TR"/>
        </w:rPr>
        <w:t>n</w:t>
      </w:r>
      <w:r w:rsidRPr="00B277E7">
        <w:rPr>
          <w:rFonts w:ascii="Times New Roman" w:eastAsia="Calibri" w:hAnsi="Times New Roman" w:cs="Times New Roman"/>
          <w:sz w:val="24"/>
          <w:szCs w:val="24"/>
          <w:lang w:val="tr-TR"/>
        </w:rPr>
        <w:t>., Pergamon Press, Oxford</w:t>
      </w:r>
      <w:r w:rsidR="00B277E7">
        <w:rPr>
          <w:rFonts w:ascii="Times New Roman" w:eastAsia="Calibri" w:hAnsi="Times New Roman" w:cs="Times New Roman"/>
          <w:sz w:val="24"/>
          <w:szCs w:val="24"/>
          <w:lang w:val="tr-TR"/>
        </w:rPr>
        <w:t xml:space="preserve"> (</w:t>
      </w:r>
      <w:r w:rsidRPr="00B277E7">
        <w:rPr>
          <w:rFonts w:ascii="Times New Roman" w:eastAsia="Calibri" w:hAnsi="Times New Roman" w:cs="Times New Roman"/>
          <w:sz w:val="24"/>
          <w:szCs w:val="24"/>
          <w:lang w:val="tr-TR"/>
        </w:rPr>
        <w:t>1989</w:t>
      </w:r>
      <w:r w:rsidR="00B277E7">
        <w:rPr>
          <w:rFonts w:ascii="Times New Roman" w:eastAsia="Calibri" w:hAnsi="Times New Roman" w:cs="Times New Roman"/>
          <w:sz w:val="24"/>
          <w:szCs w:val="24"/>
          <w:lang w:val="tr-TR"/>
        </w:rPr>
        <w:t>)</w:t>
      </w:r>
      <w:r w:rsidRPr="00B277E7">
        <w:rPr>
          <w:rFonts w:ascii="Times New Roman" w:eastAsia="Calibri" w:hAnsi="Times New Roman" w:cs="Times New Roman"/>
          <w:sz w:val="24"/>
          <w:szCs w:val="24"/>
          <w:lang w:val="tr-TR"/>
        </w:rPr>
        <w:t>.</w:t>
      </w:r>
    </w:p>
    <w:p w:rsidR="00AA572F" w:rsidRPr="00B277E7" w:rsidRDefault="005E6689" w:rsidP="00B277E7">
      <w:pPr>
        <w:autoSpaceDE w:val="0"/>
        <w:autoSpaceDN w:val="0"/>
        <w:adjustRightInd w:val="0"/>
        <w:spacing w:after="0" w:line="360" w:lineRule="auto"/>
        <w:ind w:left="720" w:hanging="720"/>
        <w:rPr>
          <w:rFonts w:ascii="Times New Roman" w:hAnsi="Times New Roman" w:cs="Times New Roman"/>
          <w:sz w:val="24"/>
          <w:szCs w:val="24"/>
        </w:rPr>
      </w:pPr>
      <w:r w:rsidRPr="00B277E7">
        <w:rPr>
          <w:rFonts w:ascii="Times New Roman" w:eastAsia="Calibri" w:hAnsi="Times New Roman" w:cs="Times New Roman"/>
          <w:sz w:val="24"/>
          <w:szCs w:val="24"/>
          <w:lang w:val="tr-TR"/>
        </w:rPr>
        <w:t>[</w:t>
      </w:r>
      <w:r w:rsidR="00B277E7" w:rsidRPr="00B277E7">
        <w:rPr>
          <w:rFonts w:ascii="Times New Roman" w:eastAsia="Calibri" w:hAnsi="Times New Roman" w:cs="Times New Roman"/>
          <w:sz w:val="24"/>
          <w:szCs w:val="24"/>
          <w:lang w:val="tr-TR"/>
        </w:rPr>
        <w:t>S</w:t>
      </w:r>
      <w:r w:rsidR="00E62719" w:rsidRPr="00B277E7">
        <w:rPr>
          <w:rFonts w:ascii="Times New Roman" w:eastAsia="Calibri" w:hAnsi="Times New Roman" w:cs="Times New Roman"/>
          <w:sz w:val="24"/>
          <w:szCs w:val="24"/>
          <w:lang w:val="tr-TR"/>
        </w:rPr>
        <w:t>3</w:t>
      </w:r>
      <w:r w:rsidRPr="00B277E7">
        <w:rPr>
          <w:rFonts w:ascii="Times New Roman" w:eastAsia="Calibri" w:hAnsi="Times New Roman" w:cs="Times New Roman"/>
          <w:sz w:val="24"/>
          <w:szCs w:val="24"/>
          <w:lang w:val="tr-TR"/>
        </w:rPr>
        <w:t>]</w:t>
      </w:r>
      <w:r w:rsidR="00B277E7">
        <w:rPr>
          <w:rFonts w:ascii="Times New Roman" w:eastAsia="Calibri" w:hAnsi="Times New Roman" w:cs="Times New Roman"/>
          <w:sz w:val="24"/>
          <w:szCs w:val="24"/>
          <w:lang w:val="tr-TR"/>
        </w:rPr>
        <w:tab/>
      </w:r>
      <w:r w:rsidRPr="00B277E7">
        <w:rPr>
          <w:rFonts w:ascii="Times New Roman" w:hAnsi="Times New Roman" w:cs="Times New Roman"/>
          <w:sz w:val="24"/>
          <w:szCs w:val="24"/>
        </w:rPr>
        <w:t>X.</w:t>
      </w:r>
      <w:r w:rsidR="000F452A" w:rsidRPr="00B277E7">
        <w:rPr>
          <w:rFonts w:ascii="Times New Roman" w:hAnsi="Times New Roman" w:cs="Times New Roman"/>
          <w:sz w:val="24"/>
          <w:szCs w:val="24"/>
        </w:rPr>
        <w:t>B.</w:t>
      </w:r>
      <w:r w:rsidRPr="00B277E7">
        <w:rPr>
          <w:rFonts w:ascii="Times New Roman" w:hAnsi="Times New Roman" w:cs="Times New Roman"/>
          <w:sz w:val="24"/>
          <w:szCs w:val="24"/>
        </w:rPr>
        <w:t xml:space="preserve"> Fu, J.</w:t>
      </w:r>
      <w:r w:rsidR="000F452A" w:rsidRPr="00B277E7">
        <w:rPr>
          <w:rFonts w:ascii="Times New Roman" w:hAnsi="Times New Roman" w:cs="Times New Roman"/>
          <w:sz w:val="24"/>
          <w:szCs w:val="24"/>
        </w:rPr>
        <w:t>J.</w:t>
      </w:r>
      <w:r w:rsidRPr="00B277E7">
        <w:rPr>
          <w:rFonts w:ascii="Times New Roman" w:hAnsi="Times New Roman" w:cs="Times New Roman"/>
          <w:sz w:val="24"/>
          <w:szCs w:val="24"/>
        </w:rPr>
        <w:t xml:space="preserve"> Zhang, D.</w:t>
      </w:r>
      <w:r w:rsidR="000F452A" w:rsidRPr="00B277E7">
        <w:rPr>
          <w:rFonts w:ascii="Times New Roman" w:hAnsi="Times New Roman" w:cs="Times New Roman"/>
          <w:sz w:val="24"/>
          <w:szCs w:val="24"/>
        </w:rPr>
        <w:t>D.</w:t>
      </w:r>
      <w:r w:rsidRPr="00B277E7">
        <w:rPr>
          <w:rFonts w:ascii="Times New Roman" w:hAnsi="Times New Roman" w:cs="Times New Roman"/>
          <w:sz w:val="24"/>
          <w:szCs w:val="24"/>
        </w:rPr>
        <w:t xml:space="preserve"> Liu, Q.</w:t>
      </w:r>
      <w:r w:rsidR="000F452A" w:rsidRPr="00B277E7">
        <w:rPr>
          <w:rFonts w:ascii="Times New Roman" w:hAnsi="Times New Roman" w:cs="Times New Roman"/>
          <w:sz w:val="24"/>
          <w:szCs w:val="24"/>
        </w:rPr>
        <w:t>Q.</w:t>
      </w:r>
      <w:r w:rsidRPr="00B277E7">
        <w:rPr>
          <w:rFonts w:ascii="Times New Roman" w:hAnsi="Times New Roman" w:cs="Times New Roman"/>
          <w:sz w:val="24"/>
          <w:szCs w:val="24"/>
        </w:rPr>
        <w:t xml:space="preserve"> Gan, H.</w:t>
      </w:r>
      <w:r w:rsidR="000F452A" w:rsidRPr="00B277E7">
        <w:rPr>
          <w:rFonts w:ascii="Times New Roman" w:hAnsi="Times New Roman" w:cs="Times New Roman"/>
          <w:sz w:val="24"/>
          <w:szCs w:val="24"/>
        </w:rPr>
        <w:t>W.</w:t>
      </w:r>
      <w:r w:rsidRPr="00B277E7">
        <w:rPr>
          <w:rFonts w:ascii="Times New Roman" w:hAnsi="Times New Roman" w:cs="Times New Roman"/>
          <w:sz w:val="24"/>
          <w:szCs w:val="24"/>
        </w:rPr>
        <w:t xml:space="preserve"> Gao, Z.</w:t>
      </w:r>
      <w:r w:rsidR="000F452A" w:rsidRPr="00B277E7">
        <w:rPr>
          <w:rFonts w:ascii="Times New Roman" w:hAnsi="Times New Roman" w:cs="Times New Roman"/>
          <w:sz w:val="24"/>
          <w:szCs w:val="24"/>
        </w:rPr>
        <w:t>W.</w:t>
      </w:r>
      <w:r w:rsidRPr="00B277E7">
        <w:rPr>
          <w:rFonts w:ascii="Times New Roman" w:hAnsi="Times New Roman" w:cs="Times New Roman"/>
          <w:sz w:val="24"/>
          <w:szCs w:val="24"/>
        </w:rPr>
        <w:t xml:space="preserve"> Mao, X.</w:t>
      </w:r>
      <w:r w:rsidR="000F452A" w:rsidRPr="00B277E7">
        <w:rPr>
          <w:rFonts w:ascii="Times New Roman" w:hAnsi="Times New Roman" w:cs="Times New Roman"/>
          <w:sz w:val="24"/>
          <w:szCs w:val="24"/>
        </w:rPr>
        <w:t>Y.</w:t>
      </w:r>
      <w:r w:rsidR="00B277E7">
        <w:rPr>
          <w:rFonts w:ascii="Times New Roman" w:hAnsi="Times New Roman" w:cs="Times New Roman"/>
          <w:sz w:val="24"/>
          <w:szCs w:val="24"/>
        </w:rPr>
        <w:t xml:space="preserve"> Le. </w:t>
      </w:r>
      <w:r w:rsidR="00DA35E5" w:rsidRPr="00B277E7">
        <w:rPr>
          <w:rFonts w:ascii="Times New Roman" w:hAnsi="Times New Roman" w:cs="Times New Roman"/>
          <w:i/>
          <w:sz w:val="24"/>
          <w:szCs w:val="24"/>
        </w:rPr>
        <w:t>J. Inorg. Biochem</w:t>
      </w:r>
      <w:r w:rsidR="009E0D3D" w:rsidRPr="00B277E7">
        <w:rPr>
          <w:rFonts w:ascii="Times New Roman" w:hAnsi="Times New Roman" w:cs="Times New Roman"/>
          <w:i/>
          <w:sz w:val="24"/>
          <w:szCs w:val="24"/>
        </w:rPr>
        <w:t>.</w:t>
      </w:r>
      <w:r w:rsidR="00B277E7">
        <w:rPr>
          <w:rFonts w:ascii="Times New Roman" w:hAnsi="Times New Roman" w:cs="Times New Roman"/>
          <w:sz w:val="24"/>
          <w:szCs w:val="24"/>
        </w:rPr>
        <w:t>,</w:t>
      </w:r>
      <w:r w:rsidRPr="00B277E7">
        <w:rPr>
          <w:rFonts w:ascii="Times New Roman" w:hAnsi="Times New Roman" w:cs="Times New Roman"/>
          <w:sz w:val="24"/>
          <w:szCs w:val="24"/>
        </w:rPr>
        <w:t xml:space="preserve"> </w:t>
      </w:r>
      <w:r w:rsidRPr="00B277E7">
        <w:rPr>
          <w:rFonts w:ascii="Times New Roman" w:hAnsi="Times New Roman" w:cs="Times New Roman"/>
          <w:b/>
          <w:sz w:val="24"/>
          <w:szCs w:val="24"/>
        </w:rPr>
        <w:t>143</w:t>
      </w:r>
      <w:r w:rsidR="00B277E7">
        <w:rPr>
          <w:rFonts w:ascii="Times New Roman" w:hAnsi="Times New Roman" w:cs="Times New Roman"/>
          <w:sz w:val="24"/>
          <w:szCs w:val="24"/>
        </w:rPr>
        <w:t>,</w:t>
      </w:r>
      <w:r w:rsidRPr="00B277E7">
        <w:rPr>
          <w:rFonts w:ascii="Times New Roman" w:hAnsi="Times New Roman" w:cs="Times New Roman"/>
          <w:sz w:val="24"/>
          <w:szCs w:val="24"/>
        </w:rPr>
        <w:t xml:space="preserve"> 77</w:t>
      </w:r>
      <w:r w:rsidR="00B277E7" w:rsidRPr="00B277E7">
        <w:rPr>
          <w:rFonts w:ascii="Times New Roman" w:hAnsi="Times New Roman" w:cs="Times New Roman"/>
          <w:sz w:val="24"/>
          <w:szCs w:val="24"/>
        </w:rPr>
        <w:t xml:space="preserve"> (2015)</w:t>
      </w:r>
      <w:r w:rsidRPr="00B277E7">
        <w:rPr>
          <w:rFonts w:ascii="Times New Roman" w:hAnsi="Times New Roman" w:cs="Times New Roman"/>
          <w:sz w:val="24"/>
          <w:szCs w:val="24"/>
        </w:rPr>
        <w:t>.</w:t>
      </w:r>
    </w:p>
    <w:p w:rsidR="00AA572F" w:rsidRPr="00B277E7" w:rsidRDefault="005E6689" w:rsidP="00B277E7">
      <w:pPr>
        <w:autoSpaceDE w:val="0"/>
        <w:autoSpaceDN w:val="0"/>
        <w:adjustRightInd w:val="0"/>
        <w:spacing w:after="0" w:line="360" w:lineRule="auto"/>
        <w:ind w:left="720" w:hanging="720"/>
        <w:rPr>
          <w:rFonts w:ascii="Times New Roman" w:hAnsi="Times New Roman" w:cs="Times New Roman"/>
          <w:sz w:val="24"/>
          <w:szCs w:val="24"/>
        </w:rPr>
      </w:pPr>
      <w:r w:rsidRPr="00B277E7">
        <w:rPr>
          <w:rFonts w:ascii="Times New Roman" w:hAnsi="Times New Roman" w:cs="Times New Roman"/>
          <w:sz w:val="24"/>
          <w:szCs w:val="24"/>
        </w:rPr>
        <w:t>[</w:t>
      </w:r>
      <w:r w:rsidR="00B277E7" w:rsidRPr="00B277E7">
        <w:rPr>
          <w:rFonts w:ascii="Times New Roman" w:hAnsi="Times New Roman" w:cs="Times New Roman"/>
          <w:sz w:val="24"/>
          <w:szCs w:val="24"/>
        </w:rPr>
        <w:t>S</w:t>
      </w:r>
      <w:r w:rsidR="00E62719" w:rsidRPr="00B277E7">
        <w:rPr>
          <w:rFonts w:ascii="Times New Roman" w:hAnsi="Times New Roman" w:cs="Times New Roman"/>
          <w:sz w:val="24"/>
          <w:szCs w:val="24"/>
        </w:rPr>
        <w:t>4</w:t>
      </w:r>
      <w:r w:rsidRPr="00B277E7">
        <w:rPr>
          <w:rFonts w:ascii="Times New Roman" w:hAnsi="Times New Roman" w:cs="Times New Roman"/>
          <w:sz w:val="24"/>
          <w:szCs w:val="24"/>
        </w:rPr>
        <w:t>]</w:t>
      </w:r>
      <w:r w:rsidR="00B277E7">
        <w:rPr>
          <w:rFonts w:ascii="Times New Roman" w:hAnsi="Times New Roman" w:cs="Times New Roman"/>
          <w:sz w:val="24"/>
          <w:szCs w:val="24"/>
        </w:rPr>
        <w:tab/>
      </w:r>
      <w:r w:rsidRPr="00B277E7">
        <w:rPr>
          <w:rFonts w:ascii="Times New Roman" w:hAnsi="Times New Roman" w:cs="Times New Roman"/>
          <w:sz w:val="24"/>
          <w:szCs w:val="24"/>
        </w:rPr>
        <w:t xml:space="preserve">B. Barut, Ü. </w:t>
      </w:r>
      <w:r w:rsidR="001C1693" w:rsidRPr="00B277E7">
        <w:rPr>
          <w:rFonts w:ascii="Times New Roman" w:hAnsi="Times New Roman" w:cs="Times New Roman"/>
          <w:sz w:val="24"/>
          <w:szCs w:val="24"/>
        </w:rPr>
        <w:t>Demirbaş, A. Özel, H. K</w:t>
      </w:r>
      <w:r w:rsidR="00B277E7">
        <w:rPr>
          <w:rFonts w:ascii="Times New Roman" w:hAnsi="Times New Roman" w:cs="Times New Roman"/>
          <w:sz w:val="24"/>
          <w:szCs w:val="24"/>
        </w:rPr>
        <w:t xml:space="preserve">antekin. </w:t>
      </w:r>
      <w:r w:rsidR="009E0D3D" w:rsidRPr="00B277E7">
        <w:rPr>
          <w:rFonts w:ascii="Times New Roman" w:hAnsi="Times New Roman" w:cs="Times New Roman"/>
          <w:i/>
          <w:sz w:val="24"/>
          <w:szCs w:val="24"/>
        </w:rPr>
        <w:t>Int. J. Biol. Macromol.</w:t>
      </w:r>
      <w:r w:rsidR="00B277E7">
        <w:rPr>
          <w:rFonts w:ascii="Times New Roman" w:hAnsi="Times New Roman" w:cs="Times New Roman"/>
          <w:sz w:val="24"/>
          <w:szCs w:val="24"/>
        </w:rPr>
        <w:t xml:space="preserve">, </w:t>
      </w:r>
      <w:r w:rsidRPr="00B277E7">
        <w:rPr>
          <w:rFonts w:ascii="Times New Roman" w:hAnsi="Times New Roman" w:cs="Times New Roman"/>
          <w:b/>
          <w:sz w:val="24"/>
          <w:szCs w:val="24"/>
        </w:rPr>
        <w:t>105</w:t>
      </w:r>
      <w:r w:rsidR="00B277E7">
        <w:rPr>
          <w:rFonts w:ascii="Times New Roman" w:hAnsi="Times New Roman" w:cs="Times New Roman"/>
          <w:sz w:val="24"/>
          <w:szCs w:val="24"/>
        </w:rPr>
        <w:t>,</w:t>
      </w:r>
      <w:r w:rsidRPr="00B277E7">
        <w:rPr>
          <w:rFonts w:ascii="Times New Roman" w:hAnsi="Times New Roman" w:cs="Times New Roman"/>
          <w:sz w:val="24"/>
          <w:szCs w:val="24"/>
        </w:rPr>
        <w:t xml:space="preserve"> 499</w:t>
      </w:r>
      <w:r w:rsidR="00B277E7" w:rsidRPr="00B277E7">
        <w:rPr>
          <w:rFonts w:ascii="Times New Roman" w:hAnsi="Times New Roman" w:cs="Times New Roman"/>
          <w:sz w:val="24"/>
          <w:szCs w:val="24"/>
        </w:rPr>
        <w:t xml:space="preserve"> (2017)</w:t>
      </w:r>
      <w:r w:rsidRPr="00B277E7">
        <w:rPr>
          <w:rFonts w:ascii="Times New Roman" w:hAnsi="Times New Roman" w:cs="Times New Roman"/>
          <w:sz w:val="24"/>
          <w:szCs w:val="24"/>
        </w:rPr>
        <w:t>.</w:t>
      </w:r>
    </w:p>
    <w:p w:rsidR="000E571C" w:rsidRPr="00B277E7" w:rsidRDefault="005E6689" w:rsidP="00B277E7">
      <w:pPr>
        <w:autoSpaceDE w:val="0"/>
        <w:autoSpaceDN w:val="0"/>
        <w:adjustRightInd w:val="0"/>
        <w:spacing w:after="0" w:line="360" w:lineRule="auto"/>
        <w:ind w:left="720" w:hanging="720"/>
      </w:pPr>
      <w:r w:rsidRPr="00B277E7">
        <w:rPr>
          <w:rFonts w:ascii="Times New Roman" w:hAnsi="Times New Roman" w:cs="Times New Roman"/>
          <w:sz w:val="24"/>
          <w:szCs w:val="24"/>
        </w:rPr>
        <w:t>[</w:t>
      </w:r>
      <w:r w:rsidR="00B277E7" w:rsidRPr="00B277E7">
        <w:rPr>
          <w:rFonts w:ascii="Times New Roman" w:hAnsi="Times New Roman" w:cs="Times New Roman"/>
          <w:sz w:val="24"/>
          <w:szCs w:val="24"/>
        </w:rPr>
        <w:t>S</w:t>
      </w:r>
      <w:r w:rsidR="00E62719" w:rsidRPr="00B277E7">
        <w:rPr>
          <w:rFonts w:ascii="Times New Roman" w:hAnsi="Times New Roman" w:cs="Times New Roman"/>
          <w:sz w:val="24"/>
          <w:szCs w:val="24"/>
        </w:rPr>
        <w:t>5</w:t>
      </w:r>
      <w:r w:rsidRPr="00B277E7">
        <w:rPr>
          <w:rFonts w:ascii="Times New Roman" w:hAnsi="Times New Roman" w:cs="Times New Roman"/>
          <w:sz w:val="24"/>
          <w:szCs w:val="24"/>
        </w:rPr>
        <w:t>]</w:t>
      </w:r>
      <w:r w:rsidR="00B277E7">
        <w:rPr>
          <w:rFonts w:ascii="Times New Roman" w:hAnsi="Times New Roman" w:cs="Times New Roman"/>
          <w:sz w:val="24"/>
          <w:szCs w:val="24"/>
        </w:rPr>
        <w:tab/>
      </w:r>
      <w:r w:rsidRPr="00B277E7">
        <w:rPr>
          <w:rFonts w:ascii="Times New Roman" w:hAnsi="Times New Roman" w:cs="Times New Roman"/>
          <w:sz w:val="24"/>
          <w:szCs w:val="24"/>
        </w:rPr>
        <w:t xml:space="preserve">M.S. </w:t>
      </w:r>
      <w:r w:rsidR="00DA35E5" w:rsidRPr="00B277E7">
        <w:rPr>
          <w:rFonts w:ascii="Times New Roman" w:hAnsi="Times New Roman" w:cs="Times New Roman"/>
          <w:bCs/>
          <w:sz w:val="24"/>
        </w:rPr>
        <w:t>Blois</w:t>
      </w:r>
      <w:r w:rsidR="00B277E7">
        <w:rPr>
          <w:rFonts w:ascii="Times New Roman" w:hAnsi="Times New Roman" w:cs="Times New Roman"/>
          <w:bCs/>
          <w:sz w:val="24"/>
        </w:rPr>
        <w:t xml:space="preserve">. </w:t>
      </w:r>
      <w:r w:rsidRPr="00B277E7">
        <w:rPr>
          <w:rFonts w:ascii="Times New Roman" w:hAnsi="Times New Roman" w:cs="Times New Roman"/>
          <w:bCs/>
          <w:i/>
          <w:sz w:val="24"/>
        </w:rPr>
        <w:t>Nature</w:t>
      </w:r>
      <w:r w:rsidR="00B277E7">
        <w:rPr>
          <w:rFonts w:ascii="Times New Roman" w:hAnsi="Times New Roman" w:cs="Times New Roman"/>
          <w:bCs/>
          <w:sz w:val="24"/>
        </w:rPr>
        <w:t xml:space="preserve">, </w:t>
      </w:r>
      <w:r w:rsidRPr="00B277E7">
        <w:rPr>
          <w:rFonts w:ascii="Times New Roman" w:hAnsi="Times New Roman" w:cs="Times New Roman"/>
          <w:b/>
          <w:bCs/>
          <w:sz w:val="24"/>
        </w:rPr>
        <w:t>181</w:t>
      </w:r>
      <w:r w:rsidR="00B277E7">
        <w:rPr>
          <w:rFonts w:ascii="Times New Roman" w:hAnsi="Times New Roman" w:cs="Times New Roman"/>
          <w:bCs/>
          <w:sz w:val="24"/>
        </w:rPr>
        <w:t>,</w:t>
      </w:r>
      <w:r w:rsidRPr="00B277E7">
        <w:rPr>
          <w:rFonts w:ascii="Times New Roman" w:hAnsi="Times New Roman" w:cs="Times New Roman"/>
          <w:bCs/>
          <w:sz w:val="24"/>
        </w:rPr>
        <w:t xml:space="preserve"> 1199</w:t>
      </w:r>
      <w:r w:rsidR="00B277E7" w:rsidRPr="00B277E7">
        <w:rPr>
          <w:rFonts w:ascii="Times New Roman" w:hAnsi="Times New Roman" w:cs="Times New Roman"/>
          <w:bCs/>
          <w:sz w:val="24"/>
        </w:rPr>
        <w:t xml:space="preserve"> (1958)</w:t>
      </w:r>
      <w:r w:rsidRPr="00B277E7">
        <w:rPr>
          <w:rFonts w:ascii="Times New Roman" w:hAnsi="Times New Roman" w:cs="Times New Roman"/>
          <w:bCs/>
          <w:sz w:val="24"/>
        </w:rPr>
        <w:t>.</w:t>
      </w:r>
    </w:p>
    <w:sectPr w:rsidR="000E571C" w:rsidRPr="00B277E7" w:rsidSect="003A4508">
      <w:footerReference w:type="default" r:id="rId14"/>
      <w:pgSz w:w="12240" w:h="15840" w:code="1"/>
      <w:pgMar w:top="1440" w:right="1440" w:bottom="1296"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278" w:rsidRDefault="00BB1278">
      <w:pPr>
        <w:spacing w:after="0" w:line="240" w:lineRule="auto"/>
      </w:pPr>
      <w:r>
        <w:separator/>
      </w:r>
    </w:p>
  </w:endnote>
  <w:endnote w:type="continuationSeparator" w:id="0">
    <w:p w:rsidR="00BB1278" w:rsidRDefault="00BB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dvGulliv-R">
    <w:altName w:val="Arial Unicode MS"/>
    <w:panose1 w:val="00000000000000000000"/>
    <w:charset w:val="80"/>
    <w:family w:val="auto"/>
    <w:notTrueType/>
    <w:pitch w:val="default"/>
    <w:sig w:usb0="00000007" w:usb1="08070000" w:usb2="00000010" w:usb3="00000000" w:csb0="0002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AC" w:rsidRPr="005F7BEC" w:rsidRDefault="005E6689">
    <w:pPr>
      <w:pStyle w:val="Footer"/>
      <w:jc w:val="center"/>
      <w:rPr>
        <w:rFonts w:ascii="Times New Roman" w:hAnsi="Times New Roman"/>
        <w:sz w:val="24"/>
        <w:szCs w:val="24"/>
      </w:rPr>
    </w:pPr>
    <w:r w:rsidRPr="005F7BEC">
      <w:rPr>
        <w:rFonts w:ascii="Times New Roman" w:hAnsi="Times New Roman"/>
        <w:sz w:val="24"/>
        <w:szCs w:val="24"/>
      </w:rPr>
      <w:fldChar w:fldCharType="begin"/>
    </w:r>
    <w:r w:rsidRPr="005F7BEC">
      <w:rPr>
        <w:rFonts w:ascii="Times New Roman" w:hAnsi="Times New Roman"/>
        <w:sz w:val="24"/>
        <w:szCs w:val="24"/>
      </w:rPr>
      <w:instrText>PAGE   \* MERGEFORMAT</w:instrText>
    </w:r>
    <w:r w:rsidRPr="005F7BEC">
      <w:rPr>
        <w:rFonts w:ascii="Times New Roman" w:hAnsi="Times New Roman"/>
        <w:sz w:val="24"/>
        <w:szCs w:val="24"/>
      </w:rPr>
      <w:fldChar w:fldCharType="separate"/>
    </w:r>
    <w:r w:rsidR="00EE4877">
      <w:rPr>
        <w:rFonts w:ascii="Times New Roman" w:hAnsi="Times New Roman"/>
        <w:noProof/>
        <w:sz w:val="24"/>
        <w:szCs w:val="24"/>
      </w:rPr>
      <w:t>1</w:t>
    </w:r>
    <w:r w:rsidRPr="005F7BEC">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278" w:rsidRDefault="00BB1278">
      <w:pPr>
        <w:spacing w:after="0" w:line="240" w:lineRule="auto"/>
      </w:pPr>
      <w:r>
        <w:separator/>
      </w:r>
    </w:p>
  </w:footnote>
  <w:footnote w:type="continuationSeparator" w:id="0">
    <w:p w:rsidR="00BB1278" w:rsidRDefault="00BB12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48"/>
    <w:rsid w:val="00015963"/>
    <w:rsid w:val="000317A3"/>
    <w:rsid w:val="00070AAC"/>
    <w:rsid w:val="0009175B"/>
    <w:rsid w:val="000B7457"/>
    <w:rsid w:val="000E2948"/>
    <w:rsid w:val="000E571C"/>
    <w:rsid w:val="000F452A"/>
    <w:rsid w:val="00114FB6"/>
    <w:rsid w:val="001405B8"/>
    <w:rsid w:val="0018634A"/>
    <w:rsid w:val="001C1693"/>
    <w:rsid w:val="00211DF4"/>
    <w:rsid w:val="00282FDE"/>
    <w:rsid w:val="002968C5"/>
    <w:rsid w:val="002A3DDF"/>
    <w:rsid w:val="002C2D6E"/>
    <w:rsid w:val="002D08F6"/>
    <w:rsid w:val="002F0351"/>
    <w:rsid w:val="002F577A"/>
    <w:rsid w:val="00303609"/>
    <w:rsid w:val="0033047C"/>
    <w:rsid w:val="003325E3"/>
    <w:rsid w:val="00374B3D"/>
    <w:rsid w:val="003A4508"/>
    <w:rsid w:val="003B0A2F"/>
    <w:rsid w:val="003C6347"/>
    <w:rsid w:val="00400140"/>
    <w:rsid w:val="004616FB"/>
    <w:rsid w:val="0046278C"/>
    <w:rsid w:val="004845E4"/>
    <w:rsid w:val="00492044"/>
    <w:rsid w:val="00560382"/>
    <w:rsid w:val="00563B98"/>
    <w:rsid w:val="005D69A2"/>
    <w:rsid w:val="005E6689"/>
    <w:rsid w:val="005F7BEC"/>
    <w:rsid w:val="00666A58"/>
    <w:rsid w:val="00671E88"/>
    <w:rsid w:val="006D7A75"/>
    <w:rsid w:val="00702710"/>
    <w:rsid w:val="00751A69"/>
    <w:rsid w:val="007A2B6C"/>
    <w:rsid w:val="007D39DD"/>
    <w:rsid w:val="007F0537"/>
    <w:rsid w:val="007F5924"/>
    <w:rsid w:val="0082249C"/>
    <w:rsid w:val="0089540E"/>
    <w:rsid w:val="009773CD"/>
    <w:rsid w:val="009D3C36"/>
    <w:rsid w:val="009E0D3D"/>
    <w:rsid w:val="009E6D50"/>
    <w:rsid w:val="00A00EF2"/>
    <w:rsid w:val="00A22DC5"/>
    <w:rsid w:val="00A30417"/>
    <w:rsid w:val="00A91E79"/>
    <w:rsid w:val="00AA2C24"/>
    <w:rsid w:val="00AA572F"/>
    <w:rsid w:val="00AD63DC"/>
    <w:rsid w:val="00AF17AA"/>
    <w:rsid w:val="00AF3958"/>
    <w:rsid w:val="00B05C76"/>
    <w:rsid w:val="00B277E7"/>
    <w:rsid w:val="00B5755F"/>
    <w:rsid w:val="00BB1278"/>
    <w:rsid w:val="00C019B6"/>
    <w:rsid w:val="00C21BF4"/>
    <w:rsid w:val="00C30D5C"/>
    <w:rsid w:val="00C31C9E"/>
    <w:rsid w:val="00C7014B"/>
    <w:rsid w:val="00C710BF"/>
    <w:rsid w:val="00CD22D6"/>
    <w:rsid w:val="00D2321E"/>
    <w:rsid w:val="00D257D3"/>
    <w:rsid w:val="00D31E28"/>
    <w:rsid w:val="00D52AF4"/>
    <w:rsid w:val="00DA35E5"/>
    <w:rsid w:val="00DB3384"/>
    <w:rsid w:val="00DB57F6"/>
    <w:rsid w:val="00DC2C98"/>
    <w:rsid w:val="00DC33AC"/>
    <w:rsid w:val="00DF731E"/>
    <w:rsid w:val="00E62719"/>
    <w:rsid w:val="00EE4877"/>
    <w:rsid w:val="00EF5AB1"/>
    <w:rsid w:val="00F03CEF"/>
    <w:rsid w:val="00F161C2"/>
    <w:rsid w:val="00F37E95"/>
    <w:rsid w:val="00FC309F"/>
    <w:rsid w:val="00FE5083"/>
    <w:rsid w:val="00FF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137F6-5B80-4FF8-BC50-E213E11A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3B98"/>
    <w:pPr>
      <w:tabs>
        <w:tab w:val="center" w:pos="4703"/>
        <w:tab w:val="right" w:pos="9406"/>
      </w:tabs>
      <w:spacing w:after="0" w:line="240" w:lineRule="auto"/>
    </w:pPr>
  </w:style>
  <w:style w:type="character" w:customStyle="1" w:styleId="FooterChar">
    <w:name w:val="Footer Char"/>
    <w:basedOn w:val="DefaultParagraphFont"/>
    <w:link w:val="Footer"/>
    <w:uiPriority w:val="99"/>
    <w:rsid w:val="00563B98"/>
  </w:style>
  <w:style w:type="paragraph" w:styleId="NoSpacing">
    <w:name w:val="No Spacing"/>
    <w:uiPriority w:val="1"/>
    <w:qFormat/>
    <w:rsid w:val="0033047C"/>
    <w:pPr>
      <w:spacing w:after="0" w:line="240" w:lineRule="auto"/>
    </w:pPr>
  </w:style>
  <w:style w:type="paragraph" w:styleId="ListParagraph">
    <w:name w:val="List Paragraph"/>
    <w:basedOn w:val="Normal"/>
    <w:uiPriority w:val="34"/>
    <w:qFormat/>
    <w:rsid w:val="00AA572F"/>
    <w:pPr>
      <w:widowControl w:val="0"/>
      <w:suppressAutoHyphens/>
      <w:spacing w:after="0" w:line="240" w:lineRule="auto"/>
      <w:ind w:left="720"/>
      <w:contextualSpacing/>
    </w:pPr>
    <w:rPr>
      <w:rFonts w:ascii="Times New Roman" w:eastAsia="Times New Roman" w:hAnsi="Times New Roman" w:cs="Times New Roman"/>
      <w:sz w:val="24"/>
      <w:szCs w:val="20"/>
      <w:lang w:eastAsia="ar-SA"/>
    </w:rPr>
  </w:style>
  <w:style w:type="paragraph" w:styleId="BalloonText">
    <w:name w:val="Balloon Text"/>
    <w:basedOn w:val="Normal"/>
    <w:link w:val="BalloonTextChar"/>
    <w:uiPriority w:val="99"/>
    <w:semiHidden/>
    <w:unhideWhenUsed/>
    <w:rsid w:val="009D3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C36"/>
    <w:rPr>
      <w:rFonts w:ascii="Tahoma" w:hAnsi="Tahoma" w:cs="Tahoma"/>
      <w:sz w:val="16"/>
      <w:szCs w:val="16"/>
    </w:rPr>
  </w:style>
  <w:style w:type="paragraph" w:styleId="Header">
    <w:name w:val="header"/>
    <w:basedOn w:val="Normal"/>
    <w:link w:val="HeaderChar"/>
    <w:uiPriority w:val="99"/>
    <w:unhideWhenUsed/>
    <w:rsid w:val="002A3D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3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4533</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Progressive</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I, Yuvaraj</cp:lastModifiedBy>
  <cp:revision>3</cp:revision>
  <dcterms:created xsi:type="dcterms:W3CDTF">2019-07-25T08:17:00Z</dcterms:created>
  <dcterms:modified xsi:type="dcterms:W3CDTF">2019-07-25T08:17:00Z</dcterms:modified>
</cp:coreProperties>
</file>