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3A" w:rsidRDefault="002C473A" w:rsidP="002C4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Supplement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ary material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. </w:t>
      </w:r>
    </w:p>
    <w:p w:rsidR="002C473A" w:rsidRDefault="002C473A" w:rsidP="002C4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C473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610100" cy="3333750"/>
            <wp:effectExtent l="0" t="0" r="0" b="0"/>
            <wp:docPr id="1" name="Picture 1" descr="C:\Users\MADHUM~1.NM\AppData\Local\Temp\Rar$DI49.064\supp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UM~1.NM\AppData\Local\Temp\Rar$DI49.064\suppl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73A" w:rsidRDefault="002C473A" w:rsidP="002C4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2C473A" w:rsidRDefault="002C473A" w:rsidP="002C47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C473A">
        <w:rPr>
          <w:rFonts w:ascii="Times New Roman" w:hAnsi="Times New Roman" w:cs="Times New Roman"/>
          <w:b/>
          <w:sz w:val="24"/>
          <w:szCs w:val="24"/>
          <w:lang w:val="en"/>
        </w:rPr>
        <w:t>Supplementary Figure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expression levels of five miRNAs down-regulated in glioma were measured in U251 cells after treated with 5.1% sevoflurane by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qRT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-PCR. *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lang w:val="en"/>
        </w:rPr>
        <w:t>&lt;0.05, compared with Control group.</w:t>
      </w:r>
    </w:p>
    <w:p w:rsidR="00C32C75" w:rsidRDefault="00C32C75"/>
    <w:sectPr w:rsidR="00C32C75" w:rsidSect="000716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A"/>
    <w:rsid w:val="002C473A"/>
    <w:rsid w:val="00C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04E7-74D2-4007-BCDB-15034E74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Madhumala NM</dc:creator>
  <cp:keywords/>
  <dc:description/>
  <cp:lastModifiedBy>Madhumala NM</cp:lastModifiedBy>
  <cp:revision>1</cp:revision>
  <dcterms:created xsi:type="dcterms:W3CDTF">2019-08-02T09:15:00Z</dcterms:created>
  <dcterms:modified xsi:type="dcterms:W3CDTF">2019-08-02T09:18:00Z</dcterms:modified>
</cp:coreProperties>
</file>