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3B5" w:rsidRPr="005B7CAB"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b/>
          <w:sz w:val="24"/>
          <w:szCs w:val="24"/>
        </w:rPr>
        <w:t>Supplementary Information</w:t>
      </w:r>
    </w:p>
    <w:p w:rsidR="000253B5" w:rsidRPr="005B7CAB" w:rsidRDefault="000253B5" w:rsidP="000253B5">
      <w:pPr>
        <w:spacing w:after="0" w:line="480" w:lineRule="auto"/>
        <w:rPr>
          <w:rFonts w:ascii="Times New Roman" w:hAnsi="Times New Roman" w:cs="Times New Roman"/>
          <w:sz w:val="24"/>
          <w:szCs w:val="24"/>
        </w:rPr>
      </w:pPr>
    </w:p>
    <w:p w:rsidR="000253B5" w:rsidRPr="005B7CAB"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b/>
          <w:sz w:val="24"/>
          <w:szCs w:val="24"/>
        </w:rPr>
        <w:t>Exclusion criteria</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Patients were to be excluded if they met any of the following criteria:</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1. Patients who experienced Investigator-reported drug-related SAEs in the VOLTAIRE-RA study.</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2. American College of Rheumatology functional Class IV or wheelchair/bed bound.</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3. Primary or secondary immunodeficiency (history of, or currently active).</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4. Positive QuantiFERON</w:t>
      </w:r>
      <w:r w:rsidRPr="005B7CAB">
        <w:rPr>
          <w:rFonts w:ascii="Times New Roman" w:hAnsi="Times New Roman" w:cs="Times New Roman"/>
          <w:sz w:val="24"/>
          <w:szCs w:val="24"/>
          <w:vertAlign w:val="superscript"/>
        </w:rPr>
        <w:t>®</w:t>
      </w:r>
      <w:r w:rsidRPr="005B7CAB">
        <w:rPr>
          <w:rFonts w:ascii="Times New Roman" w:hAnsi="Times New Roman" w:cs="Times New Roman"/>
          <w:sz w:val="24"/>
          <w:szCs w:val="24"/>
        </w:rPr>
        <w:t xml:space="preserve"> test.</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5. Known clinically significant coronary artery disease or significant cardiac arrhythmias or severe congestive heart failure (New York Heart Association Classes III or IV), or interstitial lung disease observed on chest X-ray.</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6. Anaphylactic reaction or hypersensitivity to adalimumab received in the VOLTAIRE-RA study.</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 xml:space="preserve">7. History or recent evidence of cancer including solid tumors, hematologic malignancies, and carcinoma </w:t>
      </w:r>
      <w:r w:rsidRPr="005B7CAB">
        <w:rPr>
          <w:rFonts w:ascii="Times New Roman" w:hAnsi="Times New Roman" w:cs="Times New Roman"/>
          <w:i/>
          <w:sz w:val="24"/>
          <w:szCs w:val="24"/>
        </w:rPr>
        <w:t>in situ</w:t>
      </w:r>
      <w:r w:rsidRPr="005B7CAB">
        <w:rPr>
          <w:rFonts w:ascii="Times New Roman" w:hAnsi="Times New Roman" w:cs="Times New Roman"/>
          <w:sz w:val="24"/>
          <w:szCs w:val="24"/>
        </w:rPr>
        <w:t xml:space="preserve"> (except participants with previously resected and cured basal or squamous cell carcinoma, treated cervical dysplasia, or treated </w:t>
      </w:r>
      <w:r w:rsidRPr="005B7CAB">
        <w:rPr>
          <w:rFonts w:ascii="Times New Roman" w:hAnsi="Times New Roman" w:cs="Times New Roman"/>
          <w:i/>
          <w:sz w:val="24"/>
          <w:szCs w:val="24"/>
        </w:rPr>
        <w:t>in situ</w:t>
      </w:r>
      <w:r w:rsidRPr="005B7CAB">
        <w:rPr>
          <w:rFonts w:ascii="Times New Roman" w:hAnsi="Times New Roman" w:cs="Times New Roman"/>
          <w:sz w:val="24"/>
          <w:szCs w:val="24"/>
        </w:rPr>
        <w:t xml:space="preserve"> Grade 1 cervical cancer within 5 years prior to the Screening visit).</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 xml:space="preserve">8. Positive serology for HBV or HCV. </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9. Patients who were expecting to receive any live virus or bacterial vaccinations during the trial, or up to 3 months after the last dose of trial drug.</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10. Any treatment (including biologic therapies) that, in the opinion of the Investigator, may have placed the patient at unacceptable risk during the trial.</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 xml:space="preserve">11. Patients with a significant disease other than RA and/or a significant uncontrolled disease (such as, but not limited to, nervous system, renal, hepatic, endocrine, or gastrointestinal </w:t>
      </w:r>
      <w:r w:rsidRPr="005B7CAB">
        <w:rPr>
          <w:rFonts w:ascii="Times New Roman" w:hAnsi="Times New Roman" w:cs="Times New Roman"/>
          <w:sz w:val="24"/>
          <w:szCs w:val="24"/>
        </w:rPr>
        <w:lastRenderedPageBreak/>
        <w:t>disorders). A significant disease was defined as a disease which, in the opinion of the</w:t>
      </w:r>
      <w:r>
        <w:rPr>
          <w:rFonts w:ascii="Times New Roman" w:hAnsi="Times New Roman" w:cs="Times New Roman"/>
          <w:sz w:val="24"/>
          <w:szCs w:val="24"/>
        </w:rPr>
        <w:t xml:space="preserve"> </w:t>
      </w:r>
      <w:r w:rsidRPr="005B7CAB">
        <w:rPr>
          <w:rFonts w:ascii="Times New Roman" w:hAnsi="Times New Roman" w:cs="Times New Roman"/>
          <w:sz w:val="24"/>
          <w:szCs w:val="24"/>
        </w:rPr>
        <w:t>Investigator, might have (i) put the patient at risk because of participation in the trial, or (ii) influenced the results of the trial, or (iii) caused concern regarding the patient's ability to participate in the trial.</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12. Premenopausal (last menstruation 1 year prior to Screening), sexually active women who were pregnant or nursing, or were of childbearing potential and not practicing an acceptable method of birth control, or did not plan to continue practicing an acceptable method of birth control throughout the trial (acceptable methods of birth control were intrauterine devices, surgical sterilization, double barrier, or vasectomized partner).</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13. Current inflammatory joint disease other than RA (e.g. gout, reactive arthritis, psoriatic arthritis, seronegative spondyloarthropathy, Lyme disease) or other systemic autoimmune disorder (e.g. systemic lupus erythematosus, inflammatory bowel disease, pulmonary fibrosis, or Felty syndrome, scleroderma, inflammatory myopathy, mixed connective tissue disease, or any overlap syndrome). Secondary Sjögren syndrome or secondary limited cutaneous vasculitis with RA was permitted.</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14. Any planned surgical procedure, including bone/joint surgery/synovectomy (including joint fusion or replacement)</w:t>
      </w:r>
      <w:r>
        <w:rPr>
          <w:rFonts w:ascii="Times New Roman" w:hAnsi="Times New Roman" w:cs="Times New Roman"/>
          <w:sz w:val="24"/>
          <w:szCs w:val="24"/>
        </w:rPr>
        <w:t>,</w:t>
      </w:r>
      <w:r w:rsidRPr="005B7CAB">
        <w:rPr>
          <w:rFonts w:ascii="Times New Roman" w:hAnsi="Times New Roman" w:cs="Times New Roman"/>
          <w:sz w:val="24"/>
          <w:szCs w:val="24"/>
        </w:rPr>
        <w:t xml:space="preserve"> for the duration of the trial.</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 xml:space="preserve">15. Known active infection of any kind (excluding fungal infections of nail beds), or any major episode of infection requiring hospitalization or treatment with </w:t>
      </w:r>
      <w:r>
        <w:rPr>
          <w:rFonts w:ascii="Times New Roman" w:hAnsi="Times New Roman" w:cs="Times New Roman"/>
          <w:sz w:val="24"/>
          <w:szCs w:val="24"/>
        </w:rPr>
        <w:t>IV</w:t>
      </w:r>
      <w:r w:rsidRPr="005B7CAB">
        <w:rPr>
          <w:rFonts w:ascii="Times New Roman" w:hAnsi="Times New Roman" w:cs="Times New Roman"/>
          <w:sz w:val="24"/>
          <w:szCs w:val="24"/>
        </w:rPr>
        <w:t xml:space="preserve"> anti-infectives within 4 weeks of the Screening visit or completion of oral anti-infectives within 2 weeks of the Screening visit.</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16. Serious infection or opportunistic infection during the VOLTAIRE-RA study.</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17. Any acquired neurological, vascular, systemic</w:t>
      </w:r>
      <w:r>
        <w:rPr>
          <w:rFonts w:ascii="Times New Roman" w:hAnsi="Times New Roman" w:cs="Times New Roman"/>
          <w:sz w:val="24"/>
          <w:szCs w:val="24"/>
        </w:rPr>
        <w:t>,</w:t>
      </w:r>
      <w:r w:rsidRPr="005B7CAB">
        <w:rPr>
          <w:rFonts w:ascii="Times New Roman" w:hAnsi="Times New Roman" w:cs="Times New Roman"/>
          <w:sz w:val="24"/>
          <w:szCs w:val="24"/>
        </w:rPr>
        <w:t xml:space="preserve"> or demyelinating disorder that might have affected any of the efficacy assessments, in particular, joint pain and swelling (e.g. </w:t>
      </w:r>
      <w:r w:rsidRPr="005B7CAB">
        <w:rPr>
          <w:rFonts w:ascii="Times New Roman" w:hAnsi="Times New Roman" w:cs="Times New Roman"/>
          <w:sz w:val="24"/>
          <w:szCs w:val="24"/>
        </w:rPr>
        <w:lastRenderedPageBreak/>
        <w:t>Parkinson’s disease, cerebral palsy, diabetic neuropathy) that occurred during the VOLTAIRE-RA study.</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18. Currently active alcohol or drug abuse.</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 xml:space="preserve">19. Treatment with </w:t>
      </w:r>
      <w:r>
        <w:rPr>
          <w:rFonts w:ascii="Times New Roman" w:hAnsi="Times New Roman" w:cs="Times New Roman"/>
          <w:sz w:val="24"/>
          <w:szCs w:val="24"/>
        </w:rPr>
        <w:t>IV</w:t>
      </w:r>
      <w:r w:rsidRPr="005B7CAB">
        <w:rPr>
          <w:rFonts w:ascii="Times New Roman" w:hAnsi="Times New Roman" w:cs="Times New Roman"/>
          <w:sz w:val="24"/>
          <w:szCs w:val="24"/>
        </w:rPr>
        <w:t xml:space="preserve"> Gamma Globulin or the Prosorba</w:t>
      </w:r>
      <w:r w:rsidRPr="005B7CAB">
        <w:rPr>
          <w:rFonts w:ascii="Times New Roman" w:hAnsi="Times New Roman" w:cs="Times New Roman"/>
          <w:sz w:val="24"/>
          <w:szCs w:val="24"/>
          <w:vertAlign w:val="superscript"/>
        </w:rPr>
        <w:t>®</w:t>
      </w:r>
      <w:r w:rsidRPr="005B7CAB">
        <w:rPr>
          <w:rFonts w:ascii="Times New Roman" w:hAnsi="Times New Roman" w:cs="Times New Roman"/>
          <w:sz w:val="24"/>
          <w:szCs w:val="24"/>
        </w:rPr>
        <w:t xml:space="preserve"> Column during Trial 1297.2.</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 xml:space="preserve">20. Planned treatment with </w:t>
      </w:r>
      <w:r>
        <w:rPr>
          <w:rFonts w:ascii="Times New Roman" w:hAnsi="Times New Roman" w:cs="Times New Roman"/>
          <w:sz w:val="24"/>
          <w:szCs w:val="24"/>
        </w:rPr>
        <w:t>IV</w:t>
      </w:r>
      <w:r w:rsidRPr="005B7CAB">
        <w:rPr>
          <w:rFonts w:ascii="Times New Roman" w:hAnsi="Times New Roman" w:cs="Times New Roman"/>
          <w:sz w:val="24"/>
          <w:szCs w:val="24"/>
        </w:rPr>
        <w:t>, intramuscular, intra-articular</w:t>
      </w:r>
      <w:r>
        <w:rPr>
          <w:rFonts w:ascii="Times New Roman" w:hAnsi="Times New Roman" w:cs="Times New Roman"/>
          <w:sz w:val="24"/>
          <w:szCs w:val="24"/>
        </w:rPr>
        <w:t>,</w:t>
      </w:r>
      <w:r w:rsidRPr="005B7CAB">
        <w:rPr>
          <w:rFonts w:ascii="Times New Roman" w:hAnsi="Times New Roman" w:cs="Times New Roman"/>
          <w:sz w:val="24"/>
          <w:szCs w:val="24"/>
        </w:rPr>
        <w:t xml:space="preserve"> and parenteral corticosteroids.</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21. Aspartate aminotransferase (AST) or alanine aminotransferase (ALT) &gt;1.5</w:t>
      </w:r>
      <w:r>
        <w:rPr>
          <w:rFonts w:ascii="Times New Roman" w:hAnsi="Times New Roman" w:cs="Times New Roman"/>
          <w:sz w:val="24"/>
          <w:szCs w:val="24"/>
        </w:rPr>
        <w:t>×</w:t>
      </w:r>
      <w:r w:rsidRPr="005B7CAB">
        <w:rPr>
          <w:rFonts w:ascii="Times New Roman" w:hAnsi="Times New Roman" w:cs="Times New Roman"/>
          <w:sz w:val="24"/>
          <w:szCs w:val="24"/>
        </w:rPr>
        <w:t xml:space="preserve"> upper limit of normal (ULN).</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22. Hemoglobin &lt;8.0</w:t>
      </w:r>
      <w:r>
        <w:rPr>
          <w:rFonts w:ascii="Times New Roman" w:hAnsi="Times New Roman" w:cs="Times New Roman"/>
          <w:sz w:val="24"/>
          <w:szCs w:val="24"/>
        </w:rPr>
        <w:t> </w:t>
      </w:r>
      <w:r w:rsidRPr="005B7CAB">
        <w:rPr>
          <w:rFonts w:ascii="Times New Roman" w:hAnsi="Times New Roman" w:cs="Times New Roman"/>
          <w:sz w:val="24"/>
          <w:szCs w:val="24"/>
        </w:rPr>
        <w:t>g/dL.</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 xml:space="preserve">23. Platelets &lt;100,000/μL. </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24. Leukocyte count &lt;4000/μL.</w:t>
      </w:r>
    </w:p>
    <w:p w:rsidR="000253B5" w:rsidRPr="005B7CAB" w:rsidRDefault="000253B5" w:rsidP="000253B5">
      <w:pPr>
        <w:autoSpaceDE w:val="0"/>
        <w:autoSpaceDN w:val="0"/>
        <w:adjustRightInd w:val="0"/>
        <w:spacing w:after="0" w:line="480" w:lineRule="auto"/>
        <w:rPr>
          <w:rFonts w:ascii="Times New Roman" w:hAnsi="Times New Roman" w:cs="Times New Roman"/>
          <w:sz w:val="24"/>
          <w:szCs w:val="24"/>
        </w:rPr>
      </w:pPr>
      <w:r w:rsidRPr="005B7CAB">
        <w:rPr>
          <w:rFonts w:ascii="Times New Roman" w:hAnsi="Times New Roman" w:cs="Times New Roman"/>
          <w:sz w:val="24"/>
          <w:szCs w:val="24"/>
        </w:rPr>
        <w:t>25. Creatinine clearance &lt;60</w:t>
      </w:r>
      <w:r>
        <w:rPr>
          <w:rFonts w:ascii="Times New Roman" w:hAnsi="Times New Roman" w:cs="Times New Roman"/>
          <w:sz w:val="24"/>
          <w:szCs w:val="24"/>
        </w:rPr>
        <w:t> </w:t>
      </w:r>
      <w:r w:rsidRPr="005B7CAB">
        <w:rPr>
          <w:rFonts w:ascii="Times New Roman" w:hAnsi="Times New Roman" w:cs="Times New Roman"/>
          <w:sz w:val="24"/>
          <w:szCs w:val="24"/>
        </w:rPr>
        <w:t>mL/min.</w:t>
      </w:r>
    </w:p>
    <w:p w:rsidR="000253B5" w:rsidRPr="005B7CAB"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sz w:val="24"/>
          <w:szCs w:val="24"/>
        </w:rPr>
        <w:t>26. Patients who were participating in another clinical trial other than VOLTAIRE-RA.</w:t>
      </w:r>
    </w:p>
    <w:p w:rsidR="000253B5" w:rsidRPr="005B7CAB" w:rsidRDefault="000253B5" w:rsidP="000253B5">
      <w:pPr>
        <w:rPr>
          <w:rFonts w:ascii="Times New Roman" w:hAnsi="Times New Roman" w:cs="Times New Roman"/>
          <w:sz w:val="24"/>
          <w:szCs w:val="24"/>
        </w:rPr>
      </w:pPr>
      <w:r w:rsidRPr="005B7CAB">
        <w:rPr>
          <w:rFonts w:ascii="Times New Roman" w:hAnsi="Times New Roman" w:cs="Times New Roman"/>
          <w:sz w:val="24"/>
          <w:szCs w:val="24"/>
        </w:rPr>
        <w:br w:type="page"/>
      </w:r>
    </w:p>
    <w:p w:rsidR="000253B5" w:rsidRPr="005B7CAB" w:rsidRDefault="000253B5" w:rsidP="000253B5">
      <w:pPr>
        <w:spacing w:after="0" w:line="480" w:lineRule="auto"/>
        <w:rPr>
          <w:rFonts w:ascii="Times New Roman" w:hAnsi="Times New Roman" w:cs="Times New Roman"/>
          <w:sz w:val="24"/>
          <w:szCs w:val="24"/>
        </w:rPr>
      </w:pPr>
      <w:r w:rsidRPr="00C62277">
        <w:rPr>
          <w:rFonts w:ascii="Times New Roman" w:hAnsi="Times New Roman" w:cs="Times New Roman"/>
          <w:b/>
          <w:sz w:val="24"/>
          <w:szCs w:val="24"/>
        </w:rPr>
        <w:lastRenderedPageBreak/>
        <w:t>Table S1.</w:t>
      </w:r>
      <w:r w:rsidRPr="005B7CAB">
        <w:rPr>
          <w:rFonts w:ascii="Times New Roman" w:hAnsi="Times New Roman" w:cs="Times New Roman"/>
          <w:sz w:val="24"/>
          <w:szCs w:val="24"/>
        </w:rPr>
        <w:t xml:space="preserve"> Frequency of overall TEAEs by system organ class and preferred term with an incidence ≥5% (SAF)</w:t>
      </w: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688"/>
        <w:gridCol w:w="1776"/>
        <w:gridCol w:w="1776"/>
        <w:gridCol w:w="1776"/>
      </w:tblGrid>
      <w:tr w:rsidR="000253B5" w:rsidRPr="005B7CAB" w:rsidTr="00F62174">
        <w:trPr>
          <w:trHeight w:val="816"/>
        </w:trPr>
        <w:tc>
          <w:tcPr>
            <w:tcW w:w="2045" w:type="pct"/>
            <w:vAlign w:val="bottom"/>
          </w:tcPr>
          <w:p w:rsidR="000253B5" w:rsidRPr="00C62277" w:rsidRDefault="000253B5" w:rsidP="00F62174">
            <w:pPr>
              <w:pStyle w:val="ListParagraph"/>
              <w:spacing w:line="480" w:lineRule="auto"/>
              <w:ind w:left="0"/>
              <w:rPr>
                <w:rFonts w:ascii="Times New Roman" w:hAnsi="Times New Roman" w:cs="Times New Roman"/>
                <w:sz w:val="24"/>
                <w:szCs w:val="24"/>
              </w:rPr>
            </w:pPr>
            <w:r w:rsidRPr="00C62277">
              <w:rPr>
                <w:rFonts w:ascii="Times New Roman" w:hAnsi="Times New Roman" w:cs="Times New Roman"/>
                <w:i/>
                <w:sz w:val="24"/>
                <w:szCs w:val="24"/>
              </w:rPr>
              <w:t>n</w:t>
            </w:r>
            <w:r w:rsidRPr="00C62277">
              <w:rPr>
                <w:rFonts w:ascii="Times New Roman" w:hAnsi="Times New Roman" w:cs="Times New Roman"/>
                <w:sz w:val="24"/>
                <w:szCs w:val="24"/>
              </w:rPr>
              <w:t xml:space="preserve"> (%)</w:t>
            </w:r>
          </w:p>
        </w:tc>
        <w:tc>
          <w:tcPr>
            <w:tcW w:w="985" w:type="pct"/>
          </w:tcPr>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Group A</w:t>
            </w:r>
          </w:p>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w:t>
            </w:r>
            <w:r w:rsidRPr="00C62277">
              <w:rPr>
                <w:rFonts w:ascii="Times New Roman" w:hAnsi="Times New Roman" w:cs="Times New Roman"/>
                <w:i/>
                <w:sz w:val="24"/>
                <w:szCs w:val="24"/>
              </w:rPr>
              <w:t xml:space="preserve">N </w:t>
            </w:r>
            <w:r w:rsidRPr="00C62277">
              <w:rPr>
                <w:rFonts w:ascii="Times New Roman" w:hAnsi="Times New Roman" w:cs="Times New Roman"/>
                <w:sz w:val="24"/>
                <w:szCs w:val="24"/>
              </w:rPr>
              <w:t>= 225)</w:t>
            </w:r>
          </w:p>
        </w:tc>
        <w:tc>
          <w:tcPr>
            <w:tcW w:w="985" w:type="pct"/>
          </w:tcPr>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Group B</w:t>
            </w:r>
          </w:p>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w:t>
            </w:r>
            <w:r w:rsidRPr="00C62277">
              <w:rPr>
                <w:rFonts w:ascii="Times New Roman" w:hAnsi="Times New Roman" w:cs="Times New Roman"/>
                <w:i/>
                <w:sz w:val="24"/>
                <w:szCs w:val="24"/>
              </w:rPr>
              <w:t xml:space="preserve">N </w:t>
            </w:r>
            <w:r w:rsidRPr="00C62277">
              <w:rPr>
                <w:rFonts w:ascii="Times New Roman" w:hAnsi="Times New Roman" w:cs="Times New Roman"/>
                <w:sz w:val="24"/>
                <w:szCs w:val="24"/>
              </w:rPr>
              <w:t>= 102)</w:t>
            </w:r>
          </w:p>
        </w:tc>
        <w:tc>
          <w:tcPr>
            <w:tcW w:w="985" w:type="pct"/>
          </w:tcPr>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Group C</w:t>
            </w:r>
          </w:p>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w:t>
            </w:r>
            <w:r w:rsidRPr="00C62277">
              <w:rPr>
                <w:rFonts w:ascii="Times New Roman" w:hAnsi="Times New Roman" w:cs="Times New Roman"/>
                <w:i/>
                <w:sz w:val="24"/>
                <w:szCs w:val="24"/>
              </w:rPr>
              <w:t xml:space="preserve">N </w:t>
            </w:r>
            <w:r w:rsidRPr="00C62277">
              <w:rPr>
                <w:rFonts w:ascii="Times New Roman" w:hAnsi="Times New Roman" w:cs="Times New Roman"/>
                <w:sz w:val="24"/>
                <w:szCs w:val="24"/>
              </w:rPr>
              <w:t>= 103)</w:t>
            </w:r>
          </w:p>
        </w:tc>
      </w:tr>
      <w:tr w:rsidR="000253B5" w:rsidRPr="005B7CAB" w:rsidTr="00F62174">
        <w:tc>
          <w:tcPr>
            <w:tcW w:w="2045" w:type="pct"/>
          </w:tcPr>
          <w:p w:rsidR="000253B5" w:rsidRPr="00606A1B" w:rsidRDefault="000253B5" w:rsidP="00F62174">
            <w:pPr>
              <w:pStyle w:val="ListParagraph"/>
              <w:spacing w:line="480" w:lineRule="auto"/>
              <w:ind w:left="0"/>
              <w:rPr>
                <w:rFonts w:ascii="Times New Roman" w:hAnsi="Times New Roman" w:cs="Times New Roman"/>
                <w:sz w:val="24"/>
                <w:szCs w:val="24"/>
              </w:rPr>
            </w:pPr>
            <w:r w:rsidRPr="00606A1B">
              <w:rPr>
                <w:rFonts w:ascii="Times New Roman" w:hAnsi="Times New Roman" w:cs="Times New Roman"/>
                <w:sz w:val="24"/>
                <w:szCs w:val="24"/>
              </w:rPr>
              <w:t>≥ 1 TEAE</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116 (51.6)</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34 (33.3)</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43 (41.7)</w:t>
            </w:r>
          </w:p>
        </w:tc>
      </w:tr>
      <w:tr w:rsidR="000253B5" w:rsidRPr="005B7CAB" w:rsidTr="00F62174">
        <w:tc>
          <w:tcPr>
            <w:tcW w:w="2045" w:type="pct"/>
          </w:tcPr>
          <w:p w:rsidR="000253B5" w:rsidRPr="00C62277" w:rsidRDefault="000253B5" w:rsidP="00F62174">
            <w:pPr>
              <w:pStyle w:val="ListParagraph"/>
              <w:spacing w:line="480" w:lineRule="auto"/>
              <w:ind w:left="0"/>
              <w:rPr>
                <w:rFonts w:ascii="Times New Roman" w:hAnsi="Times New Roman" w:cs="Times New Roman"/>
                <w:sz w:val="24"/>
                <w:szCs w:val="24"/>
              </w:rPr>
            </w:pPr>
            <w:r w:rsidRPr="00C62277">
              <w:rPr>
                <w:rFonts w:ascii="Times New Roman" w:hAnsi="Times New Roman" w:cs="Times New Roman"/>
                <w:sz w:val="24"/>
                <w:szCs w:val="24"/>
              </w:rPr>
              <w:t>Infections and infestations</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63 (28.0)</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20 (19.6)</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22 (21.4)</w:t>
            </w:r>
          </w:p>
        </w:tc>
      </w:tr>
      <w:tr w:rsidR="000253B5" w:rsidRPr="005B7CAB" w:rsidTr="00F62174">
        <w:tc>
          <w:tcPr>
            <w:tcW w:w="2045" w:type="pct"/>
          </w:tcPr>
          <w:p w:rsidR="000253B5" w:rsidRPr="008D0FAB" w:rsidRDefault="000253B5" w:rsidP="00F62174">
            <w:pPr>
              <w:pStyle w:val="ListParagraph"/>
              <w:spacing w:line="480" w:lineRule="auto"/>
              <w:ind w:left="311"/>
              <w:rPr>
                <w:rFonts w:ascii="Times New Roman" w:hAnsi="Times New Roman" w:cs="Times New Roman"/>
                <w:sz w:val="24"/>
                <w:szCs w:val="24"/>
              </w:rPr>
            </w:pPr>
            <w:r w:rsidRPr="008D0FAB">
              <w:rPr>
                <w:rFonts w:ascii="Times New Roman" w:hAnsi="Times New Roman" w:cs="Times New Roman"/>
                <w:sz w:val="24"/>
                <w:szCs w:val="24"/>
              </w:rPr>
              <w:t>Upper respiratory tract infection</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9 (4.0)</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2 (2.0)</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6 (5.8)</w:t>
            </w:r>
          </w:p>
        </w:tc>
      </w:tr>
      <w:tr w:rsidR="000253B5" w:rsidRPr="005B7CAB" w:rsidTr="00F62174">
        <w:tc>
          <w:tcPr>
            <w:tcW w:w="2045" w:type="pct"/>
          </w:tcPr>
          <w:p w:rsidR="000253B5" w:rsidRPr="00C62277" w:rsidRDefault="000253B5" w:rsidP="00F62174">
            <w:pPr>
              <w:pStyle w:val="ListParagraph"/>
              <w:spacing w:line="480" w:lineRule="auto"/>
              <w:ind w:left="0"/>
              <w:rPr>
                <w:rFonts w:ascii="Times New Roman" w:hAnsi="Times New Roman" w:cs="Times New Roman"/>
                <w:sz w:val="24"/>
                <w:szCs w:val="24"/>
              </w:rPr>
            </w:pPr>
            <w:r w:rsidRPr="00C62277">
              <w:rPr>
                <w:rFonts w:ascii="Times New Roman" w:hAnsi="Times New Roman" w:cs="Times New Roman"/>
                <w:sz w:val="24"/>
                <w:szCs w:val="24"/>
              </w:rPr>
              <w:t>Metabolism and nutrition disorders</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11 (4.9)</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3 (2.9)</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7 (6.8)</w:t>
            </w:r>
          </w:p>
        </w:tc>
      </w:tr>
      <w:tr w:rsidR="000253B5" w:rsidRPr="005B7CAB" w:rsidTr="00F62174">
        <w:tc>
          <w:tcPr>
            <w:tcW w:w="2045" w:type="pct"/>
          </w:tcPr>
          <w:p w:rsidR="000253B5" w:rsidRPr="006D2383" w:rsidRDefault="000253B5" w:rsidP="00F62174">
            <w:pPr>
              <w:pStyle w:val="ListParagraph"/>
              <w:spacing w:line="480" w:lineRule="auto"/>
              <w:ind w:left="0"/>
              <w:rPr>
                <w:rFonts w:ascii="Times New Roman" w:hAnsi="Times New Roman" w:cs="Times New Roman"/>
                <w:sz w:val="24"/>
                <w:szCs w:val="24"/>
              </w:rPr>
            </w:pPr>
            <w:r w:rsidRPr="006D2383">
              <w:rPr>
                <w:rFonts w:ascii="Times New Roman" w:hAnsi="Times New Roman" w:cs="Times New Roman"/>
                <w:sz w:val="24"/>
                <w:szCs w:val="24"/>
              </w:rPr>
              <w:t>Gastrointestinal disorders</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 (6.7)</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 (2.9)</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 (4.9)</w:t>
            </w:r>
          </w:p>
        </w:tc>
      </w:tr>
      <w:tr w:rsidR="000253B5" w:rsidRPr="005B7CAB" w:rsidTr="00F62174">
        <w:tc>
          <w:tcPr>
            <w:tcW w:w="2045" w:type="pct"/>
          </w:tcPr>
          <w:p w:rsidR="000253B5" w:rsidRPr="006D2383" w:rsidRDefault="000253B5" w:rsidP="00F62174">
            <w:pPr>
              <w:pStyle w:val="ListParagraph"/>
              <w:spacing w:line="480" w:lineRule="auto"/>
              <w:ind w:left="0"/>
              <w:rPr>
                <w:rFonts w:ascii="Times New Roman" w:hAnsi="Times New Roman" w:cs="Times New Roman"/>
                <w:sz w:val="24"/>
                <w:szCs w:val="24"/>
              </w:rPr>
            </w:pPr>
            <w:r w:rsidRPr="006D2383">
              <w:rPr>
                <w:rFonts w:ascii="Times New Roman" w:hAnsi="Times New Roman" w:cs="Times New Roman"/>
                <w:sz w:val="24"/>
                <w:szCs w:val="24"/>
              </w:rPr>
              <w:t>Skin and subcutaneous tissue disorders</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 (4.9)</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 (3.9)</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 (8.7)</w:t>
            </w:r>
          </w:p>
        </w:tc>
      </w:tr>
      <w:tr w:rsidR="000253B5" w:rsidRPr="005B7CAB" w:rsidTr="00F62174">
        <w:tc>
          <w:tcPr>
            <w:tcW w:w="2045" w:type="pct"/>
          </w:tcPr>
          <w:p w:rsidR="000253B5" w:rsidRPr="006D2383" w:rsidRDefault="000253B5" w:rsidP="00F62174">
            <w:pPr>
              <w:pStyle w:val="ListParagraph"/>
              <w:spacing w:line="480" w:lineRule="auto"/>
              <w:ind w:left="0"/>
              <w:rPr>
                <w:rFonts w:ascii="Times New Roman" w:hAnsi="Times New Roman" w:cs="Times New Roman"/>
                <w:sz w:val="24"/>
                <w:szCs w:val="24"/>
              </w:rPr>
            </w:pPr>
            <w:r w:rsidRPr="006D2383">
              <w:rPr>
                <w:rFonts w:ascii="Times New Roman" w:hAnsi="Times New Roman" w:cs="Times New Roman"/>
                <w:sz w:val="24"/>
                <w:szCs w:val="24"/>
              </w:rPr>
              <w:t>Musculoskeletal and connective tissue disorders</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21 (9.3)</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 (5.9)</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 (9.7)</w:t>
            </w:r>
          </w:p>
        </w:tc>
      </w:tr>
      <w:tr w:rsidR="000253B5" w:rsidRPr="005B7CAB" w:rsidTr="00F62174">
        <w:tc>
          <w:tcPr>
            <w:tcW w:w="2045" w:type="pct"/>
          </w:tcPr>
          <w:p w:rsidR="000253B5" w:rsidRPr="00C62277" w:rsidRDefault="000253B5" w:rsidP="00F62174">
            <w:pPr>
              <w:pStyle w:val="ListParagraph"/>
              <w:spacing w:line="480" w:lineRule="auto"/>
              <w:ind w:left="0"/>
              <w:rPr>
                <w:rFonts w:ascii="Times New Roman" w:hAnsi="Times New Roman" w:cs="Times New Roman"/>
                <w:sz w:val="24"/>
                <w:szCs w:val="24"/>
              </w:rPr>
            </w:pPr>
            <w:r w:rsidRPr="00C62277">
              <w:rPr>
                <w:rFonts w:ascii="Times New Roman" w:hAnsi="Times New Roman" w:cs="Times New Roman"/>
                <w:sz w:val="24"/>
                <w:szCs w:val="24"/>
              </w:rPr>
              <w:t>General disorders and administration site conditions</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26 (11.6)</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5 (4.9)</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6 (5.8)</w:t>
            </w:r>
          </w:p>
        </w:tc>
      </w:tr>
      <w:tr w:rsidR="000253B5" w:rsidRPr="005B7CAB" w:rsidTr="00F62174">
        <w:tc>
          <w:tcPr>
            <w:tcW w:w="2045" w:type="pct"/>
          </w:tcPr>
          <w:p w:rsidR="000253B5" w:rsidRPr="00C62277" w:rsidRDefault="000253B5" w:rsidP="00F62174">
            <w:pPr>
              <w:pStyle w:val="ListParagraph"/>
              <w:spacing w:line="480" w:lineRule="auto"/>
              <w:ind w:left="0"/>
              <w:rPr>
                <w:rFonts w:ascii="Times New Roman" w:hAnsi="Times New Roman" w:cs="Times New Roman"/>
                <w:sz w:val="24"/>
                <w:szCs w:val="24"/>
              </w:rPr>
            </w:pPr>
            <w:r w:rsidRPr="00C62277">
              <w:rPr>
                <w:rFonts w:ascii="Times New Roman" w:hAnsi="Times New Roman" w:cs="Times New Roman"/>
                <w:sz w:val="24"/>
                <w:szCs w:val="24"/>
              </w:rPr>
              <w:t>Investigations</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18 (8.0)</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3 (2.9)</w:t>
            </w:r>
          </w:p>
        </w:tc>
        <w:tc>
          <w:tcPr>
            <w:tcW w:w="985"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6 (5.8)</w:t>
            </w:r>
          </w:p>
        </w:tc>
      </w:tr>
    </w:tbl>
    <w:p w:rsidR="000253B5" w:rsidRPr="005B7CAB"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sz w:val="24"/>
          <w:szCs w:val="24"/>
        </w:rPr>
        <w:t xml:space="preserve">Percentage of patients was calculated relative to the number of patients in the SAF. </w:t>
      </w:r>
      <w:r w:rsidRPr="005B7CAB">
        <w:rPr>
          <w:rFonts w:ascii="Times New Roman" w:hAnsi="Times New Roman" w:cs="Times New Roman"/>
          <w:sz w:val="24"/>
          <w:szCs w:val="24"/>
        </w:rPr>
        <w:br/>
        <w:t>ALT</w:t>
      </w:r>
      <w:r>
        <w:rPr>
          <w:rFonts w:ascii="Times New Roman" w:hAnsi="Times New Roman" w:cs="Times New Roman"/>
          <w:sz w:val="24"/>
          <w:szCs w:val="24"/>
        </w:rPr>
        <w:t>:</w:t>
      </w:r>
      <w:r w:rsidRPr="005B7CAB">
        <w:rPr>
          <w:rFonts w:ascii="Times New Roman" w:hAnsi="Times New Roman" w:cs="Times New Roman"/>
          <w:sz w:val="24"/>
          <w:szCs w:val="24"/>
        </w:rPr>
        <w:t xml:space="preserve"> alanine aminotransferase; AST</w:t>
      </w:r>
      <w:r>
        <w:rPr>
          <w:rFonts w:ascii="Times New Roman" w:hAnsi="Times New Roman" w:cs="Times New Roman"/>
          <w:sz w:val="24"/>
          <w:szCs w:val="24"/>
        </w:rPr>
        <w:t>:</w:t>
      </w:r>
      <w:r w:rsidRPr="005B7CAB">
        <w:rPr>
          <w:rFonts w:ascii="Times New Roman" w:hAnsi="Times New Roman" w:cs="Times New Roman"/>
          <w:sz w:val="24"/>
          <w:szCs w:val="24"/>
        </w:rPr>
        <w:t xml:space="preserve"> aspartate aminotransferase; SAF</w:t>
      </w:r>
      <w:r>
        <w:rPr>
          <w:rFonts w:ascii="Times New Roman" w:hAnsi="Times New Roman" w:cs="Times New Roman"/>
          <w:sz w:val="24"/>
          <w:szCs w:val="24"/>
        </w:rPr>
        <w:t>:</w:t>
      </w:r>
      <w:r w:rsidRPr="005B7CAB">
        <w:rPr>
          <w:rFonts w:ascii="Times New Roman" w:hAnsi="Times New Roman" w:cs="Times New Roman"/>
          <w:sz w:val="24"/>
          <w:szCs w:val="24"/>
        </w:rPr>
        <w:t xml:space="preserve"> safety analysis set; TEAE</w:t>
      </w:r>
      <w:r>
        <w:rPr>
          <w:rFonts w:ascii="Times New Roman" w:hAnsi="Times New Roman" w:cs="Times New Roman"/>
          <w:sz w:val="24"/>
          <w:szCs w:val="24"/>
        </w:rPr>
        <w:t>:</w:t>
      </w:r>
      <w:r w:rsidRPr="005B7CAB">
        <w:rPr>
          <w:rFonts w:ascii="Times New Roman" w:hAnsi="Times New Roman" w:cs="Times New Roman"/>
          <w:sz w:val="24"/>
          <w:szCs w:val="24"/>
        </w:rPr>
        <w:t xml:space="preserve"> treatment-emergent adverse event.</w:t>
      </w:r>
    </w:p>
    <w:p w:rsidR="000253B5" w:rsidRPr="005B7CAB" w:rsidRDefault="000253B5" w:rsidP="000253B5">
      <w:pPr>
        <w:rPr>
          <w:rFonts w:ascii="Times New Roman" w:hAnsi="Times New Roman" w:cs="Times New Roman"/>
          <w:sz w:val="24"/>
          <w:szCs w:val="24"/>
        </w:rPr>
      </w:pPr>
      <w:r w:rsidRPr="005B7CAB">
        <w:rPr>
          <w:rFonts w:ascii="Times New Roman" w:hAnsi="Times New Roman" w:cs="Times New Roman"/>
          <w:sz w:val="24"/>
          <w:szCs w:val="24"/>
        </w:rPr>
        <w:br w:type="page"/>
      </w:r>
    </w:p>
    <w:p w:rsidR="000253B5" w:rsidRPr="005B7CAB" w:rsidRDefault="000253B5" w:rsidP="000253B5">
      <w:pPr>
        <w:spacing w:after="0" w:line="480" w:lineRule="auto"/>
        <w:rPr>
          <w:rFonts w:ascii="Times New Roman" w:hAnsi="Times New Roman" w:cs="Times New Roman"/>
          <w:sz w:val="24"/>
          <w:szCs w:val="24"/>
        </w:rPr>
      </w:pPr>
      <w:bookmarkStart w:id="0" w:name="_Hlk8986906"/>
      <w:r w:rsidRPr="00C62277">
        <w:rPr>
          <w:rFonts w:ascii="Times New Roman" w:hAnsi="Times New Roman" w:cs="Times New Roman"/>
          <w:b/>
          <w:sz w:val="24"/>
          <w:szCs w:val="24"/>
        </w:rPr>
        <w:lastRenderedPageBreak/>
        <w:t>Table S2.</w:t>
      </w:r>
      <w:r>
        <w:rPr>
          <w:rFonts w:ascii="Times New Roman" w:hAnsi="Times New Roman" w:cs="Times New Roman"/>
          <w:sz w:val="24"/>
          <w:szCs w:val="24"/>
        </w:rPr>
        <w:t xml:space="preserve"> Overview of further selected</w:t>
      </w:r>
      <w:r w:rsidRPr="005B7CAB">
        <w:rPr>
          <w:rFonts w:ascii="Times New Roman" w:hAnsi="Times New Roman" w:cs="Times New Roman"/>
          <w:sz w:val="24"/>
          <w:szCs w:val="24"/>
        </w:rPr>
        <w:t xml:space="preserve"> </w:t>
      </w:r>
      <w:r>
        <w:rPr>
          <w:rFonts w:ascii="Times New Roman" w:hAnsi="Times New Roman" w:cs="Times New Roman"/>
          <w:sz w:val="24"/>
          <w:szCs w:val="24"/>
        </w:rPr>
        <w:t>adverse events of interest</w:t>
      </w:r>
      <w:r w:rsidRPr="005B7CAB">
        <w:rPr>
          <w:rFonts w:ascii="Times New Roman" w:hAnsi="Times New Roman" w:cs="Times New Roman"/>
          <w:sz w:val="24"/>
          <w:szCs w:val="24"/>
        </w:rPr>
        <w:t xml:space="preserve"> (SAF)</w:t>
      </w:r>
      <w:r>
        <w:rPr>
          <w:rFonts w:ascii="Times New Roman" w:hAnsi="Times New Roman" w:cs="Times New Roman"/>
          <w:sz w:val="24"/>
          <w:szCs w:val="24"/>
        </w:rPr>
        <w:t>.</w:t>
      </w:r>
    </w:p>
    <w:tbl>
      <w:tblPr>
        <w:tblStyle w:val="TableGrid"/>
        <w:tblW w:w="5000" w:type="pct"/>
        <w:tblLook w:val="04A0" w:firstRow="1" w:lastRow="0" w:firstColumn="1" w:lastColumn="0" w:noHBand="0" w:noVBand="1"/>
      </w:tblPr>
      <w:tblGrid>
        <w:gridCol w:w="3443"/>
        <w:gridCol w:w="1857"/>
        <w:gridCol w:w="1857"/>
        <w:gridCol w:w="1859"/>
      </w:tblGrid>
      <w:tr w:rsidR="000253B5" w:rsidRPr="005B7CAB" w:rsidTr="00F62174">
        <w:trPr>
          <w:trHeight w:val="816"/>
        </w:trPr>
        <w:tc>
          <w:tcPr>
            <w:tcW w:w="1909" w:type="pct"/>
            <w:vAlign w:val="bottom"/>
          </w:tcPr>
          <w:bookmarkEnd w:id="0"/>
          <w:p w:rsidR="000253B5" w:rsidRPr="00C62277" w:rsidRDefault="000253B5" w:rsidP="00F62174">
            <w:pPr>
              <w:pStyle w:val="ListParagraph"/>
              <w:spacing w:line="480" w:lineRule="auto"/>
              <w:ind w:left="0"/>
              <w:rPr>
                <w:rFonts w:ascii="Times New Roman" w:hAnsi="Times New Roman" w:cs="Times New Roman"/>
                <w:sz w:val="24"/>
                <w:szCs w:val="24"/>
              </w:rPr>
            </w:pPr>
            <w:r w:rsidRPr="00C62277">
              <w:rPr>
                <w:rFonts w:ascii="Times New Roman" w:hAnsi="Times New Roman" w:cs="Times New Roman"/>
                <w:sz w:val="24"/>
                <w:szCs w:val="24"/>
              </w:rPr>
              <w:t xml:space="preserve">Patients with ≥ 1 other safety endpoint, </w:t>
            </w:r>
            <w:r w:rsidRPr="00C62277">
              <w:rPr>
                <w:rFonts w:ascii="Times New Roman" w:hAnsi="Times New Roman" w:cs="Times New Roman"/>
                <w:i/>
                <w:sz w:val="24"/>
                <w:szCs w:val="24"/>
              </w:rPr>
              <w:t>n</w:t>
            </w:r>
            <w:r w:rsidRPr="00C62277">
              <w:rPr>
                <w:rFonts w:ascii="Times New Roman" w:hAnsi="Times New Roman" w:cs="Times New Roman"/>
                <w:sz w:val="24"/>
                <w:szCs w:val="24"/>
              </w:rPr>
              <w:t xml:space="preserve"> (%)</w:t>
            </w:r>
          </w:p>
        </w:tc>
        <w:tc>
          <w:tcPr>
            <w:tcW w:w="1030" w:type="pct"/>
          </w:tcPr>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Group A</w:t>
            </w:r>
          </w:p>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w:t>
            </w:r>
            <w:r w:rsidRPr="00C62277">
              <w:rPr>
                <w:rFonts w:ascii="Times New Roman" w:hAnsi="Times New Roman" w:cs="Times New Roman"/>
                <w:i/>
                <w:sz w:val="24"/>
                <w:szCs w:val="24"/>
              </w:rPr>
              <w:t xml:space="preserve">N </w:t>
            </w:r>
            <w:r w:rsidRPr="00C62277">
              <w:rPr>
                <w:rFonts w:ascii="Times New Roman" w:hAnsi="Times New Roman" w:cs="Times New Roman"/>
                <w:sz w:val="24"/>
                <w:szCs w:val="24"/>
              </w:rPr>
              <w:t>= 225)</w:t>
            </w:r>
          </w:p>
        </w:tc>
        <w:tc>
          <w:tcPr>
            <w:tcW w:w="1030" w:type="pct"/>
          </w:tcPr>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Group B</w:t>
            </w:r>
          </w:p>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w:t>
            </w:r>
            <w:r w:rsidRPr="00C62277">
              <w:rPr>
                <w:rFonts w:ascii="Times New Roman" w:hAnsi="Times New Roman" w:cs="Times New Roman"/>
                <w:i/>
                <w:sz w:val="24"/>
                <w:szCs w:val="24"/>
              </w:rPr>
              <w:t xml:space="preserve">N = </w:t>
            </w:r>
            <w:r w:rsidRPr="00C62277">
              <w:rPr>
                <w:rFonts w:ascii="Times New Roman" w:hAnsi="Times New Roman" w:cs="Times New Roman"/>
                <w:sz w:val="24"/>
                <w:szCs w:val="24"/>
              </w:rPr>
              <w:t>102)</w:t>
            </w:r>
          </w:p>
        </w:tc>
        <w:tc>
          <w:tcPr>
            <w:tcW w:w="1031" w:type="pct"/>
          </w:tcPr>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Group C</w:t>
            </w:r>
          </w:p>
          <w:p w:rsidR="000253B5" w:rsidRPr="00C62277" w:rsidRDefault="000253B5" w:rsidP="00F62174">
            <w:pPr>
              <w:pStyle w:val="ListParagraph"/>
              <w:spacing w:line="480" w:lineRule="auto"/>
              <w:ind w:left="0"/>
              <w:jc w:val="center"/>
              <w:rPr>
                <w:rFonts w:ascii="Times New Roman" w:hAnsi="Times New Roman" w:cs="Times New Roman"/>
                <w:sz w:val="24"/>
                <w:szCs w:val="24"/>
              </w:rPr>
            </w:pPr>
            <w:r w:rsidRPr="00C62277">
              <w:rPr>
                <w:rFonts w:ascii="Times New Roman" w:hAnsi="Times New Roman" w:cs="Times New Roman"/>
                <w:sz w:val="24"/>
                <w:szCs w:val="24"/>
              </w:rPr>
              <w:t>(</w:t>
            </w:r>
            <w:r w:rsidRPr="00C62277">
              <w:rPr>
                <w:rFonts w:ascii="Times New Roman" w:hAnsi="Times New Roman" w:cs="Times New Roman"/>
                <w:i/>
                <w:sz w:val="24"/>
                <w:szCs w:val="24"/>
              </w:rPr>
              <w:t xml:space="preserve">N </w:t>
            </w:r>
            <w:r w:rsidRPr="00C62277">
              <w:rPr>
                <w:rFonts w:ascii="Times New Roman" w:hAnsi="Times New Roman" w:cs="Times New Roman"/>
                <w:sz w:val="24"/>
                <w:szCs w:val="24"/>
              </w:rPr>
              <w:t>= 103)</w:t>
            </w:r>
          </w:p>
        </w:tc>
      </w:tr>
      <w:tr w:rsidR="000253B5" w:rsidRPr="005B7CAB" w:rsidTr="00F62174">
        <w:tc>
          <w:tcPr>
            <w:tcW w:w="1909" w:type="pct"/>
          </w:tcPr>
          <w:p w:rsidR="000253B5" w:rsidRPr="005B7CAB" w:rsidRDefault="000253B5" w:rsidP="00F62174">
            <w:pPr>
              <w:pStyle w:val="ListParagraph"/>
              <w:spacing w:line="480" w:lineRule="auto"/>
              <w:ind w:left="0"/>
              <w:rPr>
                <w:rFonts w:ascii="Times New Roman" w:hAnsi="Times New Roman" w:cs="Times New Roman"/>
                <w:sz w:val="24"/>
                <w:szCs w:val="24"/>
              </w:rPr>
            </w:pPr>
            <w:r w:rsidRPr="005B7CAB">
              <w:rPr>
                <w:rFonts w:ascii="Times New Roman" w:hAnsi="Times New Roman" w:cs="Times New Roman"/>
                <w:sz w:val="24"/>
                <w:szCs w:val="24"/>
              </w:rPr>
              <w:t>Infection</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63 (28.0)</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20 (19.6)</w:t>
            </w:r>
          </w:p>
        </w:tc>
        <w:tc>
          <w:tcPr>
            <w:tcW w:w="1031"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22 (21.4)</w:t>
            </w:r>
          </w:p>
        </w:tc>
      </w:tr>
      <w:tr w:rsidR="000253B5" w:rsidRPr="005B7CAB" w:rsidTr="00F62174">
        <w:tc>
          <w:tcPr>
            <w:tcW w:w="1909" w:type="pct"/>
          </w:tcPr>
          <w:p w:rsidR="000253B5" w:rsidRPr="005B7CAB" w:rsidRDefault="000253B5" w:rsidP="00F62174">
            <w:pPr>
              <w:pStyle w:val="ListParagraph"/>
              <w:spacing w:line="480" w:lineRule="auto"/>
              <w:ind w:left="0"/>
              <w:rPr>
                <w:rFonts w:ascii="Times New Roman" w:hAnsi="Times New Roman" w:cs="Times New Roman"/>
                <w:sz w:val="24"/>
                <w:szCs w:val="24"/>
              </w:rPr>
            </w:pPr>
            <w:r w:rsidRPr="005B7CAB">
              <w:rPr>
                <w:rFonts w:ascii="Times New Roman" w:hAnsi="Times New Roman" w:cs="Times New Roman"/>
                <w:sz w:val="24"/>
                <w:szCs w:val="24"/>
              </w:rPr>
              <w:t>Serious infection</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8 (3.6)</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1 (1.0)</w:t>
            </w:r>
          </w:p>
        </w:tc>
        <w:tc>
          <w:tcPr>
            <w:tcW w:w="1031"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2 (1.9)</w:t>
            </w:r>
          </w:p>
        </w:tc>
      </w:tr>
      <w:tr w:rsidR="000253B5" w:rsidRPr="005B7CAB" w:rsidTr="00F62174">
        <w:tc>
          <w:tcPr>
            <w:tcW w:w="1909" w:type="pct"/>
          </w:tcPr>
          <w:p w:rsidR="000253B5" w:rsidRPr="005B7CAB" w:rsidRDefault="000253B5" w:rsidP="00F62174">
            <w:pPr>
              <w:pStyle w:val="ListParagraph"/>
              <w:spacing w:line="480" w:lineRule="auto"/>
              <w:ind w:left="0"/>
              <w:rPr>
                <w:rFonts w:ascii="Times New Roman" w:hAnsi="Times New Roman" w:cs="Times New Roman"/>
                <w:sz w:val="24"/>
                <w:szCs w:val="24"/>
              </w:rPr>
            </w:pPr>
            <w:r w:rsidRPr="005B7CAB">
              <w:rPr>
                <w:rFonts w:ascii="Times New Roman" w:hAnsi="Times New Roman" w:cs="Times New Roman"/>
                <w:sz w:val="24"/>
                <w:szCs w:val="24"/>
              </w:rPr>
              <w:t>Hypersensitivity reaction</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5 (2.2)</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4 (3.9)</w:t>
            </w:r>
          </w:p>
        </w:tc>
        <w:tc>
          <w:tcPr>
            <w:tcW w:w="1031"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4 (3.9)</w:t>
            </w:r>
          </w:p>
        </w:tc>
      </w:tr>
      <w:tr w:rsidR="000253B5" w:rsidRPr="005B7CAB" w:rsidTr="00F62174">
        <w:tc>
          <w:tcPr>
            <w:tcW w:w="1909" w:type="pct"/>
          </w:tcPr>
          <w:p w:rsidR="000253B5" w:rsidRPr="005B7CAB" w:rsidRDefault="000253B5" w:rsidP="00F62174">
            <w:pPr>
              <w:pStyle w:val="ListParagraph"/>
              <w:spacing w:line="480" w:lineRule="auto"/>
              <w:ind w:left="0"/>
              <w:rPr>
                <w:rFonts w:ascii="Times New Roman" w:hAnsi="Times New Roman" w:cs="Times New Roman"/>
                <w:sz w:val="24"/>
                <w:szCs w:val="24"/>
              </w:rPr>
            </w:pPr>
            <w:r w:rsidRPr="005B7CAB">
              <w:rPr>
                <w:rFonts w:ascii="Times New Roman" w:hAnsi="Times New Roman" w:cs="Times New Roman"/>
                <w:sz w:val="24"/>
                <w:szCs w:val="24"/>
              </w:rPr>
              <w:t>Drug-induced liver injury</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0</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0</w:t>
            </w:r>
          </w:p>
        </w:tc>
        <w:tc>
          <w:tcPr>
            <w:tcW w:w="1031"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0</w:t>
            </w:r>
          </w:p>
        </w:tc>
      </w:tr>
      <w:tr w:rsidR="000253B5" w:rsidRPr="005B7CAB" w:rsidTr="00F62174">
        <w:tc>
          <w:tcPr>
            <w:tcW w:w="1909" w:type="pct"/>
          </w:tcPr>
          <w:p w:rsidR="000253B5" w:rsidRPr="005B7CAB" w:rsidRDefault="000253B5" w:rsidP="00F62174">
            <w:pPr>
              <w:pStyle w:val="ListParagraph"/>
              <w:spacing w:line="480" w:lineRule="auto"/>
              <w:ind w:left="0"/>
              <w:rPr>
                <w:rFonts w:ascii="Times New Roman" w:hAnsi="Times New Roman" w:cs="Times New Roman"/>
                <w:sz w:val="24"/>
                <w:szCs w:val="24"/>
              </w:rPr>
            </w:pPr>
            <w:r w:rsidRPr="005B7CAB">
              <w:rPr>
                <w:rFonts w:ascii="Times New Roman" w:hAnsi="Times New Roman" w:cs="Times New Roman"/>
                <w:sz w:val="24"/>
                <w:szCs w:val="24"/>
              </w:rPr>
              <w:t>Injection site reaction</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20 (8.9)</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4 (3.9)</w:t>
            </w:r>
          </w:p>
        </w:tc>
        <w:tc>
          <w:tcPr>
            <w:tcW w:w="1031"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6 (5.8)</w:t>
            </w:r>
          </w:p>
        </w:tc>
      </w:tr>
      <w:tr w:rsidR="000253B5" w:rsidRPr="005B7CAB" w:rsidTr="00F62174">
        <w:tc>
          <w:tcPr>
            <w:tcW w:w="1909" w:type="pct"/>
          </w:tcPr>
          <w:p w:rsidR="000253B5" w:rsidRPr="005B7CAB" w:rsidRDefault="000253B5" w:rsidP="00F62174">
            <w:pPr>
              <w:pStyle w:val="ListParagraph"/>
              <w:spacing w:line="480" w:lineRule="auto"/>
              <w:ind w:left="0"/>
              <w:rPr>
                <w:rFonts w:ascii="Times New Roman" w:hAnsi="Times New Roman" w:cs="Times New Roman"/>
                <w:sz w:val="24"/>
                <w:szCs w:val="24"/>
              </w:rPr>
            </w:pPr>
            <w:r w:rsidRPr="005B7CAB">
              <w:rPr>
                <w:rFonts w:ascii="Times New Roman" w:hAnsi="Times New Roman" w:cs="Times New Roman"/>
                <w:sz w:val="24"/>
                <w:szCs w:val="24"/>
              </w:rPr>
              <w:t>Anaphylactic reaction</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0</w:t>
            </w:r>
          </w:p>
        </w:tc>
        <w:tc>
          <w:tcPr>
            <w:tcW w:w="1030"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0</w:t>
            </w:r>
          </w:p>
        </w:tc>
        <w:tc>
          <w:tcPr>
            <w:tcW w:w="1031" w:type="pct"/>
          </w:tcPr>
          <w:p w:rsidR="000253B5" w:rsidRPr="005B7CAB" w:rsidRDefault="000253B5" w:rsidP="00F62174">
            <w:pPr>
              <w:pStyle w:val="ListParagraph"/>
              <w:spacing w:line="480" w:lineRule="auto"/>
              <w:ind w:left="0"/>
              <w:jc w:val="center"/>
              <w:rPr>
                <w:rFonts w:ascii="Times New Roman" w:hAnsi="Times New Roman" w:cs="Times New Roman"/>
                <w:sz w:val="24"/>
                <w:szCs w:val="24"/>
              </w:rPr>
            </w:pPr>
            <w:r w:rsidRPr="005B7CAB">
              <w:rPr>
                <w:rFonts w:ascii="Times New Roman" w:hAnsi="Times New Roman" w:cs="Times New Roman"/>
                <w:sz w:val="24"/>
                <w:szCs w:val="24"/>
              </w:rPr>
              <w:t>0</w:t>
            </w:r>
          </w:p>
        </w:tc>
      </w:tr>
    </w:tbl>
    <w:p w:rsidR="000253B5" w:rsidRPr="005B7CAB"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sz w:val="24"/>
          <w:szCs w:val="24"/>
        </w:rPr>
        <w:t>SAF</w:t>
      </w:r>
      <w:r>
        <w:rPr>
          <w:rFonts w:ascii="Times New Roman" w:hAnsi="Times New Roman" w:cs="Times New Roman"/>
          <w:sz w:val="24"/>
          <w:szCs w:val="24"/>
        </w:rPr>
        <w:t>:</w:t>
      </w:r>
      <w:r w:rsidRPr="005B7CAB">
        <w:rPr>
          <w:rFonts w:ascii="Times New Roman" w:hAnsi="Times New Roman" w:cs="Times New Roman"/>
          <w:sz w:val="24"/>
          <w:szCs w:val="24"/>
        </w:rPr>
        <w:t xml:space="preserve"> safety analysis set.</w:t>
      </w:r>
    </w:p>
    <w:p w:rsidR="000253B5" w:rsidRPr="005B7CAB" w:rsidRDefault="000253B5" w:rsidP="000253B5">
      <w:pPr>
        <w:rPr>
          <w:rFonts w:ascii="Times New Roman" w:hAnsi="Times New Roman" w:cs="Times New Roman"/>
          <w:sz w:val="24"/>
          <w:szCs w:val="24"/>
        </w:rPr>
      </w:pPr>
      <w:r w:rsidRPr="005B7CAB">
        <w:rPr>
          <w:rFonts w:ascii="Times New Roman" w:hAnsi="Times New Roman" w:cs="Times New Roman"/>
          <w:sz w:val="24"/>
          <w:szCs w:val="24"/>
        </w:rPr>
        <w:br w:type="page"/>
      </w:r>
    </w:p>
    <w:p w:rsidR="000253B5" w:rsidRPr="005B7CAB" w:rsidRDefault="000253B5" w:rsidP="000253B5">
      <w:pPr>
        <w:spacing w:after="0" w:line="480" w:lineRule="auto"/>
        <w:rPr>
          <w:rFonts w:ascii="Times New Roman" w:hAnsi="Times New Roman" w:cs="Times New Roman"/>
        </w:rPr>
      </w:pPr>
      <w:bookmarkStart w:id="1" w:name="_Hlk8986915"/>
      <w:r w:rsidRPr="00C62277">
        <w:rPr>
          <w:rFonts w:ascii="Times New Roman" w:hAnsi="Times New Roman" w:cs="Times New Roman"/>
          <w:b/>
          <w:sz w:val="24"/>
          <w:szCs w:val="24"/>
        </w:rPr>
        <w:lastRenderedPageBreak/>
        <w:t xml:space="preserve">Figure S1. </w:t>
      </w:r>
      <w:r w:rsidRPr="005B7CAB">
        <w:rPr>
          <w:rFonts w:ascii="Times New Roman" w:hAnsi="Times New Roman" w:cs="Times New Roman"/>
          <w:sz w:val="24"/>
          <w:szCs w:val="24"/>
        </w:rPr>
        <w:t>Mean DAS28-CRP scores changes from baseline at weeks 62, 74, and 98 (FAS, LOCF)</w:t>
      </w:r>
      <w:r>
        <w:rPr>
          <w:rFonts w:ascii="Times New Roman" w:hAnsi="Times New Roman" w:cs="Times New Roman"/>
          <w:sz w:val="24"/>
          <w:szCs w:val="24"/>
        </w:rPr>
        <w:t>.</w:t>
      </w:r>
    </w:p>
    <w:bookmarkEnd w:id="1"/>
    <w:p w:rsidR="000253B5" w:rsidRPr="005B7CAB" w:rsidRDefault="000253B5" w:rsidP="000253B5">
      <w:pPr>
        <w:spacing w:after="0" w:line="480" w:lineRule="auto"/>
        <w:rPr>
          <w:rFonts w:ascii="Times New Roman" w:hAnsi="Times New Roman" w:cs="Times New Roman"/>
          <w:sz w:val="24"/>
          <w:szCs w:val="24"/>
        </w:rPr>
      </w:pPr>
      <w:r>
        <w:rPr>
          <w:rFonts w:ascii="Times New Roman" w:hAnsi="Times New Roman" w:cs="Times New Roman"/>
          <w:noProof/>
          <w:sz w:val="24"/>
          <w:szCs w:val="24"/>
          <w:lang w:val="en-GB" w:eastAsia="en-GB"/>
        </w:rPr>
        <w:drawing>
          <wp:inline distT="0" distB="0" distL="0" distR="0" wp14:anchorId="62C194C4" wp14:editId="377504D6">
            <wp:extent cx="5736590" cy="4184015"/>
            <wp:effectExtent l="0" t="0" r="0" b="6985"/>
            <wp:docPr id="13" name="Picture 13" descr="Suppl Fig S1_1297_3 VOLTAIRE-RA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uppl Fig S1_1297_3 VOLTAIRE-RAExt"/>
                    <pic:cNvPicPr>
                      <a:picLocks noChangeAspect="1" noChangeArrowheads="1"/>
                    </pic:cNvPicPr>
                  </pic:nvPicPr>
                  <pic:blipFill>
                    <a:blip r:embed="rId4">
                      <a:extLst>
                        <a:ext uri="{28A0092B-C50C-407E-A947-70E740481C1C}">
                          <a14:useLocalDpi xmlns:a14="http://schemas.microsoft.com/office/drawing/2010/main" val="0"/>
                        </a:ext>
                      </a:extLst>
                    </a:blip>
                    <a:srcRect l="2716" t="7834" r="5721" b="3001"/>
                    <a:stretch>
                      <a:fillRect/>
                    </a:stretch>
                  </pic:blipFill>
                  <pic:spPr bwMode="auto">
                    <a:xfrm>
                      <a:off x="0" y="0"/>
                      <a:ext cx="5736590" cy="4184015"/>
                    </a:xfrm>
                    <a:prstGeom prst="rect">
                      <a:avLst/>
                    </a:prstGeom>
                    <a:noFill/>
                    <a:ln>
                      <a:noFill/>
                    </a:ln>
                  </pic:spPr>
                </pic:pic>
              </a:graphicData>
            </a:graphic>
          </wp:inline>
        </w:drawing>
      </w:r>
    </w:p>
    <w:p w:rsidR="000253B5" w:rsidRPr="005B7CAB"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sz w:val="24"/>
          <w:szCs w:val="24"/>
        </w:rPr>
        <w:t>CI</w:t>
      </w:r>
      <w:r>
        <w:rPr>
          <w:rFonts w:ascii="Times New Roman" w:hAnsi="Times New Roman" w:cs="Times New Roman"/>
          <w:sz w:val="24"/>
          <w:szCs w:val="24"/>
        </w:rPr>
        <w:t>:</w:t>
      </w:r>
      <w:r w:rsidRPr="005B7CAB">
        <w:rPr>
          <w:rFonts w:ascii="Times New Roman" w:hAnsi="Times New Roman" w:cs="Times New Roman"/>
          <w:sz w:val="24"/>
          <w:szCs w:val="24"/>
        </w:rPr>
        <w:t xml:space="preserve"> confidence interval; CRP</w:t>
      </w:r>
      <w:r>
        <w:rPr>
          <w:rFonts w:ascii="Times New Roman" w:hAnsi="Times New Roman" w:cs="Times New Roman"/>
          <w:sz w:val="24"/>
          <w:szCs w:val="24"/>
        </w:rPr>
        <w:t>:</w:t>
      </w:r>
      <w:r w:rsidRPr="005B7CAB">
        <w:rPr>
          <w:rFonts w:ascii="Times New Roman" w:hAnsi="Times New Roman" w:cs="Times New Roman"/>
          <w:sz w:val="24"/>
          <w:szCs w:val="24"/>
        </w:rPr>
        <w:t xml:space="preserve"> C-reactive protein; DAS</w:t>
      </w:r>
      <w:r>
        <w:rPr>
          <w:rFonts w:ascii="Times New Roman" w:hAnsi="Times New Roman" w:cs="Times New Roman"/>
          <w:sz w:val="24"/>
          <w:szCs w:val="24"/>
        </w:rPr>
        <w:t>:</w:t>
      </w:r>
      <w:r w:rsidRPr="005B7CAB">
        <w:rPr>
          <w:rFonts w:ascii="Times New Roman" w:hAnsi="Times New Roman" w:cs="Times New Roman"/>
          <w:sz w:val="24"/>
          <w:szCs w:val="24"/>
        </w:rPr>
        <w:t xml:space="preserve"> </w:t>
      </w:r>
      <w:r>
        <w:rPr>
          <w:rFonts w:ascii="Times New Roman" w:hAnsi="Times New Roman" w:cs="Times New Roman"/>
          <w:sz w:val="24"/>
          <w:szCs w:val="24"/>
        </w:rPr>
        <w:t>D</w:t>
      </w:r>
      <w:r w:rsidRPr="005B7CAB">
        <w:rPr>
          <w:rFonts w:ascii="Times New Roman" w:hAnsi="Times New Roman" w:cs="Times New Roman"/>
          <w:sz w:val="24"/>
          <w:szCs w:val="24"/>
        </w:rPr>
        <w:t xml:space="preserve">isease </w:t>
      </w:r>
      <w:r>
        <w:rPr>
          <w:rFonts w:ascii="Times New Roman" w:hAnsi="Times New Roman" w:cs="Times New Roman"/>
          <w:sz w:val="24"/>
          <w:szCs w:val="24"/>
        </w:rPr>
        <w:t>A</w:t>
      </w:r>
      <w:r w:rsidRPr="005B7CAB">
        <w:rPr>
          <w:rFonts w:ascii="Times New Roman" w:hAnsi="Times New Roman" w:cs="Times New Roman"/>
          <w:sz w:val="24"/>
          <w:szCs w:val="24"/>
        </w:rPr>
        <w:t xml:space="preserve">ctivity </w:t>
      </w:r>
      <w:r>
        <w:rPr>
          <w:rFonts w:ascii="Times New Roman" w:hAnsi="Times New Roman" w:cs="Times New Roman"/>
          <w:sz w:val="24"/>
          <w:szCs w:val="24"/>
        </w:rPr>
        <w:t>S</w:t>
      </w:r>
      <w:r w:rsidRPr="005B7CAB">
        <w:rPr>
          <w:rFonts w:ascii="Times New Roman" w:hAnsi="Times New Roman" w:cs="Times New Roman"/>
          <w:sz w:val="24"/>
          <w:szCs w:val="24"/>
        </w:rPr>
        <w:t>core; FAS</w:t>
      </w:r>
      <w:r>
        <w:rPr>
          <w:rFonts w:ascii="Times New Roman" w:hAnsi="Times New Roman" w:cs="Times New Roman"/>
          <w:sz w:val="24"/>
          <w:szCs w:val="24"/>
        </w:rPr>
        <w:t>:</w:t>
      </w:r>
      <w:r w:rsidRPr="005B7CAB">
        <w:rPr>
          <w:rFonts w:ascii="Times New Roman" w:hAnsi="Times New Roman" w:cs="Times New Roman"/>
          <w:sz w:val="24"/>
          <w:szCs w:val="24"/>
        </w:rPr>
        <w:t xml:space="preserve"> full analysis set; LOCF</w:t>
      </w:r>
      <w:r>
        <w:rPr>
          <w:rFonts w:ascii="Times New Roman" w:hAnsi="Times New Roman" w:cs="Times New Roman"/>
          <w:sz w:val="24"/>
          <w:szCs w:val="24"/>
        </w:rPr>
        <w:t>:</w:t>
      </w:r>
      <w:r w:rsidRPr="005B7CAB">
        <w:rPr>
          <w:rFonts w:ascii="Times New Roman" w:hAnsi="Times New Roman" w:cs="Times New Roman"/>
          <w:sz w:val="24"/>
          <w:szCs w:val="24"/>
        </w:rPr>
        <w:t xml:space="preserve"> last observation carried forward.</w:t>
      </w:r>
      <w:r w:rsidRPr="005B7CAB" w:rsidDel="007367ED">
        <w:rPr>
          <w:rFonts w:ascii="Times New Roman" w:hAnsi="Times New Roman" w:cs="Times New Roman"/>
          <w:sz w:val="24"/>
          <w:szCs w:val="24"/>
        </w:rPr>
        <w:t xml:space="preserve"> </w:t>
      </w:r>
    </w:p>
    <w:p w:rsidR="000253B5" w:rsidRPr="005B7CAB" w:rsidRDefault="000253B5" w:rsidP="000253B5">
      <w:pPr>
        <w:rPr>
          <w:rFonts w:ascii="Times New Roman" w:hAnsi="Times New Roman" w:cs="Times New Roman"/>
          <w:sz w:val="24"/>
          <w:szCs w:val="24"/>
        </w:rPr>
      </w:pPr>
      <w:r w:rsidRPr="005B7CAB">
        <w:rPr>
          <w:rFonts w:ascii="Times New Roman" w:hAnsi="Times New Roman" w:cs="Times New Roman"/>
          <w:sz w:val="24"/>
          <w:szCs w:val="24"/>
        </w:rPr>
        <w:br w:type="page"/>
      </w:r>
    </w:p>
    <w:p w:rsidR="000253B5" w:rsidRPr="005B7CAB" w:rsidRDefault="000253B5" w:rsidP="000253B5">
      <w:pPr>
        <w:keepNext/>
        <w:keepLines/>
        <w:spacing w:after="0" w:line="480" w:lineRule="auto"/>
        <w:rPr>
          <w:rFonts w:ascii="Times New Roman" w:hAnsi="Times New Roman" w:cs="Times New Roman"/>
          <w:sz w:val="24"/>
          <w:szCs w:val="24"/>
        </w:rPr>
      </w:pPr>
      <w:bookmarkStart w:id="2" w:name="_Hlk8986929"/>
      <w:r w:rsidRPr="00C62277">
        <w:rPr>
          <w:rFonts w:ascii="Times New Roman" w:hAnsi="Times New Roman" w:cs="Times New Roman"/>
          <w:b/>
          <w:sz w:val="24"/>
          <w:szCs w:val="24"/>
        </w:rPr>
        <w:lastRenderedPageBreak/>
        <w:t>Figure S2.</w:t>
      </w:r>
      <w:r w:rsidRPr="005B7CAB">
        <w:rPr>
          <w:rFonts w:ascii="Times New Roman" w:hAnsi="Times New Roman" w:cs="Times New Roman"/>
          <w:sz w:val="24"/>
          <w:szCs w:val="24"/>
        </w:rPr>
        <w:t xml:space="preserve"> Geometric mean drug plasma concentration</w:t>
      </w:r>
      <w:r>
        <w:rPr>
          <w:rFonts w:ascii="Times New Roman" w:hAnsi="Times New Roman" w:cs="Times New Roman"/>
          <w:sz w:val="24"/>
          <w:szCs w:val="24"/>
        </w:rPr>
        <w:t>–</w:t>
      </w:r>
      <w:r w:rsidRPr="005B7CAB">
        <w:rPr>
          <w:rFonts w:ascii="Times New Roman" w:hAnsi="Times New Roman" w:cs="Times New Roman"/>
          <w:sz w:val="24"/>
          <w:szCs w:val="24"/>
        </w:rPr>
        <w:t>time profiles by treatment group over time (PKFS)</w:t>
      </w:r>
      <w:r>
        <w:rPr>
          <w:rFonts w:ascii="Times New Roman" w:hAnsi="Times New Roman" w:cs="Times New Roman"/>
          <w:sz w:val="24"/>
          <w:szCs w:val="24"/>
        </w:rPr>
        <w:t>.</w:t>
      </w:r>
    </w:p>
    <w:bookmarkEnd w:id="2"/>
    <w:p w:rsidR="000253B5" w:rsidRPr="005B7CAB" w:rsidRDefault="000253B5" w:rsidP="000253B5">
      <w:pPr>
        <w:keepNext/>
        <w:keepLines/>
        <w:spacing w:after="0" w:line="480" w:lineRule="auto"/>
        <w:rPr>
          <w:rFonts w:ascii="Times New Roman" w:hAnsi="Times New Roman" w:cs="Times New Roman"/>
          <w:sz w:val="24"/>
          <w:szCs w:val="24"/>
        </w:rPr>
      </w:pPr>
      <w:r>
        <w:rPr>
          <w:rFonts w:ascii="Times New Roman" w:hAnsi="Times New Roman" w:cs="Times New Roman"/>
          <w:noProof/>
          <w:lang w:val="en-GB" w:eastAsia="en-GB"/>
        </w:rPr>
        <w:drawing>
          <wp:inline distT="0" distB="0" distL="0" distR="0" wp14:anchorId="1F475338" wp14:editId="0E505E25">
            <wp:extent cx="5727700" cy="4295775"/>
            <wp:effectExtent l="0" t="0" r="6350" b="9525"/>
            <wp:docPr id="11" name="Picture 11" descr="Suppl Fig S1_1297_3 VOLTAIRE-RA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Suppl Fig S1_1297_3 VOLTAIRE-RA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r>
        <w:rPr>
          <w:rFonts w:ascii="Times New Roman" w:hAnsi="Times New Roman" w:cs="Times New Roman"/>
          <w:noProof/>
          <w:lang w:val="en-GB" w:eastAsia="en-GB"/>
        </w:rPr>
        <w:drawing>
          <wp:inline distT="0" distB="0" distL="0" distR="0" wp14:anchorId="3C3859E7" wp14:editId="58DDD00D">
            <wp:extent cx="5779770" cy="3321050"/>
            <wp:effectExtent l="0" t="0" r="0" b="0"/>
            <wp:docPr id="9" name="Picture 9" descr="Suppl Fig S2_1297_3 VOLTAIRE-RA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uppl Fig S2_1297_3 VOLTAIRE-RAExt"/>
                    <pic:cNvPicPr>
                      <a:picLocks noChangeAspect="1" noChangeArrowheads="1"/>
                    </pic:cNvPicPr>
                  </pic:nvPicPr>
                  <pic:blipFill>
                    <a:blip r:embed="rId5">
                      <a:extLst>
                        <a:ext uri="{28A0092B-C50C-407E-A947-70E740481C1C}">
                          <a14:useLocalDpi xmlns:a14="http://schemas.microsoft.com/office/drawing/2010/main" val="0"/>
                        </a:ext>
                      </a:extLst>
                    </a:blip>
                    <a:srcRect l="4967" t="21286" r="1807" b="7228"/>
                    <a:stretch>
                      <a:fillRect/>
                    </a:stretch>
                  </pic:blipFill>
                  <pic:spPr bwMode="auto">
                    <a:xfrm>
                      <a:off x="0" y="0"/>
                      <a:ext cx="5779770" cy="3321050"/>
                    </a:xfrm>
                    <a:prstGeom prst="rect">
                      <a:avLst/>
                    </a:prstGeom>
                    <a:noFill/>
                    <a:ln>
                      <a:noFill/>
                    </a:ln>
                  </pic:spPr>
                </pic:pic>
              </a:graphicData>
            </a:graphic>
          </wp:inline>
        </w:drawing>
      </w:r>
    </w:p>
    <w:p w:rsidR="000253B5" w:rsidRPr="005B7CAB" w:rsidRDefault="000253B5" w:rsidP="000253B5">
      <w:pPr>
        <w:keepNext/>
        <w:keepLines/>
        <w:spacing w:after="0" w:line="480" w:lineRule="auto"/>
        <w:rPr>
          <w:rFonts w:ascii="Times New Roman" w:hAnsi="Times New Roman" w:cs="Times New Roman"/>
          <w:sz w:val="24"/>
          <w:szCs w:val="24"/>
        </w:rPr>
      </w:pPr>
    </w:p>
    <w:p w:rsidR="000253B5" w:rsidRPr="005B7CAB" w:rsidRDefault="000253B5" w:rsidP="000253B5">
      <w:pPr>
        <w:keepNext/>
        <w:keepLines/>
        <w:spacing w:after="0" w:line="480" w:lineRule="auto"/>
        <w:rPr>
          <w:rFonts w:ascii="Times New Roman" w:hAnsi="Times New Roman" w:cs="Times New Roman"/>
          <w:sz w:val="24"/>
          <w:szCs w:val="24"/>
        </w:rPr>
      </w:pPr>
      <w:r w:rsidRPr="005B7CAB">
        <w:rPr>
          <w:rFonts w:ascii="Times New Roman" w:hAnsi="Times New Roman" w:cs="Times New Roman"/>
          <w:sz w:val="24"/>
          <w:szCs w:val="24"/>
        </w:rPr>
        <w:lastRenderedPageBreak/>
        <w:t>gMean</w:t>
      </w:r>
      <w:r>
        <w:rPr>
          <w:rFonts w:ascii="Times New Roman" w:hAnsi="Times New Roman" w:cs="Times New Roman"/>
          <w:sz w:val="24"/>
          <w:szCs w:val="24"/>
        </w:rPr>
        <w:t>:</w:t>
      </w:r>
      <w:r w:rsidRPr="005B7CAB">
        <w:rPr>
          <w:rFonts w:ascii="Times New Roman" w:hAnsi="Times New Roman" w:cs="Times New Roman"/>
          <w:sz w:val="24"/>
          <w:szCs w:val="24"/>
        </w:rPr>
        <w:t xml:space="preserve"> geometric mean; PKFS</w:t>
      </w:r>
      <w:r>
        <w:rPr>
          <w:rFonts w:ascii="Times New Roman" w:hAnsi="Times New Roman" w:cs="Times New Roman"/>
          <w:sz w:val="24"/>
          <w:szCs w:val="24"/>
        </w:rPr>
        <w:t>:</w:t>
      </w:r>
      <w:r w:rsidRPr="005B7CAB">
        <w:rPr>
          <w:rFonts w:ascii="Times New Roman" w:hAnsi="Times New Roman" w:cs="Times New Roman"/>
          <w:sz w:val="24"/>
          <w:szCs w:val="24"/>
        </w:rPr>
        <w:t xml:space="preserve"> pharmacokinetic full analysis set.</w:t>
      </w:r>
    </w:p>
    <w:p w:rsidR="000253B5" w:rsidRPr="005B7CAB" w:rsidRDefault="000253B5" w:rsidP="000253B5">
      <w:pPr>
        <w:rPr>
          <w:rFonts w:ascii="Times New Roman" w:hAnsi="Times New Roman" w:cs="Times New Roman"/>
          <w:sz w:val="24"/>
          <w:szCs w:val="24"/>
        </w:rPr>
      </w:pPr>
      <w:r w:rsidRPr="005B7CAB">
        <w:rPr>
          <w:rFonts w:ascii="Times New Roman" w:hAnsi="Times New Roman" w:cs="Times New Roman"/>
          <w:sz w:val="24"/>
          <w:szCs w:val="24"/>
        </w:rPr>
        <w:br w:type="page"/>
      </w:r>
    </w:p>
    <w:p w:rsidR="000253B5" w:rsidRPr="005B7CAB" w:rsidRDefault="000253B5" w:rsidP="000253B5">
      <w:pPr>
        <w:spacing w:after="0" w:line="480" w:lineRule="auto"/>
        <w:rPr>
          <w:rFonts w:ascii="Times New Roman" w:hAnsi="Times New Roman" w:cs="Times New Roman"/>
        </w:rPr>
      </w:pPr>
      <w:bookmarkStart w:id="3" w:name="_Hlk8986939"/>
      <w:r w:rsidRPr="00C62277">
        <w:rPr>
          <w:rFonts w:ascii="Times New Roman" w:hAnsi="Times New Roman" w:cs="Times New Roman"/>
          <w:b/>
          <w:sz w:val="24"/>
          <w:szCs w:val="24"/>
        </w:rPr>
        <w:lastRenderedPageBreak/>
        <w:t>Figure S3.</w:t>
      </w:r>
      <w:r w:rsidRPr="005B7CAB">
        <w:rPr>
          <w:rFonts w:ascii="Times New Roman" w:hAnsi="Times New Roman" w:cs="Times New Roman"/>
          <w:sz w:val="24"/>
          <w:szCs w:val="24"/>
        </w:rPr>
        <w:t xml:space="preserve"> Drug plasma concentrations per treatment group by ADA tit</w:t>
      </w:r>
      <w:r>
        <w:rPr>
          <w:rFonts w:ascii="Times New Roman" w:hAnsi="Times New Roman" w:cs="Times New Roman"/>
          <w:sz w:val="24"/>
          <w:szCs w:val="24"/>
        </w:rPr>
        <w:t>er</w:t>
      </w:r>
      <w:r w:rsidRPr="005B7CAB">
        <w:rPr>
          <w:rFonts w:ascii="Times New Roman" w:hAnsi="Times New Roman" w:cs="Times New Roman"/>
          <w:sz w:val="24"/>
          <w:szCs w:val="24"/>
        </w:rPr>
        <w:t xml:space="preserve"> groups (FAS)</w:t>
      </w:r>
      <w:r>
        <w:rPr>
          <w:rFonts w:ascii="Times New Roman" w:hAnsi="Times New Roman" w:cs="Times New Roman"/>
          <w:sz w:val="24"/>
          <w:szCs w:val="24"/>
        </w:rPr>
        <w:t>.</w:t>
      </w:r>
      <w:r w:rsidRPr="005B7CAB">
        <w:rPr>
          <w:rFonts w:ascii="Times New Roman" w:hAnsi="Times New Roman" w:cs="Times New Roman"/>
        </w:rPr>
        <w:t xml:space="preserve"> </w:t>
      </w:r>
    </w:p>
    <w:bookmarkEnd w:id="3"/>
    <w:p w:rsidR="000253B5" w:rsidRPr="005B7CAB"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rPr>
        <w:t xml:space="preserve"> </w:t>
      </w:r>
      <w:bookmarkStart w:id="4" w:name="_GoBack"/>
      <w:r>
        <w:rPr>
          <w:rFonts w:ascii="Times New Roman" w:hAnsi="Times New Roman" w:cs="Times New Roman"/>
          <w:noProof/>
          <w:lang w:val="en-GB" w:eastAsia="en-GB"/>
        </w:rPr>
        <w:drawing>
          <wp:inline distT="0" distB="0" distL="0" distR="0" wp14:anchorId="50837A75" wp14:editId="5EFDBE62">
            <wp:extent cx="5478449" cy="4108837"/>
            <wp:effectExtent l="0" t="0" r="8255" b="6350"/>
            <wp:docPr id="8" name="Picture 8" descr="Suppl Fig S2_1297_3 VOLTAIRE-RA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uppl Fig S2_1297_3 VOLTAIRE-RA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1400" cy="4118550"/>
                    </a:xfrm>
                    <a:prstGeom prst="rect">
                      <a:avLst/>
                    </a:prstGeom>
                    <a:noFill/>
                    <a:ln>
                      <a:noFill/>
                    </a:ln>
                  </pic:spPr>
                </pic:pic>
              </a:graphicData>
            </a:graphic>
          </wp:inline>
        </w:drawing>
      </w:r>
      <w:bookmarkEnd w:id="4"/>
      <w:r>
        <w:rPr>
          <w:rFonts w:ascii="Times New Roman" w:hAnsi="Times New Roman" w:cs="Times New Roman"/>
          <w:noProof/>
          <w:lang w:val="en-GB" w:eastAsia="en-GB"/>
        </w:rPr>
        <w:drawing>
          <wp:inline distT="0" distB="0" distL="0" distR="0" wp14:anchorId="477D9450" wp14:editId="37AF8B51">
            <wp:extent cx="5857240" cy="3778250"/>
            <wp:effectExtent l="0" t="0" r="0" b="0"/>
            <wp:docPr id="7" name="Picture 7" descr="Suppl Fig S3_1297_3 VOLTAIRE-RA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uppl Fig S3_1297_3 VOLTAIRE-RAExt"/>
                    <pic:cNvPicPr>
                      <a:picLocks noChangeAspect="1" noChangeArrowheads="1"/>
                    </pic:cNvPicPr>
                  </pic:nvPicPr>
                  <pic:blipFill>
                    <a:blip r:embed="rId6">
                      <a:extLst>
                        <a:ext uri="{28A0092B-C50C-407E-A947-70E740481C1C}">
                          <a14:useLocalDpi xmlns:a14="http://schemas.microsoft.com/office/drawing/2010/main" val="0"/>
                        </a:ext>
                      </a:extLst>
                    </a:blip>
                    <a:srcRect l="2861" t="13658" r="2106" b="4626"/>
                    <a:stretch>
                      <a:fillRect/>
                    </a:stretch>
                  </pic:blipFill>
                  <pic:spPr bwMode="auto">
                    <a:xfrm>
                      <a:off x="0" y="0"/>
                      <a:ext cx="5857240" cy="3778250"/>
                    </a:xfrm>
                    <a:prstGeom prst="rect">
                      <a:avLst/>
                    </a:prstGeom>
                    <a:noFill/>
                    <a:ln>
                      <a:noFill/>
                    </a:ln>
                  </pic:spPr>
                </pic:pic>
              </a:graphicData>
            </a:graphic>
          </wp:inline>
        </w:drawing>
      </w:r>
    </w:p>
    <w:p w:rsidR="000253B5" w:rsidRPr="005B7CAB"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sz w:val="24"/>
          <w:szCs w:val="24"/>
        </w:rPr>
        <w:t>* End of treatment was at week 98; vertical arrow indicates end of treatment.</w:t>
      </w:r>
    </w:p>
    <w:p w:rsidR="000253B5" w:rsidRDefault="000253B5" w:rsidP="000253B5">
      <w:pPr>
        <w:spacing w:after="0" w:line="480" w:lineRule="auto"/>
        <w:rPr>
          <w:rFonts w:ascii="Times New Roman" w:hAnsi="Times New Roman" w:cs="Times New Roman"/>
          <w:sz w:val="24"/>
          <w:szCs w:val="24"/>
        </w:rPr>
      </w:pPr>
      <w:r w:rsidRPr="005B7CAB">
        <w:rPr>
          <w:rFonts w:ascii="Times New Roman" w:hAnsi="Times New Roman" w:cs="Times New Roman"/>
          <w:sz w:val="24"/>
          <w:szCs w:val="24"/>
        </w:rPr>
        <w:lastRenderedPageBreak/>
        <w:t>ADA</w:t>
      </w:r>
      <w:r>
        <w:rPr>
          <w:rFonts w:ascii="Times New Roman" w:hAnsi="Times New Roman" w:cs="Times New Roman"/>
          <w:sz w:val="24"/>
          <w:szCs w:val="24"/>
        </w:rPr>
        <w:t>:</w:t>
      </w:r>
      <w:r w:rsidRPr="005B7CAB">
        <w:rPr>
          <w:rFonts w:ascii="Times New Roman" w:hAnsi="Times New Roman" w:cs="Times New Roman"/>
          <w:sz w:val="24"/>
          <w:szCs w:val="24"/>
        </w:rPr>
        <w:t xml:space="preserve"> anti</w:t>
      </w:r>
      <w:r>
        <w:rPr>
          <w:rFonts w:ascii="Times New Roman" w:hAnsi="Times New Roman" w:cs="Times New Roman"/>
          <w:sz w:val="24"/>
          <w:szCs w:val="24"/>
        </w:rPr>
        <w:t>drug</w:t>
      </w:r>
      <w:r w:rsidRPr="005B7CAB">
        <w:rPr>
          <w:rFonts w:ascii="Times New Roman" w:hAnsi="Times New Roman" w:cs="Times New Roman"/>
          <w:sz w:val="24"/>
          <w:szCs w:val="24"/>
        </w:rPr>
        <w:t xml:space="preserve"> antibody; FAS</w:t>
      </w:r>
      <w:r>
        <w:rPr>
          <w:rFonts w:ascii="Times New Roman" w:hAnsi="Times New Roman" w:cs="Times New Roman"/>
          <w:sz w:val="24"/>
          <w:szCs w:val="24"/>
        </w:rPr>
        <w:t>:</w:t>
      </w:r>
      <w:r w:rsidRPr="005B7CAB">
        <w:rPr>
          <w:rFonts w:ascii="Times New Roman" w:hAnsi="Times New Roman" w:cs="Times New Roman"/>
          <w:sz w:val="24"/>
          <w:szCs w:val="24"/>
        </w:rPr>
        <w:t xml:space="preserve"> full analysis set; </w:t>
      </w:r>
      <w:r w:rsidRPr="00C62277">
        <w:rPr>
          <w:rFonts w:ascii="Times New Roman" w:hAnsi="Times New Roman" w:cs="Times New Roman"/>
          <w:i/>
          <w:sz w:val="24"/>
          <w:szCs w:val="24"/>
        </w:rPr>
        <w:t>N</w:t>
      </w:r>
      <w:r>
        <w:rPr>
          <w:rFonts w:ascii="Times New Roman" w:hAnsi="Times New Roman" w:cs="Times New Roman"/>
          <w:sz w:val="24"/>
          <w:szCs w:val="24"/>
        </w:rPr>
        <w:t>:</w:t>
      </w:r>
      <w:r w:rsidRPr="005B7CAB">
        <w:rPr>
          <w:rFonts w:ascii="Times New Roman" w:hAnsi="Times New Roman" w:cs="Times New Roman"/>
          <w:sz w:val="24"/>
          <w:szCs w:val="24"/>
        </w:rPr>
        <w:t xml:space="preserve"> number of patients in the analysis set; </w:t>
      </w:r>
      <w:r w:rsidRPr="00C62277">
        <w:rPr>
          <w:rFonts w:ascii="Times New Roman" w:hAnsi="Times New Roman" w:cs="Times New Roman"/>
          <w:i/>
          <w:sz w:val="24"/>
          <w:szCs w:val="24"/>
        </w:rPr>
        <w:t>n</w:t>
      </w:r>
      <w:r>
        <w:rPr>
          <w:rFonts w:ascii="Times New Roman" w:hAnsi="Times New Roman" w:cs="Times New Roman"/>
          <w:sz w:val="24"/>
          <w:szCs w:val="24"/>
        </w:rPr>
        <w:t>:</w:t>
      </w:r>
      <w:r w:rsidRPr="005B7CAB">
        <w:rPr>
          <w:rFonts w:ascii="Times New Roman" w:hAnsi="Times New Roman" w:cs="Times New Roman"/>
          <w:sz w:val="24"/>
          <w:szCs w:val="24"/>
        </w:rPr>
        <w:t xml:space="preserve"> number of patients contributing to at least one non-missing observation</w:t>
      </w:r>
      <w:r>
        <w:rPr>
          <w:rFonts w:ascii="Times New Roman" w:hAnsi="Times New Roman" w:cs="Times New Roman"/>
          <w:sz w:val="24"/>
          <w:szCs w:val="24"/>
        </w:rPr>
        <w:t xml:space="preserve">; </w:t>
      </w:r>
      <w:r w:rsidRPr="005B7CAB">
        <w:rPr>
          <w:rFonts w:ascii="Times New Roman" w:hAnsi="Times New Roman" w:cs="Times New Roman"/>
          <w:sz w:val="24"/>
          <w:szCs w:val="24"/>
        </w:rPr>
        <w:t>Q = quartile.</w:t>
      </w:r>
    </w:p>
    <w:p w:rsidR="000253B5" w:rsidRDefault="000253B5" w:rsidP="000253B5">
      <w:pPr>
        <w:spacing w:after="0" w:line="480" w:lineRule="auto"/>
        <w:rPr>
          <w:rFonts w:ascii="Times New Roman" w:hAnsi="Times New Roman" w:cs="Times New Roman"/>
        </w:rPr>
      </w:pPr>
    </w:p>
    <w:p w:rsidR="007377E5" w:rsidRPr="000253B5" w:rsidRDefault="007377E5" w:rsidP="000253B5"/>
    <w:sectPr w:rsidR="007377E5" w:rsidRPr="000253B5" w:rsidSect="009323CA">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6271443"/>
      <w:docPartObj>
        <w:docPartGallery w:val="Page Numbers (Bottom of Page)"/>
        <w:docPartUnique/>
      </w:docPartObj>
    </w:sdtPr>
    <w:sdtEndPr>
      <w:rPr>
        <w:noProof/>
      </w:rPr>
    </w:sdtEndPr>
    <w:sdtContent>
      <w:p w:rsidR="00D46A1D" w:rsidRPr="005B7CAB" w:rsidRDefault="000253B5" w:rsidP="005B7CAB">
        <w:pPr>
          <w:pStyle w:val="Footer"/>
          <w:jc w:val="center"/>
          <w:rPr>
            <w:rFonts w:ascii="Times New Roman" w:hAnsi="Times New Roman" w:cs="Times New Roman"/>
          </w:rPr>
        </w:pPr>
        <w:r w:rsidRPr="005B7CAB">
          <w:rPr>
            <w:rFonts w:ascii="Times New Roman" w:hAnsi="Times New Roman" w:cs="Times New Roman"/>
          </w:rPr>
          <w:fldChar w:fldCharType="begin"/>
        </w:r>
        <w:r w:rsidRPr="005B7CAB">
          <w:rPr>
            <w:rFonts w:ascii="Times New Roman" w:hAnsi="Times New Roman" w:cs="Times New Roman"/>
          </w:rPr>
          <w:instrText xml:space="preserve"> PAGE   \* MERGEFORMAT </w:instrText>
        </w:r>
        <w:r w:rsidRPr="005B7CAB">
          <w:rPr>
            <w:rFonts w:ascii="Times New Roman" w:hAnsi="Times New Roman" w:cs="Times New Roman"/>
          </w:rPr>
          <w:fldChar w:fldCharType="separate"/>
        </w:r>
        <w:r>
          <w:rPr>
            <w:rFonts w:ascii="Times New Roman" w:hAnsi="Times New Roman" w:cs="Times New Roman"/>
            <w:noProof/>
          </w:rPr>
          <w:t>10</w:t>
        </w:r>
        <w:r w:rsidRPr="005B7CAB">
          <w:rPr>
            <w:rFonts w:ascii="Times New Roman" w:hAnsi="Times New Roman" w:cs="Times New Roman"/>
            <w:noProof/>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B5"/>
    <w:rsid w:val="000253B5"/>
    <w:rsid w:val="000336FB"/>
    <w:rsid w:val="0003684F"/>
    <w:rsid w:val="006148C9"/>
    <w:rsid w:val="007377E5"/>
    <w:rsid w:val="007E2EEF"/>
    <w:rsid w:val="00B16F5F"/>
    <w:rsid w:val="00C00AB5"/>
    <w:rsid w:val="00D6685F"/>
    <w:rsid w:val="00DC268F"/>
    <w:rsid w:val="00EF4C9F"/>
    <w:rsid w:val="00F55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1F7CB-C2E6-4B65-B033-C02D011F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B5"/>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3B5"/>
    <w:pPr>
      <w:ind w:left="720"/>
      <w:contextualSpacing/>
    </w:pPr>
  </w:style>
  <w:style w:type="paragraph" w:styleId="Footer">
    <w:name w:val="footer"/>
    <w:basedOn w:val="Normal"/>
    <w:link w:val="FooterChar"/>
    <w:uiPriority w:val="99"/>
    <w:unhideWhenUsed/>
    <w:rsid w:val="000253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3B5"/>
    <w:rPr>
      <w:rFonts w:eastAsiaTheme="minorEastAsia"/>
      <w:lang w:val="en-US" w:eastAsia="ja-JP"/>
    </w:rPr>
  </w:style>
  <w:style w:type="table" w:styleId="TableGrid">
    <w:name w:val="Table Grid"/>
    <w:basedOn w:val="TableNormal"/>
    <w:uiPriority w:val="39"/>
    <w:rsid w:val="000253B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Ashfield Healthcare</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South</dc:creator>
  <cp:keywords/>
  <dc:description/>
  <cp:lastModifiedBy>Tracy South</cp:lastModifiedBy>
  <cp:revision>1</cp:revision>
  <dcterms:created xsi:type="dcterms:W3CDTF">2019-06-18T14:33:00Z</dcterms:created>
  <dcterms:modified xsi:type="dcterms:W3CDTF">2019-06-18T14:33:00Z</dcterms:modified>
</cp:coreProperties>
</file>