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B67" w:rsidRPr="00135B67" w:rsidRDefault="00135B67" w:rsidP="00135B67">
      <w:pPr>
        <w:jc w:val="center"/>
      </w:pPr>
      <w:r w:rsidRPr="00135B67">
        <w:rPr>
          <w:b/>
          <w:bCs/>
        </w:rPr>
        <w:t>Supplementary material for</w:t>
      </w:r>
    </w:p>
    <w:p w:rsidR="00135B67" w:rsidRPr="00135B67" w:rsidRDefault="00135B67" w:rsidP="00135B67">
      <w:pPr>
        <w:jc w:val="center"/>
      </w:pPr>
      <w:r w:rsidRPr="00135B67">
        <w:rPr>
          <w:b/>
          <w:bCs/>
        </w:rPr>
        <w:t>“</w:t>
      </w:r>
      <w:r w:rsidR="00B95B81" w:rsidRPr="00B95B81">
        <w:rPr>
          <w:b/>
          <w:bCs/>
        </w:rPr>
        <w:t>Alternatively spliced variants of the 5’-UTR of the ARPC2 mRNA regulate translation by an internal ribosome entry site (IRES) element harboring a guanine-quadruplex motif</w:t>
      </w:r>
      <w:r w:rsidRPr="00135B67">
        <w:rPr>
          <w:b/>
          <w:bCs/>
        </w:rPr>
        <w:t>”</w:t>
      </w:r>
    </w:p>
    <w:p w:rsidR="00135B67" w:rsidRPr="00135B67" w:rsidRDefault="00135B67" w:rsidP="00135B67">
      <w:r w:rsidRPr="00135B67">
        <w:t> </w:t>
      </w:r>
    </w:p>
    <w:p w:rsidR="00135B67" w:rsidRPr="00EF2190" w:rsidRDefault="00135B67" w:rsidP="00135B67">
      <w:pPr>
        <w:jc w:val="center"/>
        <w:rPr>
          <w:lang w:val="de-DE"/>
        </w:rPr>
      </w:pPr>
      <w:r w:rsidRPr="00EF2190">
        <w:rPr>
          <w:lang w:val="de-DE"/>
        </w:rPr>
        <w:t>Munir A. Al-Zeer</w:t>
      </w:r>
      <w:r w:rsidRPr="00EF2190">
        <w:rPr>
          <w:vertAlign w:val="superscript"/>
          <w:lang w:val="de-DE"/>
        </w:rPr>
        <w:t>1</w:t>
      </w:r>
      <w:r w:rsidRPr="00EF2190">
        <w:rPr>
          <w:lang w:val="de-DE"/>
        </w:rPr>
        <w:t xml:space="preserve">; Mariola Dutkiewicz </w:t>
      </w:r>
      <w:r w:rsidRPr="00EF2190">
        <w:rPr>
          <w:vertAlign w:val="superscript"/>
          <w:lang w:val="de-DE"/>
        </w:rPr>
        <w:t>2</w:t>
      </w:r>
      <w:r w:rsidRPr="00EF2190">
        <w:rPr>
          <w:lang w:val="de-DE"/>
        </w:rPr>
        <w:t>; Annekathrin von Hacht</w:t>
      </w:r>
      <w:r w:rsidRPr="00EF2190">
        <w:rPr>
          <w:vertAlign w:val="superscript"/>
          <w:lang w:val="de-DE"/>
        </w:rPr>
        <w:t>1</w:t>
      </w:r>
      <w:r w:rsidR="0082309E">
        <w:rPr>
          <w:lang w:val="de-DE"/>
        </w:rPr>
        <w:t>; Denise Kreu</w:t>
      </w:r>
      <w:r w:rsidRPr="00EF2190">
        <w:rPr>
          <w:lang w:val="de-DE"/>
        </w:rPr>
        <w:t>zmann</w:t>
      </w:r>
      <w:r w:rsidRPr="00EF2190">
        <w:rPr>
          <w:vertAlign w:val="superscript"/>
          <w:lang w:val="de-DE"/>
        </w:rPr>
        <w:t>1</w:t>
      </w:r>
      <w:r w:rsidRPr="00EF2190">
        <w:rPr>
          <w:lang w:val="de-DE"/>
        </w:rPr>
        <w:t>; Viola Röhrs</w:t>
      </w:r>
      <w:r w:rsidRPr="00EF2190">
        <w:rPr>
          <w:vertAlign w:val="superscript"/>
          <w:lang w:val="de-DE"/>
        </w:rPr>
        <w:t>1</w:t>
      </w:r>
      <w:r w:rsidRPr="00EF2190">
        <w:rPr>
          <w:lang w:val="de-DE"/>
        </w:rPr>
        <w:t>; Jens Kurreck</w:t>
      </w:r>
      <w:r w:rsidRPr="00EF2190">
        <w:rPr>
          <w:vertAlign w:val="superscript"/>
          <w:lang w:val="de-DE"/>
        </w:rPr>
        <w:t>1,</w:t>
      </w:r>
      <w:r w:rsidRPr="00EF2190">
        <w:rPr>
          <w:lang w:val="de-DE"/>
        </w:rPr>
        <w:t>*</w:t>
      </w:r>
    </w:p>
    <w:p w:rsidR="00135B67" w:rsidRPr="00EF2190" w:rsidRDefault="00B754FD" w:rsidP="00135B67">
      <w:pPr>
        <w:rPr>
          <w:lang w:val="de-DE"/>
        </w:rPr>
      </w:pPr>
      <w:r w:rsidRPr="00135B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A4A1907" wp14:editId="37AF10F6">
                <wp:simplePos x="0" y="0"/>
                <wp:positionH relativeFrom="column">
                  <wp:posOffset>1270</wp:posOffset>
                </wp:positionH>
                <wp:positionV relativeFrom="paragraph">
                  <wp:posOffset>150404</wp:posOffset>
                </wp:positionV>
                <wp:extent cx="243205" cy="1811020"/>
                <wp:effectExtent l="0" t="0" r="0" b="0"/>
                <wp:wrapNone/>
                <wp:docPr id="7" name="Textfel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5CC83F-4D16-474D-B0D1-E02FAC0E72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3205" cy="1811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5B67" w:rsidRDefault="00135B67" w:rsidP="00135B6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A4A1907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.1pt;margin-top:11.85pt;width:19.15pt;height:142.6pt;rotation:180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" filled="f" stroked="f">
                <v:textbox>
                  <w:txbxContent>
                    <w:p w:rsidR="00135B67" w:rsidRDefault="00135B67" w:rsidP="00135B6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35B67" w:rsidRPr="00135B67" w:rsidRDefault="00B95B81" w:rsidP="00B95B81">
      <w:pPr>
        <w:jc w:val="center"/>
        <w:rPr>
          <w:lang w:val="de-DE"/>
        </w:rPr>
      </w:pPr>
      <w:r w:rsidRPr="00135B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731A8" wp14:editId="2008BAEC">
                <wp:simplePos x="0" y="0"/>
                <wp:positionH relativeFrom="column">
                  <wp:posOffset>635</wp:posOffset>
                </wp:positionH>
                <wp:positionV relativeFrom="paragraph">
                  <wp:posOffset>1550035</wp:posOffset>
                </wp:positionV>
                <wp:extent cx="311150" cy="370205"/>
                <wp:effectExtent l="0" t="0" r="0" b="0"/>
                <wp:wrapNone/>
                <wp:docPr id="3" name="Textfeld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5B67" w:rsidRDefault="00135B67" w:rsidP="00135B6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0731A8" id="Textfeld 10" o:spid="_x0000_s1027" type="#_x0000_t202" style="position:absolute;left:0;text-align:left;margin-left:.05pt;margin-top:122.05pt;width:24.5pt;height:29.1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" filled="f" stroked="f">
                <v:textbox style="mso-fit-shape-to-text:t">
                  <w:txbxContent>
                    <w:p w:rsidR="00135B67" w:rsidRDefault="00135B67" w:rsidP="00135B6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720D9EA1" wp14:editId="0F8B699F">
            <wp:extent cx="3901200" cy="1422400"/>
            <wp:effectExtent l="0" t="0" r="444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85" t="42981" r="24742" b="34674"/>
                    <a:stretch/>
                  </pic:blipFill>
                  <pic:spPr bwMode="auto">
                    <a:xfrm>
                      <a:off x="0" y="0"/>
                      <a:ext cx="3930294" cy="143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:rsidR="00B95B81" w:rsidRPr="00525DD9" w:rsidRDefault="00B95B81" w:rsidP="00B95B81">
      <w:pPr>
        <w:jc w:val="center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63356CC" wp14:editId="6750CA0B">
            <wp:extent cx="3398416" cy="129963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03" t="55392" r="35255" b="23571"/>
                    <a:stretch/>
                  </pic:blipFill>
                  <pic:spPr bwMode="auto">
                    <a:xfrm>
                      <a:off x="0" y="0"/>
                      <a:ext cx="3431322" cy="131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:rsidR="00135B67" w:rsidRDefault="00135B67" w:rsidP="00661118">
      <w:pPr>
        <w:jc w:val="both"/>
      </w:pPr>
      <w:r w:rsidRPr="00135B67">
        <w:t>F</w:t>
      </w:r>
      <w:r w:rsidR="00C43EB7">
        <w:t>igure</w:t>
      </w:r>
      <w:r w:rsidRPr="00135B67">
        <w:t xml:space="preserve"> S1. (A) Schematic </w:t>
      </w:r>
      <w:r w:rsidR="00106D8E">
        <w:t>representation of alternatively spliced</w:t>
      </w:r>
      <w:r w:rsidRPr="00135B67">
        <w:t xml:space="preserve"> ARPC2 5</w:t>
      </w:r>
      <w:r w:rsidR="000C4DD4">
        <w:t>’-</w:t>
      </w:r>
      <w:r w:rsidRPr="00135B67">
        <w:t>UTR</w:t>
      </w:r>
      <w:r w:rsidR="0087736A">
        <w:t>s</w:t>
      </w:r>
      <w:r w:rsidRPr="00135B67">
        <w:t xml:space="preserve">: </w:t>
      </w:r>
      <w:r w:rsidR="0087736A">
        <w:t>O</w:t>
      </w:r>
      <w:r w:rsidRPr="00135B67">
        <w:t xml:space="preserve">ne splice variant </w:t>
      </w:r>
      <w:r w:rsidR="00DF741C">
        <w:t xml:space="preserve">(ARPC2 </w:t>
      </w:r>
      <w:r w:rsidR="00095CE6">
        <w:t>5’-UTR1</w:t>
      </w:r>
      <w:r w:rsidR="00DF741C">
        <w:t xml:space="preserve">) </w:t>
      </w:r>
      <w:r w:rsidR="0087736A">
        <w:t>contains a G-rich sequence with the potential to form a G-quadruplex,</w:t>
      </w:r>
      <w:r w:rsidRPr="00135B67">
        <w:t xml:space="preserve"> while the other splice variant </w:t>
      </w:r>
      <w:r w:rsidR="0087736A">
        <w:t>lacks this sequence</w:t>
      </w:r>
      <w:r w:rsidR="00DF741C">
        <w:t xml:space="preserve"> (ARPC2 </w:t>
      </w:r>
      <w:r w:rsidR="00095CE6">
        <w:t>5’-</w:t>
      </w:r>
      <w:r w:rsidR="00DF741C">
        <w:t>UTR2)</w:t>
      </w:r>
      <w:r w:rsidRPr="00135B67">
        <w:t xml:space="preserve">. (B) Both </w:t>
      </w:r>
      <w:r w:rsidR="000C4DD4">
        <w:t>5’-</w:t>
      </w:r>
      <w:r w:rsidRPr="00135B67">
        <w:t xml:space="preserve">UTR variants are expressed in HEK 293 cells </w:t>
      </w:r>
      <w:r w:rsidR="0087736A">
        <w:t>as demonstrated by</w:t>
      </w:r>
      <w:r w:rsidRPr="00135B67">
        <w:t xml:space="preserve"> RT-PCR</w:t>
      </w:r>
      <w:r w:rsidR="007656DB">
        <w:t xml:space="preserve"> (+: including reverse transcription prior to PCR; -: no reverse transcription)</w:t>
      </w:r>
      <w:r w:rsidRPr="00135B67">
        <w:t>.</w:t>
      </w:r>
    </w:p>
    <w:p w:rsidR="00D90BD6" w:rsidRPr="00EE78C3" w:rsidRDefault="00D90BD6" w:rsidP="00051C4C">
      <w:pPr>
        <w:spacing w:after="0"/>
        <w:rPr>
          <w:lang w:val="en-CA"/>
        </w:rPr>
      </w:pPr>
    </w:p>
    <w:p w:rsidR="00135B67" w:rsidRDefault="00051C4C" w:rsidP="00051C4C">
      <w:pPr>
        <w:spacing w:after="0"/>
      </w:pPr>
      <w:r>
        <w:t>The following primers were used for the PCR reactions:</w:t>
      </w:r>
    </w:p>
    <w:p w:rsidR="00051C4C" w:rsidRDefault="00051C4C" w:rsidP="00051C4C">
      <w:pPr>
        <w:spacing w:after="0"/>
      </w:pPr>
      <w:r>
        <w:t>ARPC2 GQ-UTR fw: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GTGGGTGTGAGAGCGGAAGTG</w:t>
      </w:r>
    </w:p>
    <w:p w:rsidR="00051C4C" w:rsidRDefault="00051C4C" w:rsidP="00051C4C">
      <w:pPr>
        <w:spacing w:after="0"/>
      </w:pPr>
      <w:r>
        <w:t>ARPC2 GQ-UTR rev: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GCCTGAACCCGCCTGC</w:t>
      </w:r>
    </w:p>
    <w:p w:rsidR="00051C4C" w:rsidRDefault="00051C4C" w:rsidP="00051C4C">
      <w:pPr>
        <w:spacing w:after="0"/>
      </w:pPr>
      <w:r>
        <w:t>ARPC2 GQ-UTR2 fw: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CTCCCTTACCCACCCTCACC</w:t>
      </w:r>
    </w:p>
    <w:p w:rsidR="00051C4C" w:rsidRDefault="00051C4C" w:rsidP="00051C4C">
      <w:pPr>
        <w:spacing w:after="0"/>
      </w:pPr>
      <w:r>
        <w:t>ARPC2 GQ-UTR2 rev: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ACTGCTTCCGGTTTGTTTCC</w:t>
      </w:r>
    </w:p>
    <w:p w:rsidR="00051C4C" w:rsidRDefault="00051C4C" w:rsidP="00051C4C">
      <w:pPr>
        <w:spacing w:after="0"/>
      </w:pPr>
      <w:r>
        <w:t>ARPC2 CDR fw: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AGAAGAGGGCAAGGAAGGAG</w:t>
      </w:r>
    </w:p>
    <w:p w:rsidR="00051C4C" w:rsidRDefault="00051C4C" w:rsidP="00E401BD">
      <w:pPr>
        <w:spacing w:after="0"/>
      </w:pPr>
      <w:r>
        <w:t>ARPC2 CDR rev:</w:t>
      </w:r>
      <w:r w:rsidRPr="00051C4C">
        <w:t xml:space="preserve"> </w:t>
      </w:r>
      <w:r>
        <w:t xml:space="preserve"> </w:t>
      </w:r>
      <w:r w:rsidR="00621145">
        <w:tab/>
      </w:r>
      <w:r w:rsidRPr="00621145">
        <w:rPr>
          <w:rFonts w:ascii="Times New Roman" w:hAnsi="Times New Roman" w:cs="Times New Roman"/>
        </w:rPr>
        <w:t>TGGCTAAAGAGGACCTGTGG</w:t>
      </w:r>
      <w:r>
        <w:br w:type="page"/>
      </w:r>
    </w:p>
    <w:p w:rsidR="00135B67" w:rsidRPr="00135B67" w:rsidRDefault="00135B67" w:rsidP="00135B67"/>
    <w:p w:rsidR="00135B67" w:rsidRDefault="00135B67">
      <w:pPr>
        <w:rPr>
          <w:sz w:val="48"/>
          <w:szCs w:val="48"/>
        </w:rPr>
      </w:pPr>
      <w:r w:rsidRPr="00135B67">
        <w:rPr>
          <w:noProof/>
          <w:lang w:val="de-DE" w:eastAsia="de-DE"/>
        </w:rPr>
        <w:drawing>
          <wp:anchor distT="0" distB="0" distL="114300" distR="114300" simplePos="0" relativeHeight="251653632" behindDoc="0" locked="0" layoutInCell="1" allowOverlap="1" wp14:anchorId="004BC3FB" wp14:editId="75AA2A94">
            <wp:simplePos x="0" y="0"/>
            <wp:positionH relativeFrom="column">
              <wp:posOffset>1272623</wp:posOffset>
            </wp:positionH>
            <wp:positionV relativeFrom="paragraph">
              <wp:posOffset>6350</wp:posOffset>
            </wp:positionV>
            <wp:extent cx="3409683" cy="2059167"/>
            <wp:effectExtent l="0" t="0" r="635" b="0"/>
            <wp:wrapNone/>
            <wp:docPr id="5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AA9CE4D9-7C6A-402F-B252-510F117E5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AA9CE4D9-7C6A-402F-B252-510F117E5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683" cy="205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  <w:r w:rsidR="00BF2F51">
        <w:rPr>
          <w:sz w:val="48"/>
          <w:szCs w:val="48"/>
        </w:rPr>
        <w:tab/>
      </w:r>
    </w:p>
    <w:p w:rsidR="00135B67" w:rsidRPr="00135B67" w:rsidRDefault="00135B67" w:rsidP="00135B67">
      <w:pPr>
        <w:rPr>
          <w:sz w:val="48"/>
          <w:szCs w:val="48"/>
        </w:rPr>
      </w:pPr>
    </w:p>
    <w:p w:rsidR="00135B67" w:rsidRPr="00135B67" w:rsidRDefault="00135B67" w:rsidP="00135B67">
      <w:pPr>
        <w:rPr>
          <w:sz w:val="48"/>
          <w:szCs w:val="48"/>
        </w:rPr>
      </w:pPr>
    </w:p>
    <w:p w:rsidR="00135B67" w:rsidRPr="00135B67" w:rsidRDefault="00135B67" w:rsidP="00135B67">
      <w:pPr>
        <w:rPr>
          <w:sz w:val="48"/>
          <w:szCs w:val="48"/>
        </w:rPr>
      </w:pPr>
    </w:p>
    <w:p w:rsidR="00BF2F51" w:rsidRPr="00135B67" w:rsidRDefault="00C43EB7" w:rsidP="00EE78C3">
      <w:pPr>
        <w:jc w:val="both"/>
        <w:rPr>
          <w:sz w:val="48"/>
          <w:szCs w:val="48"/>
        </w:rPr>
      </w:pPr>
      <w:r>
        <w:t>Figure</w:t>
      </w:r>
      <w:r w:rsidR="00135B67" w:rsidRPr="00135B67">
        <w:t xml:space="preserve"> S2. Monolayers of HEK293 cells were treated with rapamy</w:t>
      </w:r>
      <w:r w:rsidR="00661118">
        <w:t>cin for 24 h</w:t>
      </w:r>
      <w:r w:rsidR="00135B67" w:rsidRPr="00135B67">
        <w:t xml:space="preserve"> before measuring lactate dehydrogenase (LDH) released into the medium as a measure of cell toxicity. LDH release was measured with the LDH </w:t>
      </w:r>
      <w:r w:rsidR="00525DD9">
        <w:t>D</w:t>
      </w:r>
      <w:r w:rsidR="00135B67" w:rsidRPr="00135B67">
        <w:t xml:space="preserve">etection </w:t>
      </w:r>
      <w:r w:rsidR="00525DD9">
        <w:t>K</w:t>
      </w:r>
      <w:r w:rsidR="00135B67" w:rsidRPr="00135B67">
        <w:t>it (Roche, Grenzach, Germany), according to the manufacturer´s instructions</w:t>
      </w:r>
      <w:r w:rsidR="00661118">
        <w:t>. The a</w:t>
      </w:r>
      <w:r w:rsidR="00135B67" w:rsidRPr="00135B67">
        <w:t>bsorbance</w:t>
      </w:r>
      <w:r w:rsidR="00661118">
        <w:t xml:space="preserve"> was measured</w:t>
      </w:r>
      <w:r w:rsidR="00135B67" w:rsidRPr="00135B67">
        <w:t xml:space="preserve"> at A492 nm with a reference of A620 nm</w:t>
      </w:r>
      <w:r w:rsidR="00661118">
        <w:t xml:space="preserve"> with </w:t>
      </w:r>
      <w:r w:rsidR="0077401C">
        <w:t xml:space="preserve">the </w:t>
      </w:r>
      <w:r w:rsidR="00135B67" w:rsidRPr="00135B67">
        <w:t xml:space="preserve">Sunrise </w:t>
      </w:r>
      <w:r w:rsidR="0077401C">
        <w:t>A</w:t>
      </w:r>
      <w:r w:rsidR="00135B67" w:rsidRPr="00135B67">
        <w:t xml:space="preserve">bsorbance </w:t>
      </w:r>
      <w:r w:rsidR="0077401C">
        <w:t>M</w:t>
      </w:r>
      <w:r w:rsidR="00135B67" w:rsidRPr="00135B67">
        <w:t xml:space="preserve">icroplate </w:t>
      </w:r>
      <w:r w:rsidR="0077401C">
        <w:t>R</w:t>
      </w:r>
      <w:r w:rsidR="00135B67" w:rsidRPr="00135B67">
        <w:t>eader</w:t>
      </w:r>
      <w:r w:rsidR="00661118">
        <w:t xml:space="preserve"> (</w:t>
      </w:r>
      <w:r w:rsidR="00135B67" w:rsidRPr="00135B67">
        <w:t>Tecan</w:t>
      </w:r>
      <w:r w:rsidR="00D5419C">
        <w:t xml:space="preserve">, </w:t>
      </w:r>
      <w:r w:rsidR="00D5419C">
        <w:rPr>
          <w:rFonts w:ascii="Arial" w:hAnsi="Arial" w:cs="Arial"/>
          <w:sz w:val="20"/>
          <w:szCs w:val="20"/>
        </w:rPr>
        <w:t>Männedorf, Switzerland</w:t>
      </w:r>
      <w:r w:rsidR="00135B67" w:rsidRPr="00135B67">
        <w:t xml:space="preserve">). </w:t>
      </w:r>
      <w:r w:rsidR="004147AC">
        <w:t xml:space="preserve">Values </w:t>
      </w:r>
      <w:r w:rsidR="00EF2190">
        <w:t>were</w:t>
      </w:r>
      <w:r w:rsidR="004147AC">
        <w:t xml:space="preserve"> normalized to the DMSO-treated control.</w:t>
      </w:r>
      <w:r w:rsidR="006B23EE">
        <w:t xml:space="preserve"> </w:t>
      </w:r>
      <w:r w:rsidR="00EE78C3" w:rsidRPr="007E4B8A">
        <w:rPr>
          <w:rFonts w:cs="Arial"/>
          <w:szCs w:val="20"/>
        </w:rPr>
        <w:t>All Data represent averages ± SD of three independent experiments.</w:t>
      </w:r>
    </w:p>
    <w:p w:rsidR="00135B67" w:rsidRDefault="00135B67">
      <w:pPr>
        <w:rPr>
          <w:noProof/>
        </w:rPr>
      </w:pPr>
    </w:p>
    <w:p w:rsidR="00135B67" w:rsidRDefault="00135B67">
      <w:pPr>
        <w:rPr>
          <w:sz w:val="48"/>
          <w:szCs w:val="48"/>
        </w:rPr>
      </w:pPr>
    </w:p>
    <w:p w:rsidR="00E401BD" w:rsidRDefault="00E401BD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135B67" w:rsidRPr="00135B67" w:rsidRDefault="00135B67" w:rsidP="00135B67">
      <w:pPr>
        <w:rPr>
          <w:sz w:val="48"/>
          <w:szCs w:val="48"/>
        </w:rPr>
      </w:pPr>
    </w:p>
    <w:p w:rsidR="00FB3CBE" w:rsidRDefault="00B95B81" w:rsidP="00FB3CBE">
      <w:r w:rsidRPr="0077401C">
        <w:rPr>
          <w:noProof/>
          <w:lang w:eastAsia="de-DE"/>
        </w:rPr>
        <w:t xml:space="preserve"> </w:t>
      </w:r>
      <w:r w:rsidR="00FB3CBE">
        <w:rPr>
          <w:noProof/>
          <w:lang w:val="de-DE" w:eastAsia="de-DE"/>
        </w:rPr>
        <w:drawing>
          <wp:inline distT="0" distB="0" distL="0" distR="0" wp14:anchorId="78275848" wp14:editId="1872ADC2">
            <wp:extent cx="5972810" cy="3980180"/>
            <wp:effectExtent l="0" t="0" r="889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 Pb razem NEW revision NAR M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BE" w:rsidRDefault="00FB3CBE" w:rsidP="00FB3CBE"/>
    <w:p w:rsidR="00FB3CBE" w:rsidRDefault="00FB3CBE" w:rsidP="00FB3CBE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028098AA" wp14:editId="1A6D532E">
            <wp:simplePos x="0" y="0"/>
            <wp:positionH relativeFrom="column">
              <wp:posOffset>263525</wp:posOffset>
            </wp:positionH>
            <wp:positionV relativeFrom="paragraph">
              <wp:posOffset>53340</wp:posOffset>
            </wp:positionV>
            <wp:extent cx="4954270" cy="3703320"/>
            <wp:effectExtent l="0" t="0" r="0" b="0"/>
            <wp:wrapSquare wrapText="bothSides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S Pb razem revision NAR MD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BE" w:rsidRDefault="00FB3CBE" w:rsidP="00FB3CBE">
      <w:r>
        <w:rPr>
          <w:noProof/>
          <w:lang w:val="de-DE" w:eastAsia="de-DE"/>
        </w:rPr>
        <w:drawing>
          <wp:inline distT="0" distB="0" distL="0" distR="0" wp14:anchorId="6F1CBFA3" wp14:editId="3CF0BC56">
            <wp:extent cx="5972810" cy="4601210"/>
            <wp:effectExtent l="0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 z 5' revision NAR MD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BE" w:rsidRPr="00FB3CBE" w:rsidRDefault="00FB3CBE" w:rsidP="00FB3CBE">
      <w:pPr>
        <w:spacing w:after="0" w:line="240" w:lineRule="auto"/>
        <w:jc w:val="both"/>
      </w:pPr>
      <w:r>
        <w:t xml:space="preserve">Figure S3. Analysis of the RNA secondary structure of the ARPC2 5’-UTR1 and its mutated variant. A, C and E show results for the long 5’-UTR1 structure harboring the putative G-quadruplex structure (GQ); </w:t>
      </w:r>
      <w:r>
        <w:lastRenderedPageBreak/>
        <w:t>whereas B, D and F show the mutated sequence that is not capable of forming a G-quadruplex structure. The RNAs were tested using NAI (A, B), Pb</w:t>
      </w:r>
      <w:r w:rsidRPr="00D31594">
        <w:rPr>
          <w:vertAlign w:val="superscript"/>
        </w:rPr>
        <w:t>2+</w:t>
      </w:r>
      <w:r>
        <w:t xml:space="preserve"> (A, B, E, F) and DMS (C, D) </w:t>
      </w:r>
      <w:r w:rsidRPr="00D31594">
        <w:rPr>
          <w:i/>
        </w:rPr>
        <w:t>in vitro</w:t>
      </w:r>
      <w:r>
        <w:t>. Autoradiograms show results of reverse transcription reaction (A-D) or the 5'-radiolabeled products (E, F). The extension primers were radioactively labeled. The chemically modified (or cleaved) nucleotide positions are indicated on the right side of the A, U, G, C-sequencing lines;</w:t>
      </w:r>
      <w:r>
        <w:rPr>
          <w:color w:val="FF0000"/>
        </w:rPr>
        <w:t xml:space="preserve"> </w:t>
      </w:r>
      <w:r>
        <w:t>N: reaction line with 200 mM NAI, Pb</w:t>
      </w:r>
      <w:r w:rsidRPr="00D31594">
        <w:rPr>
          <w:vertAlign w:val="superscript"/>
        </w:rPr>
        <w:t>2+</w:t>
      </w:r>
      <w:r>
        <w:t xml:space="preserve">: reaction line with 0.25 – 2 mM </w:t>
      </w:r>
      <w:r w:rsidRPr="00FB3CBE">
        <w:t>AcOPb, 0: incubation control without Pb</w:t>
      </w:r>
      <w:r w:rsidRPr="00FB3CBE">
        <w:rPr>
          <w:vertAlign w:val="superscript"/>
        </w:rPr>
        <w:t>2+</w:t>
      </w:r>
      <w:r w:rsidRPr="00FB3CBE">
        <w:t>; D:</w:t>
      </w:r>
      <w:r>
        <w:t> </w:t>
      </w:r>
      <w:r w:rsidRPr="00FB3CBE">
        <w:t>reaction line with 0.3% DMS; Ci: incubation control without DMS or NAI; T1: guanine leader; L</w:t>
      </w:r>
      <w:r>
        <w:t>: </w:t>
      </w:r>
      <w:bookmarkStart w:id="0" w:name="_GoBack"/>
      <w:bookmarkEnd w:id="0"/>
      <w:r w:rsidRPr="00FB3CBE">
        <w:t>formamide leader.</w:t>
      </w:r>
    </w:p>
    <w:p w:rsidR="00FA17AA" w:rsidRPr="00FB3CBE" w:rsidRDefault="00FA17AA" w:rsidP="00FB3CBE">
      <w:pPr>
        <w:jc w:val="both"/>
      </w:pPr>
    </w:p>
    <w:sectPr w:rsidR="00FA17AA" w:rsidRPr="00FB3CBE" w:rsidSect="00E7545B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342" w:rsidRDefault="00CB4342" w:rsidP="00135B67">
      <w:pPr>
        <w:spacing w:after="0" w:line="240" w:lineRule="auto"/>
      </w:pPr>
      <w:r>
        <w:separator/>
      </w:r>
    </w:p>
  </w:endnote>
  <w:endnote w:type="continuationSeparator" w:id="0">
    <w:p w:rsidR="00CB4342" w:rsidRDefault="00CB4342" w:rsidP="0013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342" w:rsidRDefault="00CB4342" w:rsidP="00135B67">
      <w:pPr>
        <w:spacing w:after="0" w:line="240" w:lineRule="auto"/>
      </w:pPr>
      <w:r>
        <w:separator/>
      </w:r>
    </w:p>
  </w:footnote>
  <w:footnote w:type="continuationSeparator" w:id="0">
    <w:p w:rsidR="00CB4342" w:rsidRDefault="00CB4342" w:rsidP="00135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78"/>
    <w:rsid w:val="00004718"/>
    <w:rsid w:val="00023078"/>
    <w:rsid w:val="000249C7"/>
    <w:rsid w:val="000268F1"/>
    <w:rsid w:val="00051C4C"/>
    <w:rsid w:val="00086FF5"/>
    <w:rsid w:val="00095CE6"/>
    <w:rsid w:val="000A542D"/>
    <w:rsid w:val="000C239E"/>
    <w:rsid w:val="000C4DD4"/>
    <w:rsid w:val="000E2231"/>
    <w:rsid w:val="00106D8E"/>
    <w:rsid w:val="0012126E"/>
    <w:rsid w:val="00135B67"/>
    <w:rsid w:val="001656AE"/>
    <w:rsid w:val="0018626E"/>
    <w:rsid w:val="001A797E"/>
    <w:rsid w:val="001C4360"/>
    <w:rsid w:val="001C45C0"/>
    <w:rsid w:val="001E0984"/>
    <w:rsid w:val="001F0ECD"/>
    <w:rsid w:val="001F4D90"/>
    <w:rsid w:val="001F7210"/>
    <w:rsid w:val="00202113"/>
    <w:rsid w:val="002818D2"/>
    <w:rsid w:val="002D1466"/>
    <w:rsid w:val="002D1917"/>
    <w:rsid w:val="002D4EB0"/>
    <w:rsid w:val="00304DA9"/>
    <w:rsid w:val="00312BAF"/>
    <w:rsid w:val="003241D6"/>
    <w:rsid w:val="003319AD"/>
    <w:rsid w:val="003909FD"/>
    <w:rsid w:val="003B15F3"/>
    <w:rsid w:val="003B751C"/>
    <w:rsid w:val="003B7C78"/>
    <w:rsid w:val="004147AC"/>
    <w:rsid w:val="00457EC9"/>
    <w:rsid w:val="00470810"/>
    <w:rsid w:val="00472909"/>
    <w:rsid w:val="00480CF5"/>
    <w:rsid w:val="004D7F10"/>
    <w:rsid w:val="004F3C10"/>
    <w:rsid w:val="0052097D"/>
    <w:rsid w:val="00525DD9"/>
    <w:rsid w:val="005350DB"/>
    <w:rsid w:val="00574FB4"/>
    <w:rsid w:val="00575313"/>
    <w:rsid w:val="005B0419"/>
    <w:rsid w:val="005E41D4"/>
    <w:rsid w:val="005F2651"/>
    <w:rsid w:val="006074A2"/>
    <w:rsid w:val="00621145"/>
    <w:rsid w:val="00661118"/>
    <w:rsid w:val="00685125"/>
    <w:rsid w:val="00695E2B"/>
    <w:rsid w:val="006B20AE"/>
    <w:rsid w:val="006B23EE"/>
    <w:rsid w:val="006C5F49"/>
    <w:rsid w:val="006D51B5"/>
    <w:rsid w:val="006F46BE"/>
    <w:rsid w:val="007114B0"/>
    <w:rsid w:val="00721516"/>
    <w:rsid w:val="00747E9C"/>
    <w:rsid w:val="007656DB"/>
    <w:rsid w:val="0077399D"/>
    <w:rsid w:val="0077401C"/>
    <w:rsid w:val="00781663"/>
    <w:rsid w:val="007B7611"/>
    <w:rsid w:val="007E3100"/>
    <w:rsid w:val="007E7368"/>
    <w:rsid w:val="007F2275"/>
    <w:rsid w:val="0082309E"/>
    <w:rsid w:val="0087736A"/>
    <w:rsid w:val="008C0FF9"/>
    <w:rsid w:val="008F5C60"/>
    <w:rsid w:val="009178DE"/>
    <w:rsid w:val="0096330E"/>
    <w:rsid w:val="00967017"/>
    <w:rsid w:val="0097075D"/>
    <w:rsid w:val="00975763"/>
    <w:rsid w:val="00A0083D"/>
    <w:rsid w:val="00A02136"/>
    <w:rsid w:val="00A4523E"/>
    <w:rsid w:val="00A607B2"/>
    <w:rsid w:val="00A86713"/>
    <w:rsid w:val="00AC05D8"/>
    <w:rsid w:val="00AC5F1B"/>
    <w:rsid w:val="00AD473A"/>
    <w:rsid w:val="00B35A8E"/>
    <w:rsid w:val="00B675AA"/>
    <w:rsid w:val="00B754FD"/>
    <w:rsid w:val="00B94E78"/>
    <w:rsid w:val="00B95B81"/>
    <w:rsid w:val="00BC4788"/>
    <w:rsid w:val="00BE578E"/>
    <w:rsid w:val="00BF2F51"/>
    <w:rsid w:val="00C43EB7"/>
    <w:rsid w:val="00C67FE4"/>
    <w:rsid w:val="00C94289"/>
    <w:rsid w:val="00CB4342"/>
    <w:rsid w:val="00CB4A84"/>
    <w:rsid w:val="00CD4400"/>
    <w:rsid w:val="00CE3BF1"/>
    <w:rsid w:val="00D37BEF"/>
    <w:rsid w:val="00D5419C"/>
    <w:rsid w:val="00D56890"/>
    <w:rsid w:val="00D7363C"/>
    <w:rsid w:val="00D76926"/>
    <w:rsid w:val="00D90BD6"/>
    <w:rsid w:val="00DC1119"/>
    <w:rsid w:val="00DF741C"/>
    <w:rsid w:val="00E019DB"/>
    <w:rsid w:val="00E02656"/>
    <w:rsid w:val="00E07DFC"/>
    <w:rsid w:val="00E20AE3"/>
    <w:rsid w:val="00E401BD"/>
    <w:rsid w:val="00E445B6"/>
    <w:rsid w:val="00E56752"/>
    <w:rsid w:val="00E7545B"/>
    <w:rsid w:val="00ED1F8E"/>
    <w:rsid w:val="00ED4CF7"/>
    <w:rsid w:val="00ED4FE8"/>
    <w:rsid w:val="00EE78C3"/>
    <w:rsid w:val="00EF2190"/>
    <w:rsid w:val="00F135D9"/>
    <w:rsid w:val="00F441F4"/>
    <w:rsid w:val="00F535F8"/>
    <w:rsid w:val="00F665A1"/>
    <w:rsid w:val="00FA0BA7"/>
    <w:rsid w:val="00FA17AA"/>
    <w:rsid w:val="00FA540F"/>
    <w:rsid w:val="00FB3CBE"/>
    <w:rsid w:val="00FC2FCB"/>
    <w:rsid w:val="00FF0FDA"/>
    <w:rsid w:val="00FF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FAA65C"/>
  <w15:docId w15:val="{E709953C-D75B-4AC4-9416-C41E5FE0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E7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135B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ja-JP"/>
    </w:rPr>
  </w:style>
  <w:style w:type="paragraph" w:styleId="Kopfzeile">
    <w:name w:val="header"/>
    <w:basedOn w:val="Standard"/>
    <w:link w:val="KopfzeileZchn"/>
    <w:uiPriority w:val="99"/>
    <w:unhideWhenUsed/>
    <w:rsid w:val="0013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B67"/>
  </w:style>
  <w:style w:type="paragraph" w:styleId="Fuzeile">
    <w:name w:val="footer"/>
    <w:basedOn w:val="Standard"/>
    <w:link w:val="FuzeileZchn"/>
    <w:uiPriority w:val="99"/>
    <w:unhideWhenUsed/>
    <w:rsid w:val="0013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B67"/>
  </w:style>
  <w:style w:type="character" w:styleId="Kommentarzeichen">
    <w:name w:val="annotation reference"/>
    <w:basedOn w:val="Absatz-Standardschriftart"/>
    <w:uiPriority w:val="99"/>
    <w:semiHidden/>
    <w:unhideWhenUsed/>
    <w:rsid w:val="00FC2FC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C2FCB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C2FCB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2FC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2F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346</Words>
  <Characters>2184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ICHB PAN POZNAN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Dutkiewicz</dc:creator>
  <cp:lastModifiedBy>acer</cp:lastModifiedBy>
  <cp:revision>8</cp:revision>
  <cp:lastPrinted>2018-10-31T15:02:00Z</cp:lastPrinted>
  <dcterms:created xsi:type="dcterms:W3CDTF">2019-02-25T13:43:00Z</dcterms:created>
  <dcterms:modified xsi:type="dcterms:W3CDTF">2019-04-24T07:25:00Z</dcterms:modified>
</cp:coreProperties>
</file>