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C715" w14:textId="44F6F378" w:rsidR="00B41CEF" w:rsidRPr="00B41CEF" w:rsidRDefault="00B41CEF" w:rsidP="00B41CE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B41CE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online material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41CEF">
        <w:rPr>
          <w:rFonts w:ascii="Times New Roman" w:hAnsi="Times New Roman" w:cs="Times New Roman"/>
          <w:bCs/>
          <w:i/>
          <w:iCs/>
          <w:sz w:val="24"/>
          <w:szCs w:val="24"/>
        </w:rPr>
        <w:t>“The cat that kills people:” community beliefs about Ebola origins and implications for disease control in Eastern Democratic Republic of the Congo</w:t>
      </w:r>
    </w:p>
    <w:p w14:paraId="4AF5FA1F" w14:textId="77777777" w:rsidR="00B41CEF" w:rsidRDefault="00B41CEF" w:rsidP="00B176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0DC56B" w14:textId="50E70D4C" w:rsidR="008A17FF" w:rsidRPr="00B41CEF" w:rsidRDefault="008A17FF" w:rsidP="00B176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  <w:lang w:val="en-US"/>
        </w:rPr>
        <w:t>Latent factor analysis</w:t>
      </w:r>
      <w:r w:rsidR="00B176CD" w:rsidRPr="00B41C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41CEF">
        <w:rPr>
          <w:rFonts w:ascii="Times New Roman" w:hAnsi="Times New Roman" w:cs="Times New Roman"/>
          <w:b/>
          <w:bCs/>
          <w:sz w:val="24"/>
          <w:szCs w:val="24"/>
          <w:lang w:val="en-US"/>
        </w:rPr>
        <w:t>Ebola related knowledge</w:t>
      </w:r>
    </w:p>
    <w:p w14:paraId="6CBE4EA9" w14:textId="620E7792" w:rsidR="008A17FF" w:rsidRPr="00B41CEF" w:rsidRDefault="008A17FF" w:rsidP="008A17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Five questionnaire items dealt with knowledge and misconceptions around Ebola transmission:</w:t>
      </w:r>
    </w:p>
    <w:p w14:paraId="3E292EED" w14:textId="4BCB7095" w:rsidR="008A17FF" w:rsidRPr="00B41CEF" w:rsidRDefault="008A17FF" w:rsidP="008A17F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K1. Ebola can be prevented by avoiding contact with bodily fluids of an infected person</w:t>
      </w:r>
    </w:p>
    <w:p w14:paraId="4CFA0FBD" w14:textId="1F8E29E9" w:rsidR="008A17FF" w:rsidRPr="00B41CEF" w:rsidRDefault="008A17FF" w:rsidP="008A17F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K2. Ebola can be prevented by avoiding contact with the corpse of someone who died of Ebola</w:t>
      </w:r>
    </w:p>
    <w:p w14:paraId="578F3A6F" w14:textId="77777777" w:rsidR="008A17FF" w:rsidRPr="00B41CEF" w:rsidRDefault="008A17FF" w:rsidP="008A17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Misconceptions</w:t>
      </w:r>
    </w:p>
    <w:p w14:paraId="2CC193EF" w14:textId="77384B55" w:rsidR="008A17FF" w:rsidRPr="00B41CEF" w:rsidRDefault="008A17FF" w:rsidP="008A17F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K3. Ebola is transmitted in the ambient air</w:t>
      </w:r>
    </w:p>
    <w:p w14:paraId="195508F9" w14:textId="19F9B595" w:rsidR="008A17FF" w:rsidRPr="00B41CEF" w:rsidRDefault="008A17FF" w:rsidP="008A17F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K4. Ebola can be prevented by avoiding mosquito bites</w:t>
      </w:r>
    </w:p>
    <w:p w14:paraId="6183AE54" w14:textId="3E9F310C" w:rsidR="008A17FF" w:rsidRPr="00B41CEF" w:rsidRDefault="008A17FF" w:rsidP="008A17F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K5. Ebola can be prevented by bathing in hot and salty water</w:t>
      </w:r>
    </w:p>
    <w:p w14:paraId="25BEE6B5" w14:textId="6FB665B2" w:rsidR="008A17FF" w:rsidRPr="00B41CEF" w:rsidRDefault="008A17FF" w:rsidP="008A17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We began by recoding factor levels for each of these items, so that the direction of the responses to all items was similar (highest in participants with strong biomedical understanding). Thus, </w:t>
      </w:r>
      <w:r w:rsidR="00044656"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for K1 and K2, coding was: 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“yes” </w:t>
      </w:r>
      <w:r w:rsidR="00044656" w:rsidRPr="00B41CE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56" w:rsidRPr="00B41CEF">
        <w:rPr>
          <w:rFonts w:ascii="Times New Roman" w:hAnsi="Times New Roman" w:cs="Times New Roman"/>
          <w:sz w:val="24"/>
          <w:szCs w:val="24"/>
          <w:lang w:val="en-US"/>
        </w:rPr>
        <w:t>1; “don’t know” = 0; and “no” = -1. For K3, K4, and K5, coding was: “yes” = -1; “don’t know” = 0; and “no” = 1.</w:t>
      </w:r>
    </w:p>
    <w:p w14:paraId="436851BA" w14:textId="29895366" w:rsidR="00044656" w:rsidRPr="00B41CEF" w:rsidRDefault="00044656" w:rsidP="000446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We then included all five items in a latent factor analysis (</w:t>
      </w:r>
      <w:r w:rsidRPr="00B41CEF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, function </w:t>
      </w:r>
      <w:proofErr w:type="spellStart"/>
      <w:r w:rsidRPr="00B41CEF">
        <w:rPr>
          <w:rFonts w:ascii="Times New Roman" w:hAnsi="Times New Roman" w:cs="Times New Roman"/>
          <w:i/>
          <w:iCs/>
          <w:sz w:val="24"/>
          <w:szCs w:val="24"/>
          <w:lang w:val="en-US"/>
        </w:rPr>
        <w:t>factanal</w:t>
      </w:r>
      <w:proofErr w:type="spellEnd"/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A0AF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&lt;EndNote&gt;&lt;Cite&gt;&lt;RecNum&gt;80&lt;/RecNum&gt;&lt;DisplayText&gt;[1]&lt;/DisplayText&gt;&lt;record&gt;&lt;rec-number&gt;80&lt;/rec-number&gt;&lt;foreign-keys&gt;&lt;key app="EN" db-id="ts5vpve2pr2p5fepavcvezxy9z9fx55zvsd5" timestamp="1563782226"&gt;80&lt;/key&gt;&lt;/foreign-keys&gt;&lt;ref-type name="Journal Article"&gt;17&lt;/ref-type&gt;&lt;contributors&gt;&lt;/contributors&gt;&lt;titles&gt;&lt;title&gt;R Core Team (2018). R: A language and environment for statistical computing. R Foundation for Statistical Computing, Vienna, Austria. URL https://www.R-project.org/&lt;/title&gt;&lt;/titles&gt;&lt;dates&gt;&lt;/dates&gt;&lt;urls&gt;&lt;/urls&gt;&lt;/record&gt;&lt;/Cite&gt;&lt;/EndNote&gt;</w:instrTex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A0AFE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>with a single factor intended to measure the latent construct “Ebola knowledge.”</w:t>
      </w:r>
    </w:p>
    <w:p w14:paraId="5CFCA308" w14:textId="6C2180E3" w:rsidR="00044656" w:rsidRPr="00B41CEF" w:rsidRDefault="008D2C0F" w:rsidP="000446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The results of the factor analysis are shown in Table 1.</w:t>
      </w:r>
    </w:p>
    <w:p w14:paraId="420693AA" w14:textId="2D204E4F" w:rsidR="00044656" w:rsidRPr="00B41CEF" w:rsidRDefault="008D2C0F" w:rsidP="0004465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 Factor analysis for Ebola knowledge (286 participants)</w:t>
      </w:r>
    </w:p>
    <w:tbl>
      <w:tblPr>
        <w:tblStyle w:val="TableGrid"/>
        <w:tblW w:w="5610" w:type="dxa"/>
        <w:tblLook w:val="04A0" w:firstRow="1" w:lastRow="0" w:firstColumn="1" w:lastColumn="0" w:noHBand="0" w:noVBand="1"/>
      </w:tblPr>
      <w:tblGrid>
        <w:gridCol w:w="1525"/>
        <w:gridCol w:w="1646"/>
        <w:gridCol w:w="2439"/>
      </w:tblGrid>
      <w:tr w:rsidR="008D2C0F" w:rsidRPr="00B41CEF" w14:paraId="5C8FCEB0" w14:textId="77777777" w:rsidTr="008D2C0F">
        <w:tc>
          <w:tcPr>
            <w:tcW w:w="1525" w:type="dxa"/>
          </w:tcPr>
          <w:p w14:paraId="545FD99B" w14:textId="43D42715" w:rsidR="008D2C0F" w:rsidRPr="00B41CEF" w:rsidRDefault="008D2C0F" w:rsidP="00044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646" w:type="dxa"/>
          </w:tcPr>
          <w:p w14:paraId="7C2BEB2B" w14:textId="3FE1CFE2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41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Uniquenesses</w:t>
            </w:r>
            <w:proofErr w:type="spellEnd"/>
          </w:p>
        </w:tc>
        <w:tc>
          <w:tcPr>
            <w:tcW w:w="2439" w:type="dxa"/>
          </w:tcPr>
          <w:p w14:paraId="3BE9C4FC" w14:textId="614EE531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Factor loadings</w:t>
            </w:r>
          </w:p>
        </w:tc>
      </w:tr>
      <w:tr w:rsidR="008D2C0F" w:rsidRPr="00B41CEF" w14:paraId="6450AB8A" w14:textId="0E517FD6" w:rsidTr="008D2C0F">
        <w:tc>
          <w:tcPr>
            <w:tcW w:w="1525" w:type="dxa"/>
          </w:tcPr>
          <w:p w14:paraId="7D948CA4" w14:textId="6959E647" w:rsidR="008D2C0F" w:rsidRPr="00B41CEF" w:rsidRDefault="008D2C0F" w:rsidP="0004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</w:t>
            </w:r>
          </w:p>
        </w:tc>
        <w:tc>
          <w:tcPr>
            <w:tcW w:w="1646" w:type="dxa"/>
          </w:tcPr>
          <w:p w14:paraId="06A19952" w14:textId="4A32CCBA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0.875</w:t>
            </w:r>
          </w:p>
        </w:tc>
        <w:tc>
          <w:tcPr>
            <w:tcW w:w="2439" w:type="dxa"/>
          </w:tcPr>
          <w:p w14:paraId="25A11B95" w14:textId="60D6222A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0.354</w:t>
            </w:r>
          </w:p>
        </w:tc>
      </w:tr>
      <w:tr w:rsidR="008D2C0F" w:rsidRPr="00B41CEF" w14:paraId="5BE4B7BE" w14:textId="477F133A" w:rsidTr="008D2C0F">
        <w:tc>
          <w:tcPr>
            <w:tcW w:w="1525" w:type="dxa"/>
          </w:tcPr>
          <w:p w14:paraId="440BA421" w14:textId="225C77F8" w:rsidR="008D2C0F" w:rsidRPr="00B41CEF" w:rsidRDefault="008D2C0F" w:rsidP="0004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</w:t>
            </w:r>
          </w:p>
        </w:tc>
        <w:tc>
          <w:tcPr>
            <w:tcW w:w="1646" w:type="dxa"/>
          </w:tcPr>
          <w:p w14:paraId="54F630B3" w14:textId="19E4CA2C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0.978</w:t>
            </w:r>
          </w:p>
        </w:tc>
        <w:tc>
          <w:tcPr>
            <w:tcW w:w="2439" w:type="dxa"/>
          </w:tcPr>
          <w:p w14:paraId="4CB37A34" w14:textId="11E99E58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0.147</w:t>
            </w:r>
          </w:p>
        </w:tc>
      </w:tr>
      <w:tr w:rsidR="008D2C0F" w:rsidRPr="00B41CEF" w14:paraId="26EB9EDF" w14:textId="43072371" w:rsidTr="008D2C0F">
        <w:tc>
          <w:tcPr>
            <w:tcW w:w="1525" w:type="dxa"/>
          </w:tcPr>
          <w:p w14:paraId="7495C9DA" w14:textId="6EFA773D" w:rsidR="008D2C0F" w:rsidRPr="00B41CEF" w:rsidRDefault="008D2C0F" w:rsidP="0004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</w:t>
            </w:r>
          </w:p>
        </w:tc>
        <w:tc>
          <w:tcPr>
            <w:tcW w:w="1646" w:type="dxa"/>
          </w:tcPr>
          <w:p w14:paraId="22DB4DC9" w14:textId="792CC236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0.661</w:t>
            </w:r>
          </w:p>
        </w:tc>
        <w:tc>
          <w:tcPr>
            <w:tcW w:w="2439" w:type="dxa"/>
          </w:tcPr>
          <w:p w14:paraId="4150BD5D" w14:textId="4A6C5DD3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0.582</w:t>
            </w:r>
          </w:p>
        </w:tc>
      </w:tr>
      <w:tr w:rsidR="008D2C0F" w:rsidRPr="00B41CEF" w14:paraId="3B7A58BC" w14:textId="61563431" w:rsidTr="008D2C0F">
        <w:tc>
          <w:tcPr>
            <w:tcW w:w="1525" w:type="dxa"/>
          </w:tcPr>
          <w:p w14:paraId="54B99165" w14:textId="0C99773B" w:rsidR="008D2C0F" w:rsidRPr="00B41CEF" w:rsidRDefault="008D2C0F" w:rsidP="0004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</w:t>
            </w:r>
          </w:p>
        </w:tc>
        <w:tc>
          <w:tcPr>
            <w:tcW w:w="1646" w:type="dxa"/>
          </w:tcPr>
          <w:p w14:paraId="125D8536" w14:textId="452395B7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0.512</w:t>
            </w:r>
          </w:p>
        </w:tc>
        <w:tc>
          <w:tcPr>
            <w:tcW w:w="2439" w:type="dxa"/>
          </w:tcPr>
          <w:p w14:paraId="57215916" w14:textId="3A5848E9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0.698</w:t>
            </w:r>
          </w:p>
        </w:tc>
      </w:tr>
      <w:tr w:rsidR="008D2C0F" w:rsidRPr="00B41CEF" w14:paraId="3ADC394E" w14:textId="4ED6BA9C" w:rsidTr="008D2C0F">
        <w:tc>
          <w:tcPr>
            <w:tcW w:w="1525" w:type="dxa"/>
          </w:tcPr>
          <w:p w14:paraId="5111B0F7" w14:textId="20735AD3" w:rsidR="008D2C0F" w:rsidRPr="00B41CEF" w:rsidRDefault="008D2C0F" w:rsidP="0004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</w:t>
            </w:r>
          </w:p>
        </w:tc>
        <w:tc>
          <w:tcPr>
            <w:tcW w:w="1646" w:type="dxa"/>
          </w:tcPr>
          <w:p w14:paraId="3A196DFC" w14:textId="6E0BADA6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0.784</w:t>
            </w:r>
          </w:p>
        </w:tc>
        <w:tc>
          <w:tcPr>
            <w:tcW w:w="2439" w:type="dxa"/>
          </w:tcPr>
          <w:p w14:paraId="453B05BD" w14:textId="67F1E3A4" w:rsidR="008D2C0F" w:rsidRPr="00B41CEF" w:rsidRDefault="008D2C0F" w:rsidP="008D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0.464</w:t>
            </w:r>
          </w:p>
        </w:tc>
      </w:tr>
    </w:tbl>
    <w:p w14:paraId="13C2D51F" w14:textId="77777777" w:rsidR="008D2C0F" w:rsidRPr="00B41CEF" w:rsidRDefault="008D2C0F" w:rsidP="008A17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B16CE" w14:textId="4196C151" w:rsidR="00CF2FA7" w:rsidRPr="00B41CEF" w:rsidRDefault="00CF2FA7" w:rsidP="008A17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The latent factor explained 24% of the overall variance.</w:t>
      </w:r>
    </w:p>
    <w:p w14:paraId="4E821F22" w14:textId="68F6D49F" w:rsidR="008D2C0F" w:rsidRPr="00B41CEF" w:rsidRDefault="008D2C0F" w:rsidP="008A17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>Scores on the latent factor were generated as an index of “Ebola knowledge</w:t>
      </w:r>
      <w:r w:rsidR="00CF2FA7" w:rsidRPr="00B41C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F2FA7"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>Scores correlated with education level (ρ=0.23, p&lt;0.0001), as well as a previously published index of “comprehensive knowledge</w: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PEVuZE5vdGU+PENpdGU+PEF1dGhvcj5CdWxpPC9BdXRob3I+PFllYXI+MjAxNTwvWWVhcj48UmVj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</w:fldData>
        </w:fldChar>
      </w:r>
      <w:r w:rsidR="00BA0AF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A0AF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PEVuZE5vdGU+PENpdGU+PEF1dGhvcj5CdWxpPC9BdXRob3I+PFllYXI+MjAxNTwvWWVhcj48UmVj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</w:fldData>
        </w:fldChar>
      </w:r>
      <w:r w:rsidR="00BA0AF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A0AFE">
        <w:rPr>
          <w:rFonts w:ascii="Times New Roman" w:hAnsi="Times New Roman" w:cs="Times New Roman"/>
          <w:sz w:val="24"/>
          <w:szCs w:val="24"/>
          <w:lang w:val="en-US"/>
        </w:rPr>
      </w:r>
      <w:r w:rsidR="00BA0AF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41CEF">
        <w:rPr>
          <w:rFonts w:ascii="Times New Roman" w:hAnsi="Times New Roman" w:cs="Times New Roman"/>
          <w:sz w:val="24"/>
          <w:szCs w:val="24"/>
          <w:lang w:val="en-US"/>
        </w:rPr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A0AFE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 w:rsidR="00B41C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 (ρ=0.74, p&lt;0.0001). This suggests convergent validity of the latent factor. </w:t>
      </w:r>
    </w:p>
    <w:p w14:paraId="3153A51E" w14:textId="77777777" w:rsidR="00B41CEF" w:rsidRDefault="00B17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Ebola knowledge score did not differ between those who endorsed mythical views of disease causation </w:t>
      </w:r>
      <w:r w:rsidRPr="00B41CE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versus</w:t>
      </w:r>
      <w:r w:rsidRPr="00B41CEF">
        <w:rPr>
          <w:rFonts w:ascii="Times New Roman" w:hAnsi="Times New Roman" w:cs="Times New Roman"/>
          <w:sz w:val="24"/>
          <w:szCs w:val="24"/>
          <w:lang w:val="en-US"/>
        </w:rPr>
        <w:t xml:space="preserve"> others (p=0.43). </w:t>
      </w:r>
    </w:p>
    <w:p w14:paraId="2159BAA6" w14:textId="77777777" w:rsidR="00B41CEF" w:rsidRDefault="00B41C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3A9DE6" w14:textId="37C52643" w:rsidR="00B41CEF" w:rsidRPr="00BA0AFE" w:rsidRDefault="00B41C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F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</w:t>
      </w:r>
    </w:p>
    <w:p w14:paraId="4A01DF0D" w14:textId="7166BB77" w:rsidR="00BA0AFE" w:rsidRPr="00BA0AFE" w:rsidRDefault="00B41CEF" w:rsidP="00BA0AFE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BA0AFE">
        <w:rPr>
          <w:rFonts w:ascii="Times New Roman" w:hAnsi="Times New Roman" w:cs="Times New Roman"/>
          <w:sz w:val="24"/>
          <w:szCs w:val="24"/>
        </w:rPr>
        <w:fldChar w:fldCharType="begin"/>
      </w:r>
      <w:r w:rsidRPr="00BA0AF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A0AFE">
        <w:rPr>
          <w:rFonts w:ascii="Times New Roman" w:hAnsi="Times New Roman" w:cs="Times New Roman"/>
          <w:sz w:val="24"/>
          <w:szCs w:val="24"/>
        </w:rPr>
        <w:fldChar w:fldCharType="separate"/>
      </w:r>
      <w:r w:rsidR="00BA0AFE" w:rsidRPr="00BA0AFE">
        <w:rPr>
          <w:rFonts w:ascii="Times New Roman" w:hAnsi="Times New Roman" w:cs="Times New Roman"/>
          <w:sz w:val="24"/>
          <w:szCs w:val="24"/>
        </w:rPr>
        <w:t>1.</w:t>
      </w:r>
      <w:r w:rsidR="00BA0AFE" w:rsidRPr="00BA0AFE">
        <w:rPr>
          <w:rFonts w:ascii="Times New Roman" w:hAnsi="Times New Roman" w:cs="Times New Roman"/>
          <w:sz w:val="24"/>
          <w:szCs w:val="24"/>
        </w:rPr>
        <w:tab/>
        <w:t xml:space="preserve">R Core Team (2018). R: A language and environment for statistical computing. R Foundation for Statistical Computing, Vienna, Austria. URL </w:t>
      </w:r>
      <w:hyperlink r:id="rId5" w:history="1">
        <w:r w:rsidR="00BA0AFE" w:rsidRPr="00BA0AFE">
          <w:rPr>
            <w:rStyle w:val="Hyperlink"/>
            <w:rFonts w:ascii="Times New Roman" w:hAnsi="Times New Roman" w:cs="Times New Roman"/>
            <w:sz w:val="24"/>
            <w:szCs w:val="24"/>
          </w:rPr>
          <w:t>https://www.R-project.org/</w:t>
        </w:r>
      </w:hyperlink>
      <w:r w:rsidR="00BA0AFE" w:rsidRPr="00BA0AFE">
        <w:rPr>
          <w:rFonts w:ascii="Times New Roman" w:hAnsi="Times New Roman" w:cs="Times New Roman"/>
          <w:sz w:val="24"/>
          <w:szCs w:val="24"/>
        </w:rPr>
        <w:t>.</w:t>
      </w:r>
    </w:p>
    <w:p w14:paraId="76735B41" w14:textId="77777777" w:rsidR="00BA0AFE" w:rsidRPr="00BA0AFE" w:rsidRDefault="00BA0AFE" w:rsidP="00BA0AFE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BA0AFE">
        <w:rPr>
          <w:rFonts w:ascii="Times New Roman" w:hAnsi="Times New Roman" w:cs="Times New Roman"/>
          <w:sz w:val="24"/>
          <w:szCs w:val="24"/>
        </w:rPr>
        <w:t>2.</w:t>
      </w:r>
      <w:r w:rsidRPr="00BA0AFE">
        <w:rPr>
          <w:rFonts w:ascii="Times New Roman" w:hAnsi="Times New Roman" w:cs="Times New Roman"/>
          <w:sz w:val="24"/>
          <w:szCs w:val="24"/>
        </w:rPr>
        <w:tab/>
        <w:t>Buli BG, Mayigane LN, Oketta JF, Soumouk A, Sandouno TE, Camara B, et al. Misconceptions about Ebola seriously affect the prevention efforts: KAP related to Ebola prevention and treatment in Kouroussa Prefecture, Guinea. Pan Afr Med J. 2015;22 Suppl 1:11. doi: 10.11694/pamj.supp.2015.22.1.6269. PubMed PMID: 26740839; PubMed Central PMCID: PMCPMC4695529.</w:t>
      </w:r>
    </w:p>
    <w:p w14:paraId="4396D58C" w14:textId="0E5F3B51" w:rsidR="0002059D" w:rsidRPr="00B41CEF" w:rsidRDefault="00B41C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AF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02059D" w:rsidRPr="00B4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0E4"/>
    <w:multiLevelType w:val="hybridMultilevel"/>
    <w:tmpl w:val="FF144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0DA5"/>
    <w:multiLevelType w:val="hybridMultilevel"/>
    <w:tmpl w:val="33661A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5vpve2pr2p5fepavcvezxy9z9fx55zvsd5&quot;&gt;Ebola&lt;record-ids&gt;&lt;item&gt;56&lt;/item&gt;&lt;item&gt;80&lt;/item&gt;&lt;/record-ids&gt;&lt;/item&gt;&lt;/Libraries&gt;"/>
  </w:docVars>
  <w:rsids>
    <w:rsidRoot w:val="008A17FF"/>
    <w:rsid w:val="0002059D"/>
    <w:rsid w:val="00044656"/>
    <w:rsid w:val="00740BA8"/>
    <w:rsid w:val="00741F09"/>
    <w:rsid w:val="007C7661"/>
    <w:rsid w:val="008A17FF"/>
    <w:rsid w:val="008D2C0F"/>
    <w:rsid w:val="00B176CD"/>
    <w:rsid w:val="00B41CEF"/>
    <w:rsid w:val="00BA0AFE"/>
    <w:rsid w:val="00CF2FA7"/>
    <w:rsid w:val="00D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2547"/>
  <w15:chartTrackingRefBased/>
  <w15:docId w15:val="{FC66B6BE-C675-456D-9333-12EC3A7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6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9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41CE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1CE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1C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1CE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-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Sabinaya Selvan, Integra-PDY, IN</cp:lastModifiedBy>
  <cp:revision>2</cp:revision>
  <dcterms:created xsi:type="dcterms:W3CDTF">2019-08-05T06:05:00Z</dcterms:created>
  <dcterms:modified xsi:type="dcterms:W3CDTF">2019-08-05T06:05:00Z</dcterms:modified>
</cp:coreProperties>
</file>