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8063" w14:textId="77777777" w:rsidR="00DF2EBE" w:rsidRPr="00DF2EBE" w:rsidRDefault="00DF2EBE" w:rsidP="00DF2EB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533150775"/>
      <w:bookmarkStart w:id="1" w:name="_GoBack"/>
      <w:bookmarkEnd w:id="1"/>
      <w:r w:rsidRPr="00DF2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Dose-dependent effect of compost amendment on soil bacterial community composition and co-occurrence network patterns in soybean agroecosystem</w:t>
      </w:r>
      <w:bookmarkEnd w:id="0"/>
    </w:p>
    <w:p w14:paraId="7E2E944C" w14:textId="77777777" w:rsidR="00AA68B6" w:rsidRDefault="00AA68B6" w:rsidP="00E8091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31C88F6" w14:textId="22219A71" w:rsidR="00E80918" w:rsidRPr="0047615A" w:rsidRDefault="00E80918" w:rsidP="00E809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15A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47615A">
        <w:rPr>
          <w:rFonts w:ascii="Times New Roman" w:hAnsi="Times New Roman" w:cs="Times New Roman"/>
          <w:b/>
          <w:sz w:val="24"/>
          <w:szCs w:val="24"/>
        </w:rPr>
        <w:t>CR conditions</w:t>
      </w:r>
    </w:p>
    <w:p w14:paraId="054D98EB" w14:textId="525F98E0" w:rsidR="00D97492" w:rsidRDefault="00E80918" w:rsidP="00E8091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  <w:sectPr w:rsidR="00D974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71AEA">
        <w:rPr>
          <w:rFonts w:ascii="Times New Roman" w:hAnsi="Times New Roman" w:cs="Times New Roman"/>
          <w:sz w:val="24"/>
          <w:szCs w:val="24"/>
        </w:rPr>
        <w:t xml:space="preserve">The amplification was carried out in a final 25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reaction solution including 2.5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C71AEA">
        <w:rPr>
          <w:rFonts w:ascii="Times New Roman" w:hAnsi="Times New Roman" w:cs="Times New Roman"/>
          <w:sz w:val="24"/>
          <w:szCs w:val="24"/>
        </w:rPr>
        <w:t xml:space="preserve">10 × buffer, 1.5 mM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C71AEA">
        <w:rPr>
          <w:rFonts w:ascii="Times New Roman" w:hAnsi="Times New Roman" w:cs="Times New Roman"/>
          <w:sz w:val="24"/>
          <w:szCs w:val="24"/>
        </w:rPr>
        <w:t>MgCl</w:t>
      </w:r>
      <w:r w:rsidRPr="00B307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1AEA">
        <w:rPr>
          <w:rFonts w:ascii="Times New Roman" w:hAnsi="Times New Roman" w:cs="Times New Roman"/>
          <w:sz w:val="24"/>
          <w:szCs w:val="24"/>
        </w:rPr>
        <w:t xml:space="preserve">, 200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of each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dNTP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, 0.75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of each primer, 0.75 U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PrimeSTAR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HS DNA Polymerase (Takara, Japan), and 1μL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C71AEA">
        <w:rPr>
          <w:rFonts w:ascii="Times New Roman" w:hAnsi="Times New Roman" w:cs="Times New Roman"/>
          <w:sz w:val="24"/>
          <w:szCs w:val="24"/>
        </w:rPr>
        <w:t xml:space="preserve">template DNA.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16S rDNA was </w:t>
      </w:r>
      <w:r>
        <w:rPr>
          <w:rFonts w:ascii="Times New Roman" w:hAnsi="Times New Roman" w:cs="Times New Roman"/>
          <w:sz w:val="24"/>
          <w:szCs w:val="24"/>
        </w:rPr>
        <w:t>amplified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the following conditions: </w:t>
      </w:r>
      <w:r w:rsidRPr="00C71AEA">
        <w:rPr>
          <w:rFonts w:ascii="Times New Roman" w:hAnsi="Times New Roman" w:cs="Times New Roman"/>
          <w:sz w:val="24"/>
          <w:szCs w:val="24"/>
        </w:rPr>
        <w:t>denaturation at 94 °C for 5 min, 30 cycles of denaturation at 94 °C for 4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Pr="00C71AEA">
        <w:rPr>
          <w:rFonts w:ascii="Times New Roman" w:hAnsi="Times New Roman" w:cs="Times New Roman"/>
          <w:sz w:val="24"/>
          <w:szCs w:val="24"/>
        </w:rPr>
        <w:t xml:space="preserve"> s, annealing at 56 °C for 1 min, and extension at 72 °C for 1 min, followed by a final extension at 72 °C for 10 min. </w:t>
      </w:r>
      <w:r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Pr="00C71AEA">
        <w:rPr>
          <w:rFonts w:ascii="Times New Roman" w:hAnsi="Times New Roman" w:cs="Times New Roman" w:hint="eastAsia"/>
          <w:sz w:val="24"/>
          <w:szCs w:val="24"/>
        </w:rPr>
        <w:t>PCR products were purified using an agarose gel DNA purification kit (</w:t>
      </w:r>
      <w:proofErr w:type="spellStart"/>
      <w:r w:rsidRPr="00C71AEA">
        <w:rPr>
          <w:rFonts w:ascii="Times New Roman" w:hAnsi="Times New Roman" w:cs="Times New Roman" w:hint="eastAsia"/>
          <w:sz w:val="24"/>
          <w:szCs w:val="24"/>
        </w:rPr>
        <w:t>TaKaRa</w:t>
      </w:r>
      <w:proofErr w:type="spellEnd"/>
      <w:r w:rsidRPr="00C71AEA">
        <w:rPr>
          <w:rFonts w:ascii="Times New Roman" w:hAnsi="Times New Roman" w:cs="Times New Roman" w:hint="eastAsia"/>
          <w:sz w:val="24"/>
          <w:szCs w:val="24"/>
        </w:rPr>
        <w:t xml:space="preserve">, Japan) and quantified using </w:t>
      </w:r>
      <w:proofErr w:type="spellStart"/>
      <w:r w:rsidRPr="00C71AEA">
        <w:rPr>
          <w:rFonts w:ascii="Times New Roman" w:hAnsi="Times New Roman" w:cs="Times New Roman" w:hint="eastAsia"/>
          <w:sz w:val="24"/>
          <w:szCs w:val="24"/>
        </w:rPr>
        <w:t>Nanodrop</w:t>
      </w:r>
      <w:proofErr w:type="spellEnd"/>
      <w:r w:rsidRPr="00C71AEA">
        <w:rPr>
          <w:rFonts w:ascii="Times New Roman" w:hAnsi="Times New Roman" w:cs="Times New Roman" w:hint="eastAsia"/>
          <w:sz w:val="24"/>
          <w:szCs w:val="24"/>
        </w:rPr>
        <w:t xml:space="preserve"> 2000 (</w:t>
      </w:r>
      <w:proofErr w:type="spellStart"/>
      <w:r w:rsidRPr="00C71AEA">
        <w:rPr>
          <w:rFonts w:ascii="Times New Roman" w:hAnsi="Times New Roman" w:cs="Times New Roman" w:hint="eastAsia"/>
          <w:sz w:val="24"/>
          <w:szCs w:val="24"/>
        </w:rPr>
        <w:t>Thermoscientific</w:t>
      </w:r>
      <w:proofErr w:type="spellEnd"/>
      <w:r w:rsidRPr="00C71AEA">
        <w:rPr>
          <w:rFonts w:ascii="Times New Roman" w:hAnsi="Times New Roman" w:cs="Times New Roman" w:hint="eastAsia"/>
          <w:sz w:val="24"/>
          <w:szCs w:val="24"/>
        </w:rPr>
        <w:t>, USA). Only PCR products with concentration &gt; 10 ng</w:t>
      </w:r>
      <w:r w:rsidRPr="00C71AEA">
        <w:rPr>
          <w:rFonts w:ascii="Times New Roman" w:hAnsi="Times New Roman" w:cs="Times New Roman" w:hint="eastAsia"/>
          <w:sz w:val="24"/>
          <w:szCs w:val="24"/>
        </w:rPr>
        <w:t>μ</w:t>
      </w:r>
      <w:r w:rsidRPr="00C71AEA">
        <w:rPr>
          <w:rFonts w:ascii="Times New Roman" w:hAnsi="Times New Roman" w:cs="Times New Roman" w:hint="eastAsia"/>
          <w:sz w:val="24"/>
          <w:szCs w:val="24"/>
        </w:rPr>
        <w:t>L</w:t>
      </w:r>
      <w:r w:rsidR="002A67DD" w:rsidRPr="002A67D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71AEA">
        <w:rPr>
          <w:rFonts w:ascii="Times New Roman" w:hAnsi="Times New Roman" w:cs="Times New Roman" w:hint="eastAsia"/>
          <w:sz w:val="24"/>
          <w:szCs w:val="24"/>
        </w:rPr>
        <w:t xml:space="preserve"> and OD 260 / OD 280</w:t>
      </w:r>
      <w:r w:rsidRPr="00C71AEA">
        <w:rPr>
          <w:rFonts w:ascii="Times New Roman" w:hAnsi="Times New Roman" w:cs="Times New Roman" w:hint="eastAsia"/>
          <w:sz w:val="24"/>
          <w:szCs w:val="24"/>
        </w:rPr>
        <w:t>≈</w:t>
      </w:r>
      <w:r w:rsidRPr="00C71AEA">
        <w:rPr>
          <w:rFonts w:ascii="Times New Roman" w:hAnsi="Times New Roman" w:cs="Times New Roman" w:hint="eastAsia"/>
          <w:sz w:val="24"/>
          <w:szCs w:val="24"/>
        </w:rPr>
        <w:t>1.8 were used, others were discarded</w:t>
      </w:r>
      <w:r w:rsidRPr="00C71AEA">
        <w:rPr>
          <w:rFonts w:ascii="Times New Roman" w:hAnsi="Times New Roman" w:cs="Times New Roman"/>
          <w:sz w:val="24"/>
          <w:szCs w:val="24"/>
        </w:rPr>
        <w:t xml:space="preserve"> and re-amplified to ensure the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sequencing quality. The final PCR products from all samples were mixed at equimolar concentrations and then subjected to Illumina </w:t>
      </w:r>
      <w:proofErr w:type="spellStart"/>
      <w:r w:rsidRPr="00C71AEA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Pr="00C71AEA">
        <w:rPr>
          <w:rFonts w:ascii="Times New Roman" w:hAnsi="Times New Roman" w:cs="Times New Roman"/>
          <w:sz w:val="24"/>
          <w:szCs w:val="24"/>
        </w:rPr>
        <w:t xml:space="preserve"> platform at Environmental Genome Platform of Chengdu Institute of Biology, Chinese Academy of Sciences. 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850"/>
        <w:gridCol w:w="284"/>
        <w:gridCol w:w="708"/>
        <w:gridCol w:w="709"/>
        <w:gridCol w:w="284"/>
        <w:gridCol w:w="850"/>
        <w:gridCol w:w="709"/>
      </w:tblGrid>
      <w:tr w:rsidR="00D97492" w:rsidRPr="00873EF7" w14:paraId="6BB3C633" w14:textId="77777777" w:rsidTr="00972516">
        <w:tc>
          <w:tcPr>
            <w:tcW w:w="8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F61B2" w14:textId="243849B9" w:rsidR="00D97492" w:rsidRPr="00873EF7" w:rsidRDefault="00D97492" w:rsidP="00972516">
            <w:pPr>
              <w:spacing w:line="30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able</w:t>
            </w:r>
            <w:r w:rsidRPr="00873E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EF7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A67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873E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One</w:t>
            </w: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way ANOVA examining the effects of compost addition (C)</w:t>
            </w: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on the abundant phyl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of soil bacteria in seedling, flowering and mature stage</w:t>
            </w: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7492" w:rsidRPr="00873EF7" w14:paraId="5762826C" w14:textId="77777777" w:rsidTr="00972516"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778E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52E60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Seedling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0DC3D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CEF3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Flowering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2DDC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309A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Mature</w:t>
            </w:r>
          </w:p>
        </w:tc>
      </w:tr>
      <w:tr w:rsidR="00D97492" w:rsidRPr="00873EF7" w14:paraId="688DEB33" w14:textId="77777777" w:rsidTr="00972516"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25A7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phylum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D93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E4BD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FE1FA" w14:textId="77777777" w:rsidR="00D97492" w:rsidRPr="00873EF7" w:rsidRDefault="00D97492" w:rsidP="0097251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D051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A2CD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E40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9D0C8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8C9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D97492" w:rsidRPr="00873EF7" w14:paraId="731B83E6" w14:textId="77777777" w:rsidTr="00972516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784FC04" w14:textId="77777777" w:rsidR="00D97492" w:rsidRPr="00873EF7" w:rsidRDefault="00D97492" w:rsidP="00972516">
            <w:pPr>
              <w:spacing w:line="300" w:lineRule="auto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Bacteria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4DBED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5EEF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1D215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95F05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32D1C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A6059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19DA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7A6FD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21EA0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D97492" w:rsidRPr="00873EF7" w14:paraId="6D082BB0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016B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AC83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E157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AC04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0927C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0553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2BB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2A2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CF8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E16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D97492" w:rsidRPr="00873EF7" w14:paraId="2393EF60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FCE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9DB5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Armatimonadetes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EB5E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3AF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941C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E9B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C88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B67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ECFC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863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D97492" w:rsidRPr="00873EF7" w14:paraId="48B49924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0D1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15AD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847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C6B0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9BF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79C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234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666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A6A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219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97492" w:rsidRPr="00873EF7" w14:paraId="150206B0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E5C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D144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E15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3877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0186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ED4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4EF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D86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1F71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6F9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D97492" w:rsidRPr="00873EF7" w14:paraId="084BF96B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74ED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DA08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43588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66F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F34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A246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E74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2A5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05E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2E88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D97492" w:rsidRPr="00873EF7" w14:paraId="40D39105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C217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906C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4FF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4F5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0D2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985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CE91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5E6E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E87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C7B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D97492" w:rsidRPr="00873EF7" w14:paraId="1AD7BD63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F48F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8B2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E16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2932C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AA5E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B88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B1D5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1120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C9F2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B15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D97492" w:rsidRPr="00873EF7" w14:paraId="2FC69AC6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943D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CCB7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Elusimicrobia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8B3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2ED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219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45E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7E91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E5D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222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083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D97492" w:rsidRPr="00873EF7" w14:paraId="19EA738E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C619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8B885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Fibrobacteres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B981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7E2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281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C69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2B7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A9E8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FD59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DC9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D97492" w:rsidRPr="00873EF7" w14:paraId="20D77B5E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FF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596E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AB1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ACBA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A88C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BA2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A6C5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A63D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11E8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FC7F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97492" w:rsidRPr="00873EF7" w14:paraId="0B3354C6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48BC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442B1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Gemmatimonadetes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468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CAA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87C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8092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F79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1E9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411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54E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D97492" w:rsidRPr="00873EF7" w14:paraId="03E6D94F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F98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BD84E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Nitrospirae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E74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587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FC7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0F5B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2AF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3314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5573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BEB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97492" w:rsidRPr="00873EF7" w14:paraId="7FFADF5B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B5DF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1516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Planctomycetes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2E1F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3C5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D8767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590D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5317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C79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2E7C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CE7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97492" w:rsidRPr="00873EF7" w14:paraId="79B12E52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7995F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C054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492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15A1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5CE0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CC46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7D89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BE0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AA1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4FE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97492" w:rsidRPr="00873EF7" w14:paraId="379DC4FE" w14:textId="77777777" w:rsidTr="00972516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F9D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FCFA0" w14:textId="77777777" w:rsidR="00D97492" w:rsidRPr="00873EF7" w:rsidRDefault="00D97492" w:rsidP="00972516">
            <w:pPr>
              <w:spacing w:line="300" w:lineRule="auto"/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D062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164D3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5D302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CE431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B1E4B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5EBB5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024AA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B8A84" w14:textId="77777777" w:rsidR="00D97492" w:rsidRPr="00873EF7" w:rsidRDefault="00D97492" w:rsidP="00972516">
            <w:pPr>
              <w:spacing w:line="30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73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</w:tbl>
    <w:p w14:paraId="58BF3A8E" w14:textId="72501549" w:rsidR="00E80918" w:rsidRPr="00D97492" w:rsidRDefault="00E80918" w:rsidP="00E8091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B3636B9" w14:textId="77777777" w:rsidR="00E80918" w:rsidRDefault="00E80918" w:rsidP="00E80918"/>
    <w:p w14:paraId="38D6D78E" w14:textId="77777777" w:rsidR="001328E0" w:rsidRDefault="001328E0" w:rsidP="00E80918">
      <w:pPr>
        <w:sectPr w:rsidR="001328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983"/>
        <w:gridCol w:w="839"/>
        <w:gridCol w:w="784"/>
        <w:gridCol w:w="839"/>
        <w:gridCol w:w="784"/>
        <w:gridCol w:w="839"/>
        <w:gridCol w:w="784"/>
        <w:gridCol w:w="8448"/>
      </w:tblGrid>
      <w:tr w:rsidR="001328E0" w:rsidRPr="001328E0" w14:paraId="6C70B09F" w14:textId="77777777" w:rsidTr="001328E0">
        <w:trPr>
          <w:trHeight w:val="52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8E6F2" w14:textId="1E71005F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S2</w:t>
            </w:r>
            <w:r w:rsidR="002A67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1328E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Kruskal-Willis examining the effects of compost addition (C) on the abundant OTUs of bacteria in seedling, flowering and mature stage.</w:t>
            </w:r>
          </w:p>
        </w:tc>
      </w:tr>
      <w:tr w:rsidR="001328E0" w:rsidRPr="001328E0" w14:paraId="1C8E1F60" w14:textId="77777777" w:rsidTr="001328E0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4B46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8C761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Seedling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9B6B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Flowering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84725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Mature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DFFE1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Classification</w:t>
            </w:r>
          </w:p>
        </w:tc>
      </w:tr>
      <w:tr w:rsidR="001328E0" w:rsidRPr="001328E0" w14:paraId="5BFF919A" w14:textId="77777777" w:rsidTr="001328E0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6680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20A0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X</w:t>
            </w:r>
            <w:r w:rsidRPr="001328E0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7391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6B22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X</w:t>
            </w:r>
            <w:r w:rsidRPr="001328E0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E3B5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868E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X</w:t>
            </w:r>
            <w:r w:rsidRPr="001328E0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C508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99B17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28E0" w:rsidRPr="001328E0" w14:paraId="21339F99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AF6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5F2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10.542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39B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512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4.919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502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0CA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1.814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979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8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558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Proteobacteria|Alphaproteobacteria|Rhizobiales|Bradyrhizobiaceae|Bradyrhizobium</w:t>
            </w:r>
          </w:p>
        </w:tc>
      </w:tr>
      <w:tr w:rsidR="001328E0" w:rsidRPr="001328E0" w14:paraId="35E8B4D5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6BD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57A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344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7CF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6.945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D865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C92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4.386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0DC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43A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Bacteroidetes|Saprospirae|Saprospirales|Chitinophagaceae|Flavisolibacter</w:t>
            </w:r>
          </w:p>
        </w:tc>
      </w:tr>
      <w:tr w:rsidR="001328E0" w:rsidRPr="001328E0" w14:paraId="2D497968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297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BAA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11.079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7F8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4BA4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6.575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C039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E67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4.815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391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2DF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Acidobacteria|Acidobacteria-6|iii1-15</w:t>
            </w:r>
          </w:p>
        </w:tc>
      </w:tr>
      <w:tr w:rsidR="001328E0" w:rsidRPr="001328E0" w14:paraId="7B48326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5D5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25F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11.969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AD16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FE6E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5.747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3C9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D68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F40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A6B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Proteobacteria|Betaproteobacteria|Ellin6067</w:t>
            </w:r>
          </w:p>
        </w:tc>
      </w:tr>
      <w:tr w:rsidR="001328E0" w:rsidRPr="001328E0" w14:paraId="26ED527F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E87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EC3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6.401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3980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D3E6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9.087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F62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C5A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9.364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6EB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44E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Proteobacteria|Betaproteobacteria|Burkholderiales|Oxalobacteraceae|Janthinobacterium</w:t>
            </w:r>
          </w:p>
        </w:tc>
      </w:tr>
      <w:tr w:rsidR="001328E0" w:rsidRPr="001328E0" w14:paraId="47CB5480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A04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FBA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7.037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9F5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C79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3.872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DE20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9E7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6.702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8A4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94B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Proteobacteria|Alphaproteobacteria|Sphingomonadales|Sphingomonadaceae|Kaistobacter</w:t>
            </w:r>
          </w:p>
        </w:tc>
      </w:tr>
      <w:tr w:rsidR="001328E0" w:rsidRPr="001328E0" w14:paraId="7FC6B35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7D8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90E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11D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E92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8.192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4FA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061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4.043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CE2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CAC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Actinobacteria|Actinobacteria|Actinomycetales|Micrococcaceae|Arthrobacter|psychrolactophilus</w:t>
            </w:r>
          </w:p>
        </w:tc>
      </w:tr>
      <w:tr w:rsidR="001328E0" w:rsidRPr="001328E0" w14:paraId="287AEDCD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1CD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4C0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9.441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A64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9D5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1.825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9677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68A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287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D1E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Proteobacteria|Betaproteobacteria|SC-I-84</w:t>
            </w:r>
          </w:p>
        </w:tc>
      </w:tr>
      <w:tr w:rsidR="001328E0" w:rsidRPr="001328E0" w14:paraId="6A32E92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AB9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6D3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4.482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7C63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54F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8.372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1B87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59C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4.457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A38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088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Proteobacteria|Betaproteobacteria|Burkholderiales|Comamonadaceae|Variovorax|paradoxus</w:t>
            </w:r>
          </w:p>
        </w:tc>
      </w:tr>
      <w:tr w:rsidR="001328E0" w:rsidRPr="001328E0" w14:paraId="360465FF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840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259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8B5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43A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163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015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2.763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4747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C71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Proteobacteria|Betaproteobacteria|Burkholderiales|Comamonadaceae|Methylibium</w:t>
            </w:r>
          </w:p>
        </w:tc>
      </w:tr>
      <w:tr w:rsidR="001328E0" w:rsidRPr="001328E0" w14:paraId="4FFF5839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9C5E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CF5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10.642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EF3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CEF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2.546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FC1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7166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4.519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564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8CE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Proteobacteria|Betaproteobacteria|Burkholderiales|Comamonadaceae|Ramlibacter</w:t>
            </w:r>
          </w:p>
        </w:tc>
      </w:tr>
      <w:tr w:rsidR="001328E0" w:rsidRPr="001328E0" w14:paraId="5390127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5D4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F73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5.378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B5B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8C5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8.888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9AA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0FA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1.961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537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BA2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Actinobacteria|Actinobacteria|Actinomycetales|Nocardioidaceae|Aeromicrobium</w:t>
            </w:r>
          </w:p>
        </w:tc>
      </w:tr>
      <w:tr w:rsidR="001328E0" w:rsidRPr="001328E0" w14:paraId="64B07EED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0A1C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9E5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1.522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584C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DF9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7.693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966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569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3.756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2C32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9E2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Bacteroidetes|Flavobacteriia|Flavobacteriales|Flavobacteriaceae|Flavobacterium|succinicans</w:t>
            </w:r>
          </w:p>
        </w:tc>
      </w:tr>
      <w:tr w:rsidR="001328E0" w:rsidRPr="001328E0" w14:paraId="4F556E6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3E9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D1D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5.937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356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F77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2.572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B50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84E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3.622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6C1A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A8B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Proteobacteria|Gammaproteobacteria|Xanthomonadales|Xanthomonadaceae</w:t>
            </w:r>
          </w:p>
        </w:tc>
      </w:tr>
      <w:tr w:rsidR="001328E0" w:rsidRPr="001328E0" w14:paraId="6874D496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BA1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9E7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E9F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4F9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5.227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967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1C6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3.501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002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60C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Proteobacteria|Gammaproteobacteria|Xanthomonadales|Sinobacteraceae</w:t>
            </w:r>
          </w:p>
        </w:tc>
      </w:tr>
      <w:tr w:rsidR="001328E0" w:rsidRPr="001328E0" w14:paraId="13B3FFB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C68F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A9D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10.935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7C5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9EA4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3.584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632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ECA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3.472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2E9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3CB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Verrucomicrobia|Spartobacteria|Chthoniobacterales|Chthoniobacteraceae|DA101</w:t>
            </w:r>
          </w:p>
        </w:tc>
      </w:tr>
      <w:tr w:rsidR="001328E0" w:rsidRPr="001328E0" w14:paraId="3F18A0F8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C58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E46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F4F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7E0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5.961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BC0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9C2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3.921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4E9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1F0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Chloroflexi|Ellin6529</w:t>
            </w:r>
          </w:p>
        </w:tc>
      </w:tr>
      <w:tr w:rsidR="001328E0" w:rsidRPr="001328E0" w14:paraId="06818049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17D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8E5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10.508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9E2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36A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2.854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5B6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A95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1.541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E1B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206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Acidobacteria|Solibacteres|Solibacterales|Solibacteraceae|Candidatus|Solibacter</w:t>
            </w:r>
          </w:p>
        </w:tc>
      </w:tr>
      <w:tr w:rsidR="001328E0" w:rsidRPr="001328E0" w14:paraId="698063DA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2FD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EAE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10.245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56DD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2A79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10.321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372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D74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6.492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A548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8C2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Acidobacteria|Chloracidobacteria|RB41</w:t>
            </w:r>
          </w:p>
        </w:tc>
      </w:tr>
      <w:tr w:rsidR="001328E0" w:rsidRPr="001328E0" w14:paraId="480DDF5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834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0A6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7.848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8B46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F350" w14:textId="77777777" w:rsidR="001328E0" w:rsidRPr="001328E0" w:rsidRDefault="001328E0" w:rsidP="001328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3.467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35E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CF3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5.968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8EF4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89F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Bacteroidetes|Saprospirae|Saprospirales|Chitinophagaceae</w:t>
            </w:r>
            <w:proofErr w:type="spellEnd"/>
          </w:p>
        </w:tc>
      </w:tr>
      <w:tr w:rsidR="001328E0" w:rsidRPr="001328E0" w14:paraId="1B1055CD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E9F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B51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7BA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0A3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6.169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785F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587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6.997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406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206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Proteobacteria|Alphaproteobacteria|Sphingomonadales|Sphingomonadaceae|Kaistobacter</w:t>
            </w:r>
          </w:p>
        </w:tc>
      </w:tr>
      <w:tr w:rsidR="001328E0" w:rsidRPr="001328E0" w14:paraId="6F81825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592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62D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CAD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A56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073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3FB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D552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94C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Actinobacteria|Actinobacteria|Actinomycetales|Streptomycetaceae|Streptomyces|mirabilis</w:t>
            </w:r>
          </w:p>
        </w:tc>
      </w:tr>
      <w:tr w:rsidR="001328E0" w:rsidRPr="001328E0" w14:paraId="1FF3BADF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40B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OTU23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998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8.987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622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76C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7.251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EA7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7F9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3.993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A69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DE5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Verrucomicrobia|Spartobacteria|Chthoniobacterales|Chthoniobacteraceae|DA101</w:t>
            </w:r>
          </w:p>
        </w:tc>
      </w:tr>
      <w:tr w:rsidR="001328E0" w:rsidRPr="001328E0" w14:paraId="2B6606A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B0A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3CD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10.399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3BC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F67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3.125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5E7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AA8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3.181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854C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948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Actinobacteria|Thermoleophilia|Solirubrobacterales</w:t>
            </w:r>
            <w:proofErr w:type="spellEnd"/>
          </w:p>
        </w:tc>
      </w:tr>
      <w:tr w:rsidR="001328E0" w:rsidRPr="001328E0" w14:paraId="321F2D07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52A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1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4.447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EEF0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5A7C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1.402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5AC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A4E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4FB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0DD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Actinobacteria|Actinobacteria|Actinomycetales|Mycobacteriaceae|Mycobacterium</w:t>
            </w:r>
          </w:p>
        </w:tc>
      </w:tr>
      <w:tr w:rsidR="001328E0" w:rsidRPr="001328E0" w14:paraId="59016A5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2E4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01C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BE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5A1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11.389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5F3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0E5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12.882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B48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F92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Actinobacteria|Actinobacteria|Actinomycetales|Thermomonosporaceae|Actinomadura|vinacea</w:t>
            </w:r>
          </w:p>
        </w:tc>
      </w:tr>
      <w:tr w:rsidR="001328E0" w:rsidRPr="001328E0" w14:paraId="07B3187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754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42E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08B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E68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0D5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320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110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0.809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0A0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Bacteroidetes|Saprospirae|Saprospirales|Chitinophagaceae</w:t>
            </w:r>
            <w:proofErr w:type="spellEnd"/>
          </w:p>
        </w:tc>
      </w:tr>
      <w:tr w:rsidR="001328E0" w:rsidRPr="001328E0" w14:paraId="306D7D7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6A7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032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7.056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66A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134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2.301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236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EEB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3.982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13E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B04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Proteobacteria|Alphaproteobacteria|Rhizobiales|Hyphomicrobiaceae|Devosia</w:t>
            </w:r>
          </w:p>
        </w:tc>
      </w:tr>
      <w:tr w:rsidR="001328E0" w:rsidRPr="001328E0" w14:paraId="2B4BAF5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363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81F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0A8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80E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712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076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1.963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D6A9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F63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Actinobacteria|Actinobacteria|Actinomycetales|Micromonosporaceae|Dactylosporangium</w:t>
            </w:r>
          </w:p>
        </w:tc>
      </w:tr>
      <w:tr w:rsidR="001328E0" w:rsidRPr="001328E0" w14:paraId="4604BB7C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67A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C4C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7.994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9346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188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4.167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F8A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804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5.725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D49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822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Actinobacteria|Actinobacteria|Actinomycetales|Nocardioidaceae</w:t>
            </w:r>
            <w:proofErr w:type="spellEnd"/>
          </w:p>
        </w:tc>
      </w:tr>
      <w:tr w:rsidR="001328E0" w:rsidRPr="001328E0" w14:paraId="262E721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9544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AFB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1.207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E91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4F1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8.236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9AC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202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8FA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77D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Actinobacteria|Actinobacteria|Actinomycetales|Micromonosporaceae</w:t>
            </w:r>
          </w:p>
        </w:tc>
      </w:tr>
      <w:tr w:rsidR="001328E0" w:rsidRPr="001328E0" w14:paraId="149F3AA6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B7A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C52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9.875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658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99C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10.356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530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881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0A67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F1B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Actinobacteria|Actinobacteria|Actinomycetales|Streptomycetaceae|Streptomyces</w:t>
            </w:r>
          </w:p>
        </w:tc>
      </w:tr>
      <w:tr w:rsidR="001328E0" w:rsidRPr="001328E0" w14:paraId="7C3B7096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B02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6807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11.622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EC1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F0E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8.182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662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A68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9.066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8A7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057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Bacteroidetes|Cytophagia|Cytophagales|Cytophagaceae</w:t>
            </w:r>
            <w:proofErr w:type="spellEnd"/>
          </w:p>
        </w:tc>
      </w:tr>
      <w:tr w:rsidR="001328E0" w:rsidRPr="001328E0" w14:paraId="4807C80B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309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663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12.367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64F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EDF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9.708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7FA9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23A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9.792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E13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8E1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Actinobacteria|Actinobacteria|Actinomycetales|Promicromonosporaceae|Promicromonospora</w:t>
            </w:r>
          </w:p>
        </w:tc>
      </w:tr>
      <w:tr w:rsidR="001328E0" w:rsidRPr="001328E0" w14:paraId="2545B55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236F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B44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5FD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07BB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2.091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DEF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C93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2.489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6B5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EE6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Bacteroidetes|Sphingobacteriia|Sphingobacteriales|Sphingobacteriaceae|Sphingobacterium|multivorum</w:t>
            </w:r>
          </w:p>
        </w:tc>
      </w:tr>
      <w:tr w:rsidR="001328E0" w:rsidRPr="001328E0" w14:paraId="50B0B3F4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EFF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D2A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6.709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61D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A94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2.437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0F9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0B0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5.608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CAAD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B76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Proteobacteria|Gammaproteobacteria|Xanthomonadales|Xanthomonadaceae|Thermomonas</w:t>
            </w:r>
          </w:p>
        </w:tc>
      </w:tr>
      <w:tr w:rsidR="001328E0" w:rsidRPr="001328E0" w14:paraId="5C2C09B2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46BF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96E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5.824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3D98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5BF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3.601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F2FD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00C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1.617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81D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80C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Firmicutes|Bacilli|Bacillales|Bacillaceae|Bacillus|flexus</w:t>
            </w:r>
            <w:proofErr w:type="spellEnd"/>
          </w:p>
        </w:tc>
      </w:tr>
      <w:tr w:rsidR="001328E0" w:rsidRPr="001328E0" w14:paraId="633D0557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C79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6C4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10.713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0FD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B2A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7.837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E7AC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CA0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10.406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69E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B58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Bacteroidetes|Cytophagia|Cytophagales|Cytophagaceae</w:t>
            </w:r>
            <w:proofErr w:type="spellEnd"/>
          </w:p>
        </w:tc>
      </w:tr>
      <w:tr w:rsidR="001328E0" w:rsidRPr="001328E0" w14:paraId="3BEB86B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2C50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8E8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CE3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0EA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7.417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78A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BAC29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91E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0.939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880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Proteobacteria|Gammaproteobacteria|Enterobacteriales|Enterobacteriaceae</w:t>
            </w:r>
          </w:p>
        </w:tc>
      </w:tr>
      <w:tr w:rsidR="001328E0" w:rsidRPr="001328E0" w14:paraId="7ADEDA4B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4FE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1B3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9.196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672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45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6.898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FC3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1B3E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13.389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852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254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Proteobacteria|Deltaproteobacteria|Myxococcales</w:t>
            </w:r>
            <w:proofErr w:type="spellEnd"/>
          </w:p>
        </w:tc>
      </w:tr>
      <w:tr w:rsidR="001328E0" w:rsidRPr="001328E0" w14:paraId="75E281D3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96B7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077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6.679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3C8B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79E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9A8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4B0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81F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D26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Proteobacteria|Gammaproteobacteria|Xanthomonadales|Xanthomonadaceae|Stenotrophomonas</w:t>
            </w:r>
          </w:p>
        </w:tc>
      </w:tr>
      <w:tr w:rsidR="001328E0" w:rsidRPr="001328E0" w14:paraId="2630394B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B80E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E9B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8.731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1F13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903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7.866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A879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A43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10.028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E0D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8D7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Proteobacteria|Gammaproteobacteria|Xanthomonadales|Sinobacteraceae|Steroidobacter</w:t>
            </w:r>
          </w:p>
        </w:tc>
      </w:tr>
      <w:tr w:rsidR="001328E0" w:rsidRPr="001328E0" w14:paraId="244928D0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2C00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6E7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13.097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6FC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FF76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9.304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544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F96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11.468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FD88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F49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Proteobacteria|Gammaproteobacteria|Alteromonadales|Alteromonadaceae|Cellvibrio</w:t>
            </w:r>
          </w:p>
        </w:tc>
      </w:tr>
      <w:tr w:rsidR="001328E0" w:rsidRPr="001328E0" w14:paraId="321AD5C5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72E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E7D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3.411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A307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8ED6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602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0.944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FC7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4.411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CD0A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711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Cyanobacteria|Chloroplast|Streptophyta</w:t>
            </w:r>
            <w:proofErr w:type="spellEnd"/>
          </w:p>
        </w:tc>
      </w:tr>
      <w:tr w:rsidR="001328E0" w:rsidRPr="001328E0" w14:paraId="15BE6F98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C7AC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FAE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11.888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85E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7A14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9.094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D67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AF1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48B4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E3A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Bacteroidetes|Flavobacteriia|Flavobacteriales|Cryomorphaceae|Fluviicola</w:t>
            </w:r>
          </w:p>
        </w:tc>
      </w:tr>
      <w:tr w:rsidR="001328E0" w:rsidRPr="001328E0" w14:paraId="2504E83D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BC47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673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971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C72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7.697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60A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F54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11.578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6BA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E57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Bacteroidetes|Cytophagia|Cytophagales|Cytophagaceae</w:t>
            </w:r>
            <w:proofErr w:type="spellEnd"/>
          </w:p>
        </w:tc>
      </w:tr>
      <w:tr w:rsidR="001328E0" w:rsidRPr="001328E0" w14:paraId="63CCC030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361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DB1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D20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2EB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8.994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FA5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1C4B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11.272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50DB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8F1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Proteobacteria|Gammaproteobacteria|Xanthomonadales|Xanthomonadaceae|Luteimonas</w:t>
            </w:r>
          </w:p>
        </w:tc>
      </w:tr>
      <w:tr w:rsidR="001328E0" w:rsidRPr="001328E0" w14:paraId="1C85164A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EE0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9F87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10.695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D7FE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0A1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3.845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2FE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8E6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5.077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B9B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999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Bacteroidetes|Sphingobacteriia|Sphingobacteriales|Sphingobacteriaceae|Parapedobacter</w:t>
            </w:r>
          </w:p>
        </w:tc>
      </w:tr>
      <w:tr w:rsidR="001328E0" w:rsidRPr="001328E0" w14:paraId="041CF86E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E5F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OTU88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B00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2BE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C57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8.052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3490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3E3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D63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D195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Chloroflexi|Anaerolineae|CFB-26</w:t>
            </w:r>
          </w:p>
        </w:tc>
      </w:tr>
      <w:tr w:rsidR="001328E0" w:rsidRPr="001328E0" w14:paraId="36DD3567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496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21F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8.452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14F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4622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7099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8D2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4.775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7D67A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E0D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Chloroflexi|Anaerolineae|SBR1031|SHA-31</w:t>
            </w:r>
          </w:p>
        </w:tc>
      </w:tr>
      <w:tr w:rsidR="001328E0" w:rsidRPr="001328E0" w14:paraId="09A7E81F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8B14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763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11.642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617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F11E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8.092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FDA4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4C3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12.012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2A2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24C2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Proteobacteria|Alphaproteobacteria|Rhizobiales|Hyphomicrobiaceae|Devosia</w:t>
            </w:r>
          </w:p>
        </w:tc>
      </w:tr>
      <w:tr w:rsidR="001328E0" w:rsidRPr="001328E0" w14:paraId="6E3ECB01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95E0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7716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9.158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501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99E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4.868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977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AAB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8.744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2340D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91D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Chloroflexi|Chloroflexi|Roseiflexales</w:t>
            </w:r>
            <w:proofErr w:type="spellEnd"/>
          </w:p>
        </w:tc>
      </w:tr>
      <w:tr w:rsidR="001328E0" w:rsidRPr="001328E0" w14:paraId="4B7C8FBB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EE6C3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OTU181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BB5A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9.793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56EB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4C7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411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4E5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7.364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56B9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5F57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Bacteroidetes|Flavobacteriia|Flavobacteriales|Flavobacteriaceae|Flavobacterium</w:t>
            </w:r>
          </w:p>
        </w:tc>
      </w:tr>
      <w:tr w:rsidR="001328E0" w:rsidRPr="001328E0" w14:paraId="11BA0DF5" w14:textId="77777777" w:rsidTr="001328E0">
        <w:trPr>
          <w:trHeight w:val="2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D95F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BC3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2.143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9EB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9B63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F4AF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E7F8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10.065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B7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BA1E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Proteobacteria|Deltaproteobacteria|Myxococcales</w:t>
            </w:r>
            <w:proofErr w:type="spellEnd"/>
          </w:p>
        </w:tc>
      </w:tr>
      <w:tr w:rsidR="001328E0" w:rsidRPr="001328E0" w14:paraId="47B45225" w14:textId="77777777" w:rsidTr="001328E0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6298D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OTU205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64CCE1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11.987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4B897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FA656C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6.566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11E801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FE4D4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11.323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E83BC5" w14:textId="77777777" w:rsidR="001328E0" w:rsidRPr="001328E0" w:rsidRDefault="001328E0" w:rsidP="001328E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9C26B" w14:textId="77777777" w:rsidR="001328E0" w:rsidRPr="001328E0" w:rsidRDefault="001328E0" w:rsidP="001328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328E0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Bacteroidetes|Flavobacteriia|Flavobacteriales|Flavobacteriaceae</w:t>
            </w:r>
            <w:proofErr w:type="spellEnd"/>
          </w:p>
        </w:tc>
      </w:tr>
    </w:tbl>
    <w:p w14:paraId="29DE2895" w14:textId="4A3D9DAD" w:rsidR="00E80918" w:rsidRDefault="00E80918" w:rsidP="00E80918"/>
    <w:p w14:paraId="177248ED" w14:textId="64B5C482" w:rsidR="00E80918" w:rsidRPr="00E80918" w:rsidRDefault="00E80918" w:rsidP="00E80918">
      <w:pPr>
        <w:sectPr w:rsidR="00E80918" w:rsidRPr="00E80918" w:rsidSect="001328E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986"/>
        <w:gridCol w:w="1225"/>
        <w:gridCol w:w="974"/>
        <w:gridCol w:w="1889"/>
        <w:gridCol w:w="2095"/>
        <w:gridCol w:w="1837"/>
        <w:gridCol w:w="2211"/>
        <w:gridCol w:w="1489"/>
        <w:gridCol w:w="1154"/>
      </w:tblGrid>
      <w:tr w:rsidR="00E80918" w:rsidRPr="00E80918" w14:paraId="404E91B4" w14:textId="77777777" w:rsidTr="00E80918">
        <w:trPr>
          <w:trHeight w:val="290"/>
        </w:trPr>
        <w:tc>
          <w:tcPr>
            <w:tcW w:w="1386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55C7" w14:textId="18DD13D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8091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Table S</w:t>
            </w:r>
            <w:r w:rsidR="001328E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r w:rsidR="002A67D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E8091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A67D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</w:rPr>
              <w:t>The classification at each taxonomic level of the generalists</w:t>
            </w:r>
            <w:r w:rsidR="002A67DD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</w:rPr>
              <w:t xml:space="preserve">. </w:t>
            </w:r>
          </w:p>
        </w:tc>
      </w:tr>
      <w:tr w:rsidR="00E80918" w:rsidRPr="00E80918" w14:paraId="3E3EA928" w14:textId="77777777" w:rsidTr="00E80918">
        <w:trPr>
          <w:trHeight w:val="300"/>
        </w:trPr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7B2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Treatment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B1E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Generalist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9A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86F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Phylum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86C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39F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Order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738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Family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F87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Genus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274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Speices</w:t>
            </w:r>
            <w:proofErr w:type="spellEnd"/>
          </w:p>
        </w:tc>
      </w:tr>
      <w:tr w:rsidR="00E80918" w:rsidRPr="00E80918" w14:paraId="67561937" w14:textId="77777777" w:rsidTr="00E80918">
        <w:trPr>
          <w:trHeight w:val="29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3F9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734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482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0C9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BF3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Thermoleophilia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B3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Solirubrobacterales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CB1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760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566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C291FF2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4B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3CB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BAF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FC5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Acidobacteria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0C9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Acidobacteriia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C4A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Acidobacteriales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A19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Koribacteraceae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3D6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810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2CE96EC0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7EB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6A2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58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A25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C71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Pedosphaerae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5A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Pedosphaerales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CBC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Ellin515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9DA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31E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F0D5DD5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75D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CA5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19C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OTU1371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499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Planctomycetes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B8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Phycisphaerae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85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WD2101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28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46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A61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C5D503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02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88A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FF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OTU824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7F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Fibrobacteres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22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Fibrobacteria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4A2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258ds10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C38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506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7B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054365C4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524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258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FE5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7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C1D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Deltaproteobacteria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5E4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Myxococcales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53E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Myxococcaceae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D9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858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E9B1CA0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72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5E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AD7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676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49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54D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B5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8A3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Flavobacterium</w:t>
            </w:r>
          </w:p>
        </w:tc>
      </w:tr>
      <w:tr w:rsidR="00E80918" w:rsidRPr="00E80918" w14:paraId="6373B85B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17A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CF8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966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OTU528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F33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54B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878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Alteromonadales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6E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211ds20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F2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4F3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0F66B0C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65A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B04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AAF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OTU1358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18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9B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Thermomicrobia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010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54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B6C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05E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9BA5EE5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AD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4B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2F8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OTU1594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5F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46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Deltaproteobacteria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1A4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C66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38E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7B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DB16DEA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F8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CFD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9B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14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D1E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B14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CDE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Nocardioidaceae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3B0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Nocardioides</w:t>
            </w:r>
            <w:proofErr w:type="spellEnd"/>
          </w:p>
        </w:tc>
      </w:tr>
      <w:tr w:rsidR="00E80918" w:rsidRPr="00E80918" w14:paraId="44A790BE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7E2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775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D78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876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51D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41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Xanthomonadales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0C9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Sinobacteraceae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08F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DF8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1AEC548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A2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58F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9A3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7A2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6D1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56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MND1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1CA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E74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092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510B662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555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B48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FCB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3E1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EB7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080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EAC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Microbacteriaceae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C64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Salinibacterium</w:t>
            </w:r>
            <w:proofErr w:type="spellEnd"/>
          </w:p>
        </w:tc>
      </w:tr>
      <w:tr w:rsidR="00E80918" w:rsidRPr="00E80918" w14:paraId="7E95AD3D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905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138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0B4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4A5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5B4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Thermoleophilia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757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Gaiellales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02D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Gaiellaceae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7C1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D23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077D72C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FEA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884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2C0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29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DFE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Thermoleophilia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418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Gaiellales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18F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Gaiellaceae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24B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D67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4E5E60F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7D1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B8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974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OTU640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57D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2BB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6D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FD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0D2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0CD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0918" w:rsidRPr="00E80918" w14:paraId="2A3586A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7F4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A41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E27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OTU981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120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4B4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978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E7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Thermomonosporaceae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DC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Actinomadura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ED0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echinospora</w:t>
            </w:r>
            <w:proofErr w:type="spellEnd"/>
          </w:p>
        </w:tc>
      </w:tr>
      <w:tr w:rsidR="00E80918" w:rsidRPr="00E80918" w14:paraId="73324B44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AD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7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468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0B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18D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ABS-6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FA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C8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BC2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FD9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03260369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5F9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453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65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A8B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6C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CD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Legionellales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CE6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Coxiellaceae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1F2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Aquicella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F2A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0918" w:rsidRPr="00E80918" w14:paraId="7B070C4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92D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DE5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25E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9E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2D0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Thermomicrobia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BF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AKYG1722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B75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C7C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12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0C67CBD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1C3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348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B5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OTU1193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750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B55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8BD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A58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Chitinophagaceae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283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BF5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4345C157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313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84B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49F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OTU1233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26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Acidobacteria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546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Acidobacteria-6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99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iii1-15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BDD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AA3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46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DA607C0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F4F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1AE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C71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OTU1460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5EC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25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Deltaproteobacteria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19D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Myxococcales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DBB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0B8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E50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3FAB019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3D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140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94C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658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262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FA9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4AE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1D8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12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07DFD6B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95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3F6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64E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OTU317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CFE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BC0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822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018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FB6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6F7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3E37013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E91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F85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08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22B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C4D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429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C6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4E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Sphingomonas</w:t>
            </w:r>
            <w:proofErr w:type="spellEnd"/>
          </w:p>
        </w:tc>
      </w:tr>
      <w:tr w:rsidR="00E80918" w:rsidRPr="00E80918" w14:paraId="260FC7DB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558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FB7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8D4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75A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4CE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Acidimicrobiia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E75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Acidimicrobiales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F19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068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318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07D1B9E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D38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D4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F9C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OTU1182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0D4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Gemmatimonadetes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4F6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Gemm-1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71F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F07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A46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CC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E1F3406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585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B03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E0B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OTU1350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587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Firmicutes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FD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Bacilli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E8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Bacillales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1F8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Paenibacillaceae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758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Thermobacillus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979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composti</w:t>
            </w:r>
            <w:proofErr w:type="spellEnd"/>
          </w:p>
        </w:tc>
      </w:tr>
      <w:tr w:rsidR="00E80918" w:rsidRPr="00E80918" w14:paraId="01A9C56A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935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25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C82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7AA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5E3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054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AB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Hyphomicrobiaceae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39B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Devosia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7C7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0918" w:rsidRPr="00E80918" w14:paraId="1D3046AC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215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CE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3A6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2B8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70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Thermoleophilia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16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Solirubrobacterales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E29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Solirubrobacteraceae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E16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BDE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7532DC6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02B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BD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F5F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CBF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F0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7D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26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Chitinophagaceae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F2D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31D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701E17A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B38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7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3BB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85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6E8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Thermoleophilia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09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Solirubrobacterales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7B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C0D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E52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521124A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F1E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993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1B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F21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06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009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C9D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Nocardioidaceae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018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Kribbella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E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0918" w:rsidRPr="00E80918" w14:paraId="7A8B5FE9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CF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190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E5D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8F4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2BC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458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B8D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Phyllobacteriaceae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032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Mesorhizobium</w:t>
            </w:r>
            <w:proofErr w:type="spellEnd"/>
          </w:p>
        </w:tc>
      </w:tr>
      <w:tr w:rsidR="00E80918" w:rsidRPr="00E80918" w14:paraId="0CCF2D3B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5EE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E93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B10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907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E16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008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Sphingomonadales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B3C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Sphingomonadaceae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9B6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A0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8E5674B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AF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8B7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EA2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OTU365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C9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4D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8B5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Saprospirales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F7D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Chitinophagaceae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91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67F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4F4EEE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65B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8A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299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OTU497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92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83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7DD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Rhizobiales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21D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Phyllobacteriaceae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A15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Aminobacter</w:t>
            </w:r>
            <w:proofErr w:type="spellEnd"/>
          </w:p>
        </w:tc>
      </w:tr>
      <w:tr w:rsidR="00E80918" w:rsidRPr="00E80918" w14:paraId="09D392FF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313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C29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module hubs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9F3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OTU676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BF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Chlorobi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85C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09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75D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0CD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D2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734B055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43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699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EFD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3D2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EB2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EEB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6A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Comamonadaceae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EF8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A3C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706C4FD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8B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8AB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D1C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074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00E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EDD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Roseiflexales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536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91C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BD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23F0E2CD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078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09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D2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8DA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01A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24E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A05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25C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3CA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55E512E3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A50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774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C85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955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FB1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315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Alteromonadales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B8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Alteromonadaceae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159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Cellvibrio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96B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0918" w:rsidRPr="00E80918" w14:paraId="44F357ED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81B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BE2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10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OTU484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69D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0A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668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0C3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Cytophagaceae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AB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7AF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1FC606F4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F9E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3F2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91E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OTU493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AE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A8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Betaproteobacteria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F0D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MND1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839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14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561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6AF755A1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7A8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AC1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02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OTU524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FCF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A47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320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589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9AD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Flavobacterium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7CE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gelidilacus</w:t>
            </w:r>
            <w:proofErr w:type="spellEnd"/>
          </w:p>
        </w:tc>
      </w:tr>
      <w:tr w:rsidR="00E80918" w:rsidRPr="00E80918" w14:paraId="1B57BBB8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F0E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20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C63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OTU608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8A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47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Anaerolineae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A1F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SBR1031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C33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A4b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100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4CC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3904EA5C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4462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22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184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OTU747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EF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EDD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121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Caulobacterales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BC4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Caulobacteraceae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0A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Mycoplana</w:t>
            </w:r>
            <w:proofErr w:type="spellEnd"/>
          </w:p>
        </w:tc>
      </w:tr>
      <w:tr w:rsidR="00E80918" w:rsidRPr="00E80918" w14:paraId="691D9BE8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994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E1B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96F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OTU886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AD7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945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570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831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535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Flavobacterium</w:t>
            </w:r>
          </w:p>
        </w:tc>
      </w:tr>
      <w:tr w:rsidR="00E80918" w:rsidRPr="00E80918" w14:paraId="6A62DF8E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025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0B5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C4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OTU1000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BE9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736E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353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Rhodospirillales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CC0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Rhodospirillaceae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3B0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7F9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80918" w:rsidRPr="00E80918" w14:paraId="44265D62" w14:textId="77777777" w:rsidTr="00E80918">
        <w:trPr>
          <w:trHeight w:val="2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35A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5D8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C25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OTU1243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87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456D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049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Oceanospirillales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1A9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Halomonadaceae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010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Halomonas</w:t>
            </w:r>
            <w:proofErr w:type="spellEnd"/>
          </w:p>
        </w:tc>
      </w:tr>
      <w:tr w:rsidR="00E80918" w:rsidRPr="00E80918" w14:paraId="0BBFE4B3" w14:textId="77777777" w:rsidTr="00E80918">
        <w:trPr>
          <w:trHeight w:val="22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B67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56E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D2E0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CBF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FF44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B27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36A1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Mycobacteriaceae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ACB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Mycobacterium</w:t>
            </w:r>
          </w:p>
        </w:tc>
      </w:tr>
      <w:tr w:rsidR="00E80918" w:rsidRPr="00E80918" w14:paraId="3D401EDB" w14:textId="77777777" w:rsidTr="00E80918">
        <w:trPr>
          <w:trHeight w:val="60"/>
        </w:trPr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708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F28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connectors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7503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OTU12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E3BC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6FA6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Actinobacteria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10A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Actinomycetales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300A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Nocardioidaceae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A0C8" w14:textId="77777777" w:rsidR="00E80918" w:rsidRPr="00E80918" w:rsidRDefault="00E80918" w:rsidP="00E809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8091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Aeromicrobium</w:t>
            </w:r>
            <w:proofErr w:type="spellEnd"/>
          </w:p>
        </w:tc>
      </w:tr>
    </w:tbl>
    <w:p w14:paraId="125E2E47" w14:textId="77777777" w:rsidR="00E80918" w:rsidRDefault="00E80918">
      <w:pPr>
        <w:sectPr w:rsidR="00E80918" w:rsidSect="00E8091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55DEED1" w14:textId="74221508" w:rsidR="00223432" w:rsidRDefault="00744C78" w:rsidP="00744C78">
      <w:pPr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 wp14:anchorId="666B9379" wp14:editId="63F3DCAC">
            <wp:extent cx="3024378" cy="2268474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9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78" cy="22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BA7B" w14:textId="10ED1DEF" w:rsidR="00744C78" w:rsidRPr="00E80918" w:rsidRDefault="00744C78">
      <w:r w:rsidRPr="00586157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Fig</w:t>
      </w:r>
      <w:r w:rsidR="002A67DD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ure</w:t>
      </w:r>
      <w:r w:rsidRPr="00586157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.</w:t>
      </w:r>
      <w:r w:rsidRPr="0058615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="007A720F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2A67D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58615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86157">
        <w:rPr>
          <w:rFonts w:ascii="Times New Roman" w:hAnsi="Times New Roman"/>
          <w:color w:val="000000" w:themeColor="text1"/>
          <w:sz w:val="20"/>
          <w:szCs w:val="20"/>
        </w:rPr>
        <w:t xml:space="preserve">Zi-Pi plot showing the distribution of soil bacterial OTUs based on their topological roles. Each triangle represents an OTU in CK (yellow), LC (green), MC (red) or HC (blue) network. </w:t>
      </w:r>
      <w:r w:rsidRPr="00586157">
        <w:rPr>
          <w:rFonts w:ascii="Times New Roman" w:hAnsi="Times New Roman" w:cs="Times New Roman"/>
          <w:color w:val="000000" w:themeColor="text1"/>
          <w:sz w:val="20"/>
          <w:szCs w:val="20"/>
        </w:rPr>
        <w:t>Abbreviations: CK, control; LC, low level of compost addition; MC, moderate level of compost addition; HC, high level of compost addition.</w:t>
      </w:r>
    </w:p>
    <w:sectPr w:rsidR="00744C78" w:rsidRPr="00E80918" w:rsidSect="00E80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D"/>
    <w:rsid w:val="001328E0"/>
    <w:rsid w:val="00223432"/>
    <w:rsid w:val="002A67DD"/>
    <w:rsid w:val="0047615A"/>
    <w:rsid w:val="00744C78"/>
    <w:rsid w:val="007A720F"/>
    <w:rsid w:val="00986904"/>
    <w:rsid w:val="009E360D"/>
    <w:rsid w:val="00AA68B6"/>
    <w:rsid w:val="00D97492"/>
    <w:rsid w:val="00DF2EBE"/>
    <w:rsid w:val="00E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BDC2"/>
  <w15:chartTrackingRefBased/>
  <w15:docId w15:val="{9FA7ECF8-03F5-4C18-8941-00EF550C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9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0918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59"/>
    <w:rsid w:val="00E80918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wei</dc:creator>
  <cp:keywords/>
  <dc:description/>
  <cp:lastModifiedBy>Premila Ganapathy, Integra-PDY, IN</cp:lastModifiedBy>
  <cp:revision>2</cp:revision>
  <dcterms:created xsi:type="dcterms:W3CDTF">2019-08-08T07:36:00Z</dcterms:created>
  <dcterms:modified xsi:type="dcterms:W3CDTF">2019-08-08T07:36:00Z</dcterms:modified>
</cp:coreProperties>
</file>