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8EFF9" w14:textId="0C0AA9AD" w:rsidR="00331FFB" w:rsidRPr="00517387" w:rsidRDefault="00331FFB" w:rsidP="00331FFB">
      <w:pPr>
        <w:keepNext/>
        <w:keepLines/>
        <w:spacing w:before="240" w:after="240"/>
        <w:outlineLvl w:val="0"/>
        <w:rPr>
          <w:rFonts w:ascii="Arial" w:eastAsia="Times New Roman" w:hAnsi="Arial" w:cs="Times New Roman"/>
          <w:b/>
          <w:sz w:val="24"/>
          <w:szCs w:val="32"/>
        </w:rPr>
      </w:pPr>
      <w:bookmarkStart w:id="0" w:name="_GoBack"/>
      <w:bookmarkEnd w:id="0"/>
      <w:r w:rsidRPr="00517387">
        <w:rPr>
          <w:rFonts w:ascii="Arial" w:eastAsia="Times New Roman" w:hAnsi="Arial" w:cs="Times New Roman"/>
          <w:b/>
          <w:sz w:val="24"/>
          <w:szCs w:val="32"/>
        </w:rPr>
        <w:t>Supplementary</w:t>
      </w:r>
    </w:p>
    <w:p w14:paraId="6D3AE2C5" w14:textId="77777777" w:rsidR="00331FFB" w:rsidRPr="007F449D" w:rsidRDefault="00331FFB" w:rsidP="00331FFB">
      <w:pPr>
        <w:spacing w:line="360" w:lineRule="auto"/>
        <w:rPr>
          <w:rFonts w:ascii="Calibri" w:eastAsia="Calibri" w:hAnsi="Calibri" w:cs="Times New Roman"/>
          <w:b/>
        </w:rPr>
      </w:pPr>
      <w:r w:rsidRPr="007F449D">
        <w:rPr>
          <w:rFonts w:ascii="Arial" w:eastAsia="Calibri" w:hAnsi="Arial" w:cs="Arial"/>
          <w:b/>
          <w:sz w:val="24"/>
          <w:szCs w:val="24"/>
        </w:rPr>
        <w:t>Kinetic and Thermodynamic Characterization of HIV-Protease inhibitors against E35D↑G↑Smutant in the South Africa HIV-1 Subtype C Protease.</w:t>
      </w:r>
    </w:p>
    <w:p w14:paraId="071A8C11" w14:textId="77777777" w:rsidR="00331FFB" w:rsidRPr="007F449D" w:rsidRDefault="00331FFB" w:rsidP="00331FFB">
      <w:pPr>
        <w:spacing w:line="360" w:lineRule="auto"/>
        <w:jc w:val="both"/>
        <w:rPr>
          <w:rFonts w:ascii="Arial" w:eastAsia="Calibri" w:hAnsi="Arial" w:cs="Arial"/>
          <w:sz w:val="24"/>
          <w:szCs w:val="24"/>
        </w:rPr>
      </w:pPr>
      <w:proofErr w:type="spellStart"/>
      <w:r w:rsidRPr="007F449D">
        <w:rPr>
          <w:rFonts w:ascii="Arial" w:eastAsia="Calibri" w:hAnsi="Arial" w:cs="Arial"/>
          <w:b/>
          <w:sz w:val="24"/>
          <w:szCs w:val="24"/>
        </w:rPr>
        <w:t>Sibusiso</w:t>
      </w:r>
      <w:proofErr w:type="spellEnd"/>
      <w:r w:rsidRPr="007F449D">
        <w:rPr>
          <w:rFonts w:ascii="Arial" w:eastAsia="Calibri" w:hAnsi="Arial" w:cs="Arial"/>
          <w:b/>
          <w:sz w:val="24"/>
          <w:szCs w:val="24"/>
        </w:rPr>
        <w:t xml:space="preserve"> B </w:t>
      </w:r>
      <w:proofErr w:type="spellStart"/>
      <w:r w:rsidRPr="007F449D">
        <w:rPr>
          <w:rFonts w:ascii="Arial" w:eastAsia="Calibri" w:hAnsi="Arial" w:cs="Arial"/>
          <w:b/>
          <w:sz w:val="24"/>
          <w:szCs w:val="24"/>
        </w:rPr>
        <w:t>Maseko</w:t>
      </w:r>
      <w:r w:rsidRPr="007F449D">
        <w:rPr>
          <w:rFonts w:ascii="Arial" w:eastAsia="Calibri" w:hAnsi="Arial" w:cs="Arial"/>
          <w:b/>
          <w:sz w:val="24"/>
          <w:szCs w:val="24"/>
          <w:vertAlign w:val="superscript"/>
        </w:rPr>
        <w:t>a</w:t>
      </w:r>
      <w:proofErr w:type="spellEnd"/>
      <w:r w:rsidRPr="007F449D">
        <w:rPr>
          <w:rFonts w:ascii="Arial" w:eastAsia="Calibri" w:hAnsi="Arial" w:cs="Arial"/>
          <w:sz w:val="24"/>
          <w:szCs w:val="24"/>
        </w:rPr>
        <w:t xml:space="preserve">, Eden </w:t>
      </w:r>
      <w:proofErr w:type="spellStart"/>
      <w:r w:rsidRPr="007F449D">
        <w:rPr>
          <w:rFonts w:ascii="Arial" w:eastAsia="Calibri" w:hAnsi="Arial" w:cs="Arial"/>
          <w:sz w:val="24"/>
          <w:szCs w:val="24"/>
        </w:rPr>
        <w:t>Padayachee</w:t>
      </w:r>
      <w:r w:rsidRPr="007F449D">
        <w:rPr>
          <w:rFonts w:ascii="Arial" w:eastAsia="Calibri" w:hAnsi="Arial" w:cs="Arial"/>
          <w:sz w:val="24"/>
          <w:szCs w:val="24"/>
          <w:vertAlign w:val="superscript"/>
        </w:rPr>
        <w:t>a</w:t>
      </w:r>
      <w:proofErr w:type="spellEnd"/>
      <w:r w:rsidRPr="007F449D">
        <w:rPr>
          <w:rFonts w:ascii="Arial" w:eastAsia="Calibri" w:hAnsi="Arial" w:cs="Arial"/>
          <w:sz w:val="24"/>
          <w:szCs w:val="24"/>
        </w:rPr>
        <w:t xml:space="preserve">, </w:t>
      </w:r>
      <w:proofErr w:type="spellStart"/>
      <w:r w:rsidRPr="007F449D">
        <w:rPr>
          <w:rFonts w:ascii="Arial" w:eastAsia="Calibri" w:hAnsi="Arial" w:cs="Arial"/>
          <w:sz w:val="24"/>
          <w:szCs w:val="24"/>
        </w:rPr>
        <w:t>Thavendran</w:t>
      </w:r>
      <w:proofErr w:type="spellEnd"/>
      <w:r w:rsidRPr="007F449D">
        <w:rPr>
          <w:rFonts w:ascii="Arial" w:eastAsia="Calibri" w:hAnsi="Arial" w:cs="Arial"/>
          <w:sz w:val="24"/>
          <w:szCs w:val="24"/>
        </w:rPr>
        <w:t xml:space="preserve"> </w:t>
      </w:r>
      <w:proofErr w:type="spellStart"/>
      <w:r w:rsidRPr="007F449D">
        <w:rPr>
          <w:rFonts w:ascii="Arial" w:eastAsia="Calibri" w:hAnsi="Arial" w:cs="Arial"/>
          <w:sz w:val="24"/>
          <w:szCs w:val="24"/>
        </w:rPr>
        <w:t>Govender</w:t>
      </w:r>
      <w:r w:rsidRPr="007F449D">
        <w:rPr>
          <w:rFonts w:ascii="Arial" w:eastAsia="Calibri" w:hAnsi="Arial" w:cs="Arial"/>
          <w:sz w:val="24"/>
          <w:szCs w:val="24"/>
          <w:vertAlign w:val="superscript"/>
        </w:rPr>
        <w:t>a</w:t>
      </w:r>
      <w:proofErr w:type="spellEnd"/>
      <w:r w:rsidRPr="007F449D">
        <w:rPr>
          <w:rFonts w:ascii="Arial" w:eastAsia="Calibri" w:hAnsi="Arial" w:cs="Arial"/>
          <w:sz w:val="24"/>
          <w:szCs w:val="24"/>
        </w:rPr>
        <w:t xml:space="preserve">, </w:t>
      </w:r>
      <w:proofErr w:type="spellStart"/>
      <w:r w:rsidRPr="007F449D">
        <w:rPr>
          <w:rFonts w:ascii="Arial" w:eastAsia="Calibri" w:hAnsi="Arial" w:cs="Arial"/>
          <w:sz w:val="24"/>
          <w:szCs w:val="24"/>
        </w:rPr>
        <w:t>Yasien</w:t>
      </w:r>
      <w:proofErr w:type="spellEnd"/>
      <w:r w:rsidRPr="007F449D">
        <w:rPr>
          <w:rFonts w:ascii="Arial" w:eastAsia="Calibri" w:hAnsi="Arial" w:cs="Arial"/>
          <w:sz w:val="24"/>
          <w:szCs w:val="24"/>
        </w:rPr>
        <w:t xml:space="preserve"> </w:t>
      </w:r>
      <w:proofErr w:type="spellStart"/>
      <w:r w:rsidRPr="007F449D">
        <w:rPr>
          <w:rFonts w:ascii="Arial" w:eastAsia="Calibri" w:hAnsi="Arial" w:cs="Arial"/>
          <w:sz w:val="24"/>
          <w:szCs w:val="24"/>
        </w:rPr>
        <w:t>Sayed</w:t>
      </w:r>
      <w:r w:rsidRPr="007F449D">
        <w:rPr>
          <w:rFonts w:ascii="Arial" w:eastAsia="Calibri" w:hAnsi="Arial" w:cs="Arial"/>
          <w:sz w:val="24"/>
          <w:szCs w:val="24"/>
          <w:vertAlign w:val="superscript"/>
        </w:rPr>
        <w:t>b</w:t>
      </w:r>
      <w:r w:rsidRPr="007F449D">
        <w:rPr>
          <w:rFonts w:ascii="Arial" w:eastAsia="Calibri" w:hAnsi="Arial" w:cs="Arial"/>
          <w:sz w:val="24"/>
          <w:szCs w:val="24"/>
        </w:rPr>
        <w:t>,Glenn</w:t>
      </w:r>
      <w:proofErr w:type="spellEnd"/>
      <w:r w:rsidRPr="007F449D">
        <w:rPr>
          <w:rFonts w:ascii="Arial" w:eastAsia="Calibri" w:hAnsi="Arial" w:cs="Arial"/>
          <w:sz w:val="24"/>
          <w:szCs w:val="24"/>
        </w:rPr>
        <w:t xml:space="preserve"> EM </w:t>
      </w:r>
      <w:proofErr w:type="spellStart"/>
      <w:r w:rsidRPr="007F449D">
        <w:rPr>
          <w:rFonts w:ascii="Arial" w:eastAsia="Calibri" w:hAnsi="Arial" w:cs="Arial"/>
          <w:sz w:val="24"/>
          <w:szCs w:val="24"/>
        </w:rPr>
        <w:t>Maguire</w:t>
      </w:r>
      <w:r w:rsidRPr="007F449D">
        <w:rPr>
          <w:rFonts w:ascii="Arial" w:eastAsia="Calibri" w:hAnsi="Arial" w:cs="Arial"/>
          <w:sz w:val="24"/>
          <w:szCs w:val="24"/>
          <w:vertAlign w:val="superscript"/>
        </w:rPr>
        <w:t>ac</w:t>
      </w:r>
      <w:proofErr w:type="spellEnd"/>
      <w:r w:rsidRPr="007F449D">
        <w:rPr>
          <w:rFonts w:ascii="Arial" w:eastAsia="Calibri" w:hAnsi="Arial" w:cs="Arial"/>
          <w:sz w:val="24"/>
          <w:szCs w:val="24"/>
        </w:rPr>
        <w:t>, Johnson Lin</w:t>
      </w:r>
      <w:r w:rsidRPr="007F449D">
        <w:rPr>
          <w:rFonts w:ascii="Arial" w:eastAsia="Calibri" w:hAnsi="Arial" w:cs="Arial"/>
          <w:sz w:val="24"/>
          <w:szCs w:val="24"/>
          <w:vertAlign w:val="superscript"/>
        </w:rPr>
        <w:t xml:space="preserve">d </w:t>
      </w:r>
      <w:r w:rsidRPr="007F449D">
        <w:rPr>
          <w:rFonts w:ascii="Arial" w:eastAsia="Calibri" w:hAnsi="Arial" w:cs="Arial"/>
          <w:sz w:val="24"/>
          <w:szCs w:val="24"/>
        </w:rPr>
        <w:t xml:space="preserve">,Hendrik G </w:t>
      </w:r>
      <w:proofErr w:type="spellStart"/>
      <w:r w:rsidRPr="007F449D">
        <w:rPr>
          <w:rFonts w:ascii="Arial" w:eastAsia="Calibri" w:hAnsi="Arial" w:cs="Arial"/>
          <w:sz w:val="24"/>
          <w:szCs w:val="24"/>
        </w:rPr>
        <w:t>Kruger</w:t>
      </w:r>
      <w:r w:rsidRPr="007F449D">
        <w:rPr>
          <w:rFonts w:ascii="Arial" w:eastAsia="Calibri" w:hAnsi="Arial" w:cs="Arial"/>
          <w:sz w:val="24"/>
          <w:szCs w:val="24"/>
          <w:vertAlign w:val="superscript"/>
        </w:rPr>
        <w:t>a</w:t>
      </w:r>
      <w:proofErr w:type="spellEnd"/>
      <w:r w:rsidRPr="007F449D">
        <w:rPr>
          <w:rFonts w:ascii="Arial" w:eastAsia="Calibri" w:hAnsi="Arial" w:cs="Arial"/>
          <w:sz w:val="24"/>
          <w:szCs w:val="24"/>
          <w:vertAlign w:val="superscript"/>
        </w:rPr>
        <w:t>*</w:t>
      </w:r>
    </w:p>
    <w:p w14:paraId="207C1C41" w14:textId="77777777" w:rsidR="00331FFB" w:rsidRPr="007F449D" w:rsidRDefault="00331FFB" w:rsidP="00331FFB">
      <w:pPr>
        <w:jc w:val="both"/>
        <w:rPr>
          <w:rFonts w:ascii="Arial" w:eastAsia="Calibri" w:hAnsi="Arial" w:cs="Arial"/>
          <w:sz w:val="24"/>
          <w:szCs w:val="24"/>
        </w:rPr>
      </w:pPr>
      <w:r w:rsidRPr="007F449D">
        <w:rPr>
          <w:rFonts w:ascii="Arial" w:eastAsia="Calibri" w:hAnsi="Arial" w:cs="Arial"/>
          <w:noProof/>
          <w:sz w:val="24"/>
          <w:szCs w:val="24"/>
          <w:lang w:val="en-US"/>
        </w:rPr>
        <w:drawing>
          <wp:inline distT="0" distB="0" distL="0" distR="0" wp14:anchorId="7A415F63" wp14:editId="38F5563F">
            <wp:extent cx="6051550" cy="2724150"/>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1550" cy="2724150"/>
                    </a:xfrm>
                    <a:prstGeom prst="rect">
                      <a:avLst/>
                    </a:prstGeom>
                    <a:noFill/>
                  </pic:spPr>
                </pic:pic>
              </a:graphicData>
            </a:graphic>
          </wp:inline>
        </w:drawing>
      </w:r>
    </w:p>
    <w:p w14:paraId="5454A64E" w14:textId="77777777" w:rsidR="00331FFB" w:rsidRPr="007F449D" w:rsidRDefault="00331FFB" w:rsidP="00331FFB">
      <w:pPr>
        <w:spacing w:line="240" w:lineRule="auto"/>
        <w:jc w:val="both"/>
        <w:rPr>
          <w:rFonts w:ascii="Arial" w:eastAsia="Calibri" w:hAnsi="Arial" w:cs="Arial"/>
        </w:rPr>
      </w:pPr>
      <w:r w:rsidRPr="007F449D">
        <w:rPr>
          <w:rFonts w:ascii="Arial" w:eastAsia="Calibri" w:hAnsi="Arial" w:cs="Arial"/>
        </w:rPr>
        <w:t xml:space="preserve">Figure S1.  A ribbon representation of the wild type C-SA HIV protease (A) and E35D↑G↑Svariant (B).  Shown in yellow is the aspartic residues (Asp 25/25').  The insertions are shown in pink and tryptophan in blue.  The red spheres are other amino acid mutations found in this variant protease.  The figures were created using UCSF Chimera version 1.9 </w:t>
      </w:r>
      <w:r w:rsidRPr="007F449D">
        <w:rPr>
          <w:rFonts w:ascii="Arial" w:eastAsia="Calibri" w:hAnsi="Arial" w:cs="Arial"/>
        </w:rPr>
        <w:fldChar w:fldCharType="begin"/>
      </w:r>
      <w:r w:rsidRPr="007F449D">
        <w:rPr>
          <w:rFonts w:ascii="Arial" w:eastAsia="Calibri" w:hAnsi="Arial" w:cs="Arial"/>
        </w:rPr>
        <w:instrText xml:space="preserve"> ADDIN EN.CITE &lt;EndNote&gt;&lt;Cite&gt;&lt;Author&gt;Pettersen&lt;/Author&gt;&lt;Year&gt;2004&lt;/Year&gt;&lt;RecNum&gt;28&lt;/RecNum&gt;&lt;DisplayText&gt;[1]&lt;/DisplayText&gt;&lt;record&gt;&lt;rec-number&gt;28&lt;/rec-number&gt;&lt;foreign-keys&gt;&lt;key app="EN" db-id="0t9wv9sz3vxaz1e0r5cx05v5aveetaxa0fee"&gt;28&lt;/key&gt;&lt;/foreign-keys&gt;&lt;ref-type name="Journal Article"&gt;17&lt;/ref-type&gt;&lt;contributors&gt;&lt;authors&gt;&lt;author&gt;Pettersen, E. F.&lt;/author&gt;&lt;author&gt;Goddard, T. D.&lt;/author&gt;&lt;author&gt;Huang, C. C.&lt;/author&gt;&lt;author&gt;Couch, G. S.&lt;/author&gt;&lt;author&gt;Greenblatt, D. M.&lt;/author&gt;&lt;author&gt;Meng, E. C.&lt;/author&gt;&lt;author&gt;Ferrin, T. E.&lt;/author&gt;&lt;/authors&gt;&lt;/contributors&gt;&lt;auth-address&gt;Computer Graphics Laboratory, Department of Pharmaceutical Chemistry, University of California, 600 16th Street, San Francisco, California 94143-2240, USA.&lt;/auth-address&gt;&lt;titles&gt;&lt;title&gt;UCSF Chimera--a visualization system for exploratory research and analysis&lt;/title&gt;&lt;secondary-title&gt;J Comput Chem&lt;/secondary-title&gt;&lt;alt-title&gt;Journal of computational chemistry&lt;/alt-title&gt;&lt;/titles&gt;&lt;periodical&gt;&lt;full-title&gt;J Comput Chem&lt;/full-title&gt;&lt;abbr-1&gt;Journal of computational chemistry&lt;/abbr-1&gt;&lt;/periodical&gt;&lt;alt-periodical&gt;&lt;full-title&gt;Journal of Computational Chemistry&lt;/full-title&gt;&lt;abbr-1&gt;J. Comput. Chem.&lt;/abbr-1&gt;&lt;/alt-periodical&gt;&lt;pages&gt;1605-12&lt;/pages&gt;&lt;volume&gt;25&lt;/volume&gt;&lt;number&gt;13&lt;/number&gt;&lt;edition&gt;2004/07/21&lt;/edition&gt;&lt;keywords&gt;&lt;keyword&gt;Amino Acid Sequence&lt;/keyword&gt;&lt;keyword&gt;Computer Graphics&lt;/keyword&gt;&lt;keyword&gt;Models, Molecular&lt;/keyword&gt;&lt;keyword&gt;Molecular Conformation&lt;/keyword&gt;&lt;keyword&gt;Molecular Sequence Data&lt;/keyword&gt;&lt;keyword&gt;Research&lt;/keyword&gt;&lt;keyword&gt;Sequence Alignment&lt;/keyword&gt;&lt;keyword&gt;Software&lt;/keyword&gt;&lt;keyword&gt;Thermodynamics&lt;/keyword&gt;&lt;/keywords&gt;&lt;dates&gt;&lt;year&gt;2004&lt;/year&gt;&lt;pub-dates&gt;&lt;date&gt;Oct&lt;/date&gt;&lt;/pub-dates&gt;&lt;/dates&gt;&lt;isbn&gt;0192-8651 (Print)&amp;#xD;0192-8651 (Linking)&lt;/isbn&gt;&lt;accession-num&gt;15264254&lt;/accession-num&gt;&lt;urls&gt;&lt;/urls&gt;&lt;electronic-resource-num&gt;10.1002/jcc.20084&lt;/electronic-resource-num&gt;&lt;remote-database-provider&gt;NLM&lt;/remote-database-provider&gt;&lt;language&gt;eng&lt;/language&gt;&lt;/record&gt;&lt;/Cite&gt;&lt;/EndNote&gt;</w:instrText>
      </w:r>
      <w:r w:rsidRPr="007F449D">
        <w:rPr>
          <w:rFonts w:ascii="Arial" w:eastAsia="Calibri" w:hAnsi="Arial" w:cs="Arial"/>
        </w:rPr>
        <w:fldChar w:fldCharType="separate"/>
      </w:r>
      <w:r w:rsidRPr="007F449D">
        <w:rPr>
          <w:rFonts w:ascii="Arial" w:eastAsia="Calibri" w:hAnsi="Arial" w:cs="Arial"/>
          <w:noProof/>
        </w:rPr>
        <w:t>[1]</w:t>
      </w:r>
      <w:r w:rsidRPr="007F449D">
        <w:rPr>
          <w:rFonts w:ascii="Arial" w:eastAsia="Calibri" w:hAnsi="Arial" w:cs="Arial"/>
        </w:rPr>
        <w:fldChar w:fldCharType="end"/>
      </w:r>
      <w:r w:rsidRPr="007F449D">
        <w:rPr>
          <w:rFonts w:ascii="Arial" w:eastAsia="Calibri" w:hAnsi="Arial" w:cs="Arial"/>
        </w:rPr>
        <w:t>.</w:t>
      </w:r>
    </w:p>
    <w:p w14:paraId="4E7CDD1F" w14:textId="77777777" w:rsidR="00331FFB" w:rsidRPr="007F449D" w:rsidRDefault="00331FFB" w:rsidP="00331FFB">
      <w:pPr>
        <w:rPr>
          <w:rFonts w:ascii="Arial" w:eastAsia="Calibri" w:hAnsi="Arial" w:cs="Arial"/>
        </w:rPr>
      </w:pPr>
      <w:r w:rsidRPr="007F449D">
        <w:rPr>
          <w:rFonts w:ascii="Arial" w:eastAsia="Calibri" w:hAnsi="Arial" w:cs="Arial"/>
          <w:noProof/>
          <w:lang w:val="en-US"/>
        </w:rPr>
        <w:lastRenderedPageBreak/>
        <w:drawing>
          <wp:inline distT="0" distB="0" distL="0" distR="0" wp14:anchorId="36FA7D56" wp14:editId="42A72CE6">
            <wp:extent cx="6400800" cy="3030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0" cy="3030855"/>
                    </a:xfrm>
                    <a:prstGeom prst="rect">
                      <a:avLst/>
                    </a:prstGeom>
                    <a:noFill/>
                  </pic:spPr>
                </pic:pic>
              </a:graphicData>
            </a:graphic>
          </wp:inline>
        </w:drawing>
      </w:r>
    </w:p>
    <w:p w14:paraId="273BBF7C" w14:textId="77777777" w:rsidR="00331FFB" w:rsidRPr="007F449D" w:rsidRDefault="00331FFB" w:rsidP="00331FFB">
      <w:pPr>
        <w:rPr>
          <w:rFonts w:ascii="Arial" w:eastAsia="Calibri" w:hAnsi="Arial" w:cs="Arial"/>
        </w:rPr>
      </w:pPr>
    </w:p>
    <w:p w14:paraId="3A2DCDFE" w14:textId="77777777" w:rsidR="00331FFB" w:rsidRPr="007F449D" w:rsidRDefault="00331FFB" w:rsidP="00331FFB">
      <w:pPr>
        <w:spacing w:before="240" w:after="240" w:line="240" w:lineRule="auto"/>
        <w:jc w:val="both"/>
        <w:rPr>
          <w:rFonts w:ascii="Arial" w:eastAsia="Calibri" w:hAnsi="Arial" w:cs="Arial"/>
        </w:rPr>
      </w:pPr>
      <w:r w:rsidRPr="007F449D">
        <w:rPr>
          <w:rFonts w:ascii="Arial" w:eastAsia="Calibri" w:hAnsi="Arial" w:cs="Arial"/>
        </w:rPr>
        <w:t>Figure S2:  Inhibition (K</w:t>
      </w:r>
      <w:r w:rsidRPr="007F449D">
        <w:rPr>
          <w:rFonts w:ascii="Arial" w:eastAsia="Calibri" w:hAnsi="Arial" w:cs="Arial"/>
          <w:vertAlign w:val="subscript"/>
        </w:rPr>
        <w:t>i</w:t>
      </w:r>
      <w:r w:rsidRPr="007F449D">
        <w:rPr>
          <w:rFonts w:ascii="Arial" w:eastAsia="Calibri" w:hAnsi="Arial" w:cs="Arial"/>
        </w:rPr>
        <w:t xml:space="preserve">) of the protease activities of wild type[A] and E35D↑G↑S[B] by RTV The reaction mix contained an increasing substrate concentration (0-250 </w:t>
      </w:r>
      <w:r w:rsidRPr="007F449D">
        <w:rPr>
          <w:rFonts w:ascii="Arial" w:eastAsia="Calibri" w:hAnsi="Arial" w:cs="Arial"/>
        </w:rPr>
        <w:sym w:font="Symbol" w:char="F06D"/>
      </w:r>
      <w:r w:rsidRPr="007F449D">
        <w:rPr>
          <w:rFonts w:ascii="Arial" w:eastAsia="Calibri" w:hAnsi="Arial" w:cs="Arial"/>
        </w:rPr>
        <w:t xml:space="preserve">M); Protease enzyme (50 nM), protease inhibitor (0-10 nM) in a 96-well plate with a total volume of 100 µL (n = 3).  </w:t>
      </w:r>
    </w:p>
    <w:p w14:paraId="0A4449DD" w14:textId="77777777" w:rsidR="00331FFB" w:rsidRPr="007F449D" w:rsidRDefault="00331FFB" w:rsidP="00331FFB">
      <w:pPr>
        <w:spacing w:line="480" w:lineRule="auto"/>
        <w:jc w:val="both"/>
        <w:rPr>
          <w:rFonts w:ascii="Arial" w:eastAsia="Calibri" w:hAnsi="Arial" w:cs="Arial"/>
          <w:sz w:val="24"/>
          <w:szCs w:val="24"/>
        </w:rPr>
      </w:pPr>
      <w:r w:rsidRPr="007F449D">
        <w:rPr>
          <w:rFonts w:ascii="Arial" w:eastAsia="Calibri" w:hAnsi="Arial" w:cs="Arial"/>
          <w:sz w:val="24"/>
          <w:szCs w:val="24"/>
        </w:rPr>
        <w:t xml:space="preserve">The </w:t>
      </w:r>
      <w:r w:rsidRPr="007F449D">
        <w:rPr>
          <w:rFonts w:ascii="Arial" w:eastAsia="Calibri" w:hAnsi="Arial" w:cs="Arial"/>
          <w:iCs/>
          <w:sz w:val="24"/>
          <w:szCs w:val="24"/>
        </w:rPr>
        <w:t>K</w:t>
      </w:r>
      <w:r w:rsidRPr="007F449D">
        <w:rPr>
          <w:rFonts w:ascii="Arial" w:eastAsia="Calibri" w:hAnsi="Arial" w:cs="Arial"/>
          <w:sz w:val="24"/>
          <w:szCs w:val="24"/>
          <w:vertAlign w:val="subscript"/>
        </w:rPr>
        <w:t>i</w:t>
      </w:r>
      <w:r w:rsidRPr="007F449D">
        <w:rPr>
          <w:rFonts w:ascii="Arial" w:eastAsia="Calibri" w:hAnsi="Arial" w:cs="Arial"/>
          <w:sz w:val="24"/>
          <w:szCs w:val="24"/>
        </w:rPr>
        <w:t xml:space="preserve"> values were estimated using a competitive inhibition equation (Equation 1) according to Williams et al.  </w:t>
      </w:r>
      <w:r w:rsidRPr="007F449D">
        <w:rPr>
          <w:rFonts w:ascii="Arial" w:eastAsia="Calibri" w:hAnsi="Arial" w:cs="Arial"/>
          <w:sz w:val="24"/>
          <w:szCs w:val="24"/>
        </w:rPr>
        <w:fldChar w:fldCharType="begin"/>
      </w:r>
      <w:r w:rsidRPr="007F449D">
        <w:rPr>
          <w:rFonts w:ascii="Arial" w:eastAsia="Calibri" w:hAnsi="Arial" w:cs="Arial"/>
          <w:sz w:val="24"/>
          <w:szCs w:val="24"/>
        </w:rPr>
        <w:instrText xml:space="preserve"> ADDIN EN.CITE &lt;EndNote&gt;&lt;Cite&gt;&lt;Author&gt;Kožíšek&lt;/Author&gt;&lt;Year&gt;2004&lt;/Year&gt;&lt;RecNum&gt;31&lt;/RecNum&gt;&lt;DisplayText&gt;[2]&lt;/DisplayText&gt;&lt;record&gt;&lt;rec-number&gt;31&lt;/rec-number&gt;&lt;foreign-keys&gt;&lt;key app="EN" db-id="0t9wv9sz3vxaz1e0r5cx05v5aveetaxa0fee"&gt;31&lt;/key&gt;&lt;/foreign-keys&gt;&lt;ref-type name="Journal Article"&gt;17&lt;/ref-type&gt;&lt;contributors&gt;&lt;authors&gt;&lt;author&gt;Kožíšek, Milan&lt;/author&gt;&lt;author&gt;Prejdová, Jana&lt;/author&gt;&lt;author&gt;Souček, Milan&lt;/author&gt;&lt;author&gt;Machala, Ladislav&lt;/author&gt;&lt;author&gt;Staňková, Marie&lt;/author&gt;&lt;author&gt;Linka, Marek&lt;/author&gt;&lt;author&gt;Brůčková, Marie&lt;/author&gt;&lt;author&gt;Konvalinka, Jan&lt;/author&gt;&lt;/authors&gt;&lt;/contributors&gt;&lt;titles&gt;&lt;title&gt;Characterisation of mutated proteinases derived from HIV-positive patients: enzyme activity, vitality and inhibition&lt;/title&gt;&lt;secondary-title&gt;Collection of Czechoslovak chemical communications&lt;/secondary-title&gt;&lt;/titles&gt;&lt;periodical&gt;&lt;full-title&gt;Collection of Czechoslovak chemical communications&lt;/full-title&gt;&lt;/periodical&gt;&lt;pages&gt;703-714&lt;/pages&gt;&lt;volume&gt;69&lt;/volume&gt;&lt;number&gt;3&lt;/number&gt;&lt;dates&gt;&lt;year&gt;2004&lt;/year&gt;&lt;/dates&gt;&lt;isbn&gt;1212-6950&lt;/isbn&gt;&lt;urls&gt;&lt;/urls&gt;&lt;/record&gt;&lt;/Cite&gt;&lt;/EndNote&gt;</w:instrText>
      </w:r>
      <w:r w:rsidRPr="007F449D">
        <w:rPr>
          <w:rFonts w:ascii="Arial" w:eastAsia="Calibri" w:hAnsi="Arial" w:cs="Arial"/>
          <w:sz w:val="24"/>
          <w:szCs w:val="24"/>
        </w:rPr>
        <w:fldChar w:fldCharType="separate"/>
      </w:r>
      <w:r w:rsidRPr="007F449D">
        <w:rPr>
          <w:rFonts w:ascii="Arial" w:eastAsia="Calibri" w:hAnsi="Arial" w:cs="Arial"/>
          <w:noProof/>
          <w:sz w:val="24"/>
          <w:szCs w:val="24"/>
        </w:rPr>
        <w:t>[2]</w:t>
      </w:r>
      <w:r w:rsidRPr="007F449D">
        <w:rPr>
          <w:rFonts w:ascii="Arial" w:eastAsia="Calibri" w:hAnsi="Arial" w:cs="Arial"/>
          <w:sz w:val="24"/>
          <w:szCs w:val="24"/>
        </w:rPr>
        <w:fldChar w:fldCharType="end"/>
      </w:r>
      <w:r w:rsidRPr="007F449D">
        <w:rPr>
          <w:rFonts w:ascii="Arial" w:eastAsia="Calibri" w:hAnsi="Arial" w:cs="Arial"/>
          <w:sz w:val="24"/>
          <w:szCs w:val="24"/>
        </w:rPr>
        <w:t>.</w:t>
      </w:r>
    </w:p>
    <w:p w14:paraId="78D26CC9" w14:textId="77777777" w:rsidR="00331FFB" w:rsidRPr="007F449D" w:rsidRDefault="00331FFB" w:rsidP="00331FFB">
      <w:pPr>
        <w:rPr>
          <w:rFonts w:ascii="Arial" w:eastAsia="Calibri" w:hAnsi="Arial" w:cs="Arial"/>
        </w:rPr>
      </w:pPr>
    </w:p>
    <w:p w14:paraId="3BA4627E" w14:textId="77777777" w:rsidR="00331FFB" w:rsidRPr="007F449D" w:rsidRDefault="00331FFB" w:rsidP="00331FFB">
      <w:pPr>
        <w:spacing w:line="480" w:lineRule="auto"/>
        <w:ind w:firstLine="720"/>
        <w:jc w:val="both"/>
        <w:rPr>
          <w:rFonts w:ascii="Arial" w:eastAsia="Times New Roman" w:hAnsi="Arial" w:cs="Arial"/>
          <w:b/>
        </w:rPr>
      </w:pPr>
      <w:r w:rsidRPr="007F449D">
        <w:rPr>
          <w:rFonts w:ascii="Arial" w:eastAsia="Times New Roman" w:hAnsi="Arial" w:cs="Arial"/>
          <w:b/>
        </w:rPr>
        <w:t xml:space="preserve">V = </w:t>
      </w:r>
      <m:oMath>
        <m:f>
          <m:fPr>
            <m:ctrlPr>
              <w:rPr>
                <w:rFonts w:ascii="Cambria Math" w:eastAsia="Times New Roman" w:hAnsi="Cambria Math" w:cs="Arial"/>
                <w:b/>
                <w:i/>
                <w:sz w:val="32"/>
                <w:szCs w:val="32"/>
              </w:rPr>
            </m:ctrlPr>
          </m:fPr>
          <m:num>
            <m:r>
              <m:rPr>
                <m:sty m:val="b"/>
              </m:rPr>
              <w:rPr>
                <w:rFonts w:ascii="Cambria Math" w:eastAsia="Times New Roman" w:hAnsi="Cambria Math" w:cs="Arial"/>
                <w:sz w:val="32"/>
                <w:szCs w:val="32"/>
              </w:rPr>
              <m:t>Vmax[S]</m:t>
            </m:r>
          </m:num>
          <m:den>
            <m:r>
              <m:rPr>
                <m:sty m:val="bi"/>
              </m:rPr>
              <w:rPr>
                <w:rFonts w:ascii="Cambria Math" w:eastAsia="Times New Roman" w:hAnsi="Cambria Math" w:cs="Arial"/>
                <w:sz w:val="32"/>
                <w:szCs w:val="32"/>
              </w:rPr>
              <m:t>K</m:t>
            </m:r>
            <m:r>
              <m:rPr>
                <m:sty m:val="b"/>
              </m:rPr>
              <w:rPr>
                <w:rFonts w:ascii="Cambria Math" w:eastAsia="Times New Roman" w:hAnsi="Cambria Math" w:cs="Arial"/>
                <w:sz w:val="32"/>
                <w:szCs w:val="32"/>
              </w:rPr>
              <m:t>m</m:t>
            </m:r>
            <m:d>
              <m:dPr>
                <m:ctrlPr>
                  <w:rPr>
                    <w:rFonts w:ascii="Cambria Math" w:eastAsia="Times New Roman" w:hAnsi="Cambria Math" w:cs="Arial"/>
                    <w:b/>
                    <w:sz w:val="32"/>
                    <w:szCs w:val="32"/>
                  </w:rPr>
                </m:ctrlPr>
              </m:dPr>
              <m:e>
                <m:r>
                  <m:rPr>
                    <m:sty m:val="b"/>
                  </m:rPr>
                  <w:rPr>
                    <w:rFonts w:ascii="Cambria Math" w:eastAsia="Times New Roman" w:hAnsi="Cambria Math" w:cs="Arial"/>
                    <w:sz w:val="32"/>
                    <w:szCs w:val="32"/>
                  </w:rPr>
                  <m:t>1+</m:t>
                </m:r>
                <m:f>
                  <m:fPr>
                    <m:ctrlPr>
                      <w:rPr>
                        <w:rFonts w:ascii="Cambria Math" w:eastAsia="Times New Roman" w:hAnsi="Cambria Math" w:cs="Arial"/>
                        <w:b/>
                        <w:sz w:val="32"/>
                        <w:szCs w:val="32"/>
                      </w:rPr>
                    </m:ctrlPr>
                  </m:fPr>
                  <m:num>
                    <m:d>
                      <m:dPr>
                        <m:begChr m:val="["/>
                        <m:endChr m:val="]"/>
                        <m:ctrlPr>
                          <w:rPr>
                            <w:rFonts w:ascii="Cambria Math" w:eastAsia="Times New Roman" w:hAnsi="Cambria Math" w:cs="Arial"/>
                            <w:b/>
                            <w:sz w:val="32"/>
                            <w:szCs w:val="32"/>
                          </w:rPr>
                        </m:ctrlPr>
                      </m:dPr>
                      <m:e>
                        <m:r>
                          <m:rPr>
                            <m:sty m:val="b"/>
                          </m:rPr>
                          <w:rPr>
                            <w:rFonts w:ascii="Cambria Math" w:eastAsia="Times New Roman" w:hAnsi="Cambria Math" w:cs="Arial"/>
                            <w:sz w:val="32"/>
                            <w:szCs w:val="32"/>
                          </w:rPr>
                          <m:t>I</m:t>
                        </m:r>
                      </m:e>
                    </m:d>
                  </m:num>
                  <m:den>
                    <m:r>
                      <m:rPr>
                        <m:sty m:val="bi"/>
                      </m:rPr>
                      <w:rPr>
                        <w:rFonts w:ascii="Cambria Math" w:eastAsia="Times New Roman" w:hAnsi="Cambria Math" w:cs="Arial"/>
                        <w:sz w:val="32"/>
                        <w:szCs w:val="32"/>
                      </w:rPr>
                      <m:t>Ki</m:t>
                    </m:r>
                  </m:den>
                </m:f>
              </m:e>
            </m:d>
            <m:r>
              <m:rPr>
                <m:sty m:val="b"/>
              </m:rPr>
              <w:rPr>
                <w:rFonts w:ascii="Cambria Math" w:eastAsia="Times New Roman" w:hAnsi="Cambria Math" w:cs="Arial"/>
                <w:sz w:val="32"/>
                <w:szCs w:val="32"/>
              </w:rPr>
              <m:t>+[S</m:t>
            </m:r>
            <m:r>
              <m:rPr>
                <m:sty m:val="bi"/>
              </m:rPr>
              <w:rPr>
                <w:rFonts w:ascii="Cambria Math" w:eastAsia="Times New Roman" w:hAnsi="Cambria Math" w:cs="Arial"/>
                <w:sz w:val="32"/>
                <w:szCs w:val="32"/>
              </w:rPr>
              <m:t>]</m:t>
            </m:r>
          </m:den>
        </m:f>
      </m:oMath>
      <w:r w:rsidRPr="007F449D">
        <w:rPr>
          <w:rFonts w:ascii="Arial" w:eastAsia="Times New Roman" w:hAnsi="Arial" w:cs="Arial"/>
          <w:b/>
          <w:sz w:val="32"/>
          <w:szCs w:val="32"/>
        </w:rPr>
        <w:tab/>
      </w:r>
      <w:r w:rsidRPr="007F449D">
        <w:rPr>
          <w:rFonts w:ascii="Arial" w:eastAsia="Times New Roman" w:hAnsi="Arial" w:cs="Arial"/>
          <w:b/>
          <w:sz w:val="32"/>
          <w:szCs w:val="32"/>
        </w:rPr>
        <w:tab/>
      </w:r>
      <w:r w:rsidRPr="007F449D">
        <w:rPr>
          <w:rFonts w:ascii="Arial" w:eastAsia="Times New Roman" w:hAnsi="Arial" w:cs="Arial"/>
          <w:b/>
          <w:sz w:val="32"/>
          <w:szCs w:val="32"/>
        </w:rPr>
        <w:tab/>
      </w:r>
      <w:r w:rsidRPr="007F449D">
        <w:rPr>
          <w:rFonts w:ascii="Arial" w:eastAsia="Times New Roman" w:hAnsi="Arial" w:cs="Arial"/>
          <w:b/>
          <w:sz w:val="32"/>
          <w:szCs w:val="32"/>
        </w:rPr>
        <w:tab/>
      </w:r>
      <w:r w:rsidRPr="007F449D">
        <w:rPr>
          <w:rFonts w:ascii="Arial" w:eastAsia="Times New Roman" w:hAnsi="Arial" w:cs="Arial"/>
          <w:b/>
          <w:sz w:val="32"/>
          <w:szCs w:val="32"/>
        </w:rPr>
        <w:tab/>
      </w:r>
      <w:r w:rsidRPr="007F449D">
        <w:rPr>
          <w:rFonts w:ascii="Arial" w:eastAsia="Times New Roman" w:hAnsi="Arial" w:cs="Arial"/>
          <w:b/>
          <w:sz w:val="32"/>
          <w:szCs w:val="32"/>
        </w:rPr>
        <w:tab/>
      </w:r>
      <w:r w:rsidRPr="007F449D">
        <w:rPr>
          <w:rFonts w:ascii="Arial" w:eastAsia="Times New Roman" w:hAnsi="Arial" w:cs="Arial"/>
          <w:b/>
          <w:sz w:val="32"/>
          <w:szCs w:val="32"/>
        </w:rPr>
        <w:tab/>
      </w:r>
      <w:r w:rsidRPr="007F449D">
        <w:rPr>
          <w:rFonts w:ascii="Arial" w:eastAsia="Times New Roman" w:hAnsi="Arial" w:cs="Arial"/>
          <w:b/>
          <w:sz w:val="32"/>
          <w:szCs w:val="32"/>
        </w:rPr>
        <w:tab/>
      </w:r>
      <w:r w:rsidRPr="007F449D">
        <w:rPr>
          <w:rFonts w:ascii="Arial" w:eastAsia="Times New Roman" w:hAnsi="Arial" w:cs="Arial"/>
          <w:b/>
        </w:rPr>
        <w:t>(Equation S1)</w:t>
      </w:r>
    </w:p>
    <w:p w14:paraId="2C633ED6" w14:textId="77777777" w:rsidR="00331FFB" w:rsidRPr="007F449D" w:rsidRDefault="00331FFB" w:rsidP="00331FFB">
      <w:pPr>
        <w:autoSpaceDE w:val="0"/>
        <w:autoSpaceDN w:val="0"/>
        <w:adjustRightInd w:val="0"/>
        <w:spacing w:line="480" w:lineRule="auto"/>
        <w:jc w:val="both"/>
        <w:rPr>
          <w:rFonts w:ascii="Arial" w:eastAsia="Times New Roman" w:hAnsi="Arial" w:cs="Arial"/>
          <w:sz w:val="24"/>
          <w:szCs w:val="24"/>
        </w:rPr>
      </w:pPr>
      <w:r w:rsidRPr="007F449D">
        <w:rPr>
          <w:rFonts w:ascii="Arial" w:eastAsia="Times New Roman" w:hAnsi="Arial" w:cs="Arial"/>
          <w:sz w:val="24"/>
          <w:szCs w:val="24"/>
        </w:rPr>
        <w:t>[I] is the inhibitor concentration, K</w:t>
      </w:r>
      <w:r w:rsidRPr="007F449D">
        <w:rPr>
          <w:rFonts w:ascii="Arial" w:eastAsia="Times New Roman" w:hAnsi="Arial" w:cs="Arial"/>
          <w:sz w:val="24"/>
          <w:szCs w:val="24"/>
          <w:vertAlign w:val="subscript"/>
        </w:rPr>
        <w:t>m</w:t>
      </w:r>
      <w:r w:rsidRPr="007F449D">
        <w:rPr>
          <w:rFonts w:ascii="Arial" w:eastAsia="Times New Roman" w:hAnsi="Arial" w:cs="Arial"/>
          <w:sz w:val="24"/>
          <w:szCs w:val="24"/>
        </w:rPr>
        <w:t xml:space="preserve"> is the Michaelis constant, K</w:t>
      </w:r>
      <w:r w:rsidRPr="007F449D">
        <w:rPr>
          <w:rFonts w:ascii="Arial" w:eastAsia="Times New Roman" w:hAnsi="Arial" w:cs="Arial"/>
          <w:sz w:val="24"/>
          <w:szCs w:val="24"/>
          <w:vertAlign w:val="subscript"/>
        </w:rPr>
        <w:t>i</w:t>
      </w:r>
      <w:r w:rsidRPr="007F449D">
        <w:rPr>
          <w:rFonts w:ascii="Arial" w:eastAsia="Times New Roman" w:hAnsi="Arial" w:cs="Arial"/>
          <w:sz w:val="24"/>
          <w:szCs w:val="24"/>
        </w:rPr>
        <w:t xml:space="preserve"> is the inhibition constant, V and V</w:t>
      </w:r>
      <w:r w:rsidRPr="007F449D">
        <w:rPr>
          <w:rFonts w:ascii="Arial" w:eastAsia="Times New Roman" w:hAnsi="Arial" w:cs="Arial"/>
          <w:sz w:val="24"/>
          <w:szCs w:val="24"/>
          <w:vertAlign w:val="subscript"/>
        </w:rPr>
        <w:t xml:space="preserve">max </w:t>
      </w:r>
      <w:r w:rsidRPr="007F449D">
        <w:rPr>
          <w:rFonts w:ascii="Arial" w:eastAsia="Times New Roman" w:hAnsi="Arial" w:cs="Arial"/>
          <w:sz w:val="24"/>
          <w:szCs w:val="24"/>
        </w:rPr>
        <w:t>are the velocity and the maximum velocity of the enzyme, respectively.</w:t>
      </w:r>
    </w:p>
    <w:p w14:paraId="766E6105" w14:textId="77777777" w:rsidR="00331FFB" w:rsidRPr="007F449D" w:rsidRDefault="00331FFB" w:rsidP="00331FFB">
      <w:pPr>
        <w:autoSpaceDE w:val="0"/>
        <w:autoSpaceDN w:val="0"/>
        <w:adjustRightInd w:val="0"/>
        <w:spacing w:line="480" w:lineRule="auto"/>
        <w:jc w:val="both"/>
        <w:rPr>
          <w:rFonts w:ascii="Arial" w:eastAsia="Times New Roman" w:hAnsi="Arial" w:cs="Arial"/>
          <w:sz w:val="24"/>
          <w:szCs w:val="24"/>
        </w:rPr>
      </w:pPr>
    </w:p>
    <w:p w14:paraId="038CEF63" w14:textId="77777777" w:rsidR="00331FFB" w:rsidRPr="007F449D" w:rsidRDefault="00331FFB" w:rsidP="00331FFB">
      <w:pPr>
        <w:autoSpaceDE w:val="0"/>
        <w:autoSpaceDN w:val="0"/>
        <w:adjustRightInd w:val="0"/>
        <w:spacing w:line="480" w:lineRule="auto"/>
        <w:jc w:val="both"/>
        <w:rPr>
          <w:rFonts w:ascii="Arial" w:eastAsia="Times New Roman" w:hAnsi="Arial" w:cs="Arial"/>
          <w:sz w:val="24"/>
          <w:szCs w:val="24"/>
        </w:rPr>
      </w:pPr>
      <w:r w:rsidRPr="007F449D">
        <w:rPr>
          <w:rFonts w:ascii="Arial" w:eastAsia="Times New Roman" w:hAnsi="Arial" w:cs="Arial"/>
          <w:noProof/>
          <w:sz w:val="24"/>
          <w:szCs w:val="24"/>
          <w:lang w:val="en-US"/>
        </w:rPr>
        <w:lastRenderedPageBreak/>
        <w:drawing>
          <wp:inline distT="0" distB="0" distL="0" distR="0" wp14:anchorId="22725989" wp14:editId="17E1986A">
            <wp:extent cx="6138645" cy="216784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7067" cy="2174353"/>
                    </a:xfrm>
                    <a:prstGeom prst="rect">
                      <a:avLst/>
                    </a:prstGeom>
                    <a:noFill/>
                  </pic:spPr>
                </pic:pic>
              </a:graphicData>
            </a:graphic>
          </wp:inline>
        </w:drawing>
      </w:r>
    </w:p>
    <w:p w14:paraId="50C8521A" w14:textId="77777777" w:rsidR="00331FFB" w:rsidRPr="007F449D" w:rsidRDefault="00331FFB" w:rsidP="00331FFB">
      <w:pPr>
        <w:spacing w:line="240" w:lineRule="auto"/>
        <w:jc w:val="both"/>
        <w:rPr>
          <w:rFonts w:ascii="Arial" w:eastAsia="Calibri" w:hAnsi="Arial" w:cs="Arial"/>
        </w:rPr>
      </w:pPr>
      <w:r w:rsidRPr="007F449D">
        <w:rPr>
          <w:rFonts w:ascii="Arial" w:eastAsia="Calibri" w:hAnsi="Arial" w:cs="Arial"/>
        </w:rPr>
        <w:t xml:space="preserve">Figure S3:  Examples of Stern Volmer plots for fluorescence quenching of WT (A) and the mutant E35D↑G↑Sin 50 mM Sodium Acetate buffer (pH 5) containing NaCl (1M) in a final volume (100 µl) when treated with Ritonavir at different temperatures (n = 3).  </w:t>
      </w:r>
    </w:p>
    <w:p w14:paraId="30027E92" w14:textId="77777777" w:rsidR="00331FFB" w:rsidRPr="007F449D" w:rsidRDefault="00331FFB" w:rsidP="00331FFB">
      <w:pPr>
        <w:jc w:val="both"/>
        <w:rPr>
          <w:rFonts w:ascii="Arial" w:eastAsia="Calibri" w:hAnsi="Arial" w:cs="Arial"/>
        </w:rPr>
      </w:pPr>
      <w:r w:rsidRPr="007F449D">
        <w:rPr>
          <w:rFonts w:ascii="Arial" w:eastAsia="Calibri" w:hAnsi="Arial" w:cs="Arial"/>
          <w:noProof/>
          <w:lang w:val="en-US"/>
        </w:rPr>
        <w:drawing>
          <wp:inline distT="0" distB="0" distL="0" distR="0" wp14:anchorId="44A0E476" wp14:editId="6B69676B">
            <wp:extent cx="5562600" cy="1966522"/>
            <wp:effectExtent l="0" t="0" r="0" b="0"/>
            <wp:docPr id="7" name="Picture 1">
              <a:extLst xmlns:a="http://schemas.openxmlformats.org/drawingml/2006/main">
                <a:ext uri="{FF2B5EF4-FFF2-40B4-BE49-F238E27FC236}">
                  <a16:creationId xmlns:a16="http://schemas.microsoft.com/office/drawing/2014/main" id="{00B3A84A-F61D-4860-BB0B-A8CB4ECB8C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B3A84A-F61D-4860-BB0B-A8CB4ECB8CE8}"/>
                        </a:ext>
                      </a:extLst>
                    </pic:cNvPr>
                    <pic:cNvPicPr>
                      <a:picLocks noChangeAspect="1"/>
                    </pic:cNvPicPr>
                  </pic:nvPicPr>
                  <pic:blipFill>
                    <a:blip r:embed="rId7"/>
                    <a:stretch>
                      <a:fillRect/>
                    </a:stretch>
                  </pic:blipFill>
                  <pic:spPr>
                    <a:xfrm>
                      <a:off x="0" y="0"/>
                      <a:ext cx="5581523" cy="1973212"/>
                    </a:xfrm>
                    <a:prstGeom prst="rect">
                      <a:avLst/>
                    </a:prstGeom>
                  </pic:spPr>
                </pic:pic>
              </a:graphicData>
            </a:graphic>
          </wp:inline>
        </w:drawing>
      </w:r>
    </w:p>
    <w:p w14:paraId="6ABE79AF" w14:textId="77777777" w:rsidR="00331FFB" w:rsidRPr="007F449D" w:rsidRDefault="00331FFB" w:rsidP="00331FFB">
      <w:pPr>
        <w:spacing w:line="240" w:lineRule="auto"/>
        <w:jc w:val="both"/>
        <w:rPr>
          <w:rFonts w:ascii="Arial" w:eastAsia="Calibri" w:hAnsi="Arial" w:cs="Arial"/>
        </w:rPr>
      </w:pPr>
      <w:r w:rsidRPr="007F449D">
        <w:rPr>
          <w:rFonts w:ascii="Arial" w:eastAsia="Calibri" w:hAnsi="Arial" w:cs="Arial"/>
        </w:rPr>
        <w:t xml:space="preserve">Figure S4:  </w:t>
      </w:r>
      <w:proofErr w:type="spellStart"/>
      <w:r w:rsidRPr="007F449D">
        <w:rPr>
          <w:rFonts w:ascii="Arial" w:eastAsia="Calibri" w:hAnsi="Arial" w:cs="Arial"/>
        </w:rPr>
        <w:t>Van’t</w:t>
      </w:r>
      <w:proofErr w:type="spellEnd"/>
      <w:r w:rsidRPr="007F449D">
        <w:rPr>
          <w:rFonts w:ascii="Arial" w:eastAsia="Calibri" w:hAnsi="Arial" w:cs="Arial"/>
        </w:rPr>
        <w:t xml:space="preserve"> Hoff plots for the determination of thermodynamic data (</w:t>
      </w:r>
      <w:r w:rsidRPr="007F449D">
        <w:rPr>
          <w:rFonts w:ascii="Arial" w:eastAsia="Calibri" w:hAnsi="Arial" w:cs="Arial"/>
        </w:rPr>
        <w:sym w:font="Symbol" w:char="F044"/>
      </w:r>
      <w:r w:rsidRPr="007F449D">
        <w:rPr>
          <w:rFonts w:ascii="Arial" w:eastAsia="Calibri" w:hAnsi="Arial" w:cs="Arial"/>
        </w:rPr>
        <w:t xml:space="preserve">H and </w:t>
      </w:r>
      <w:r w:rsidRPr="007F449D">
        <w:rPr>
          <w:rFonts w:ascii="Arial" w:eastAsia="Calibri" w:hAnsi="Arial" w:cs="Arial"/>
        </w:rPr>
        <w:sym w:font="Symbol" w:char="F044"/>
      </w:r>
      <w:r w:rsidRPr="007F449D">
        <w:rPr>
          <w:rFonts w:ascii="Arial" w:eastAsia="Calibri" w:hAnsi="Arial" w:cs="Arial"/>
        </w:rPr>
        <w:t>S) for the interaction of the protease inhibitor, Ritonavir with HIV protease at different temperatures.  (A) Wild Type (B) Mutant E35D↑G↑S</w:t>
      </w:r>
      <w:r>
        <w:rPr>
          <w:rFonts w:ascii="Arial" w:eastAsia="Calibri" w:hAnsi="Arial" w:cs="Arial"/>
        </w:rPr>
        <w:t xml:space="preserve"> </w:t>
      </w:r>
      <w:r w:rsidRPr="007F449D">
        <w:rPr>
          <w:rFonts w:ascii="Arial" w:eastAsia="Calibri" w:hAnsi="Arial" w:cs="Arial"/>
        </w:rPr>
        <w:t>(n = 3).</w:t>
      </w:r>
    </w:p>
    <w:p w14:paraId="284F15D4" w14:textId="77777777" w:rsidR="00331FFB" w:rsidRPr="007F449D" w:rsidRDefault="00331FFB" w:rsidP="00331FFB">
      <w:pPr>
        <w:spacing w:after="160" w:line="259" w:lineRule="auto"/>
        <w:rPr>
          <w:rFonts w:ascii="Arial" w:eastAsia="Calibri" w:hAnsi="Arial" w:cs="Arial"/>
        </w:rPr>
      </w:pPr>
      <w:r w:rsidRPr="007F449D">
        <w:rPr>
          <w:rFonts w:ascii="Arial" w:eastAsia="Calibri" w:hAnsi="Arial" w:cs="Arial"/>
        </w:rPr>
        <w:br w:type="page"/>
      </w:r>
    </w:p>
    <w:p w14:paraId="7D052507" w14:textId="77777777" w:rsidR="00331FFB" w:rsidRPr="007F449D" w:rsidRDefault="00331FFB" w:rsidP="00331FFB">
      <w:pPr>
        <w:spacing w:after="0" w:line="480" w:lineRule="auto"/>
        <w:ind w:left="720" w:hanging="720"/>
        <w:rPr>
          <w:rFonts w:ascii="Arial" w:eastAsia="Calibri" w:hAnsi="Arial" w:cs="Arial"/>
          <w:b/>
          <w:noProof/>
          <w:sz w:val="24"/>
          <w:szCs w:val="24"/>
          <w:lang w:val="en-US"/>
        </w:rPr>
      </w:pPr>
      <w:r w:rsidRPr="007F449D">
        <w:rPr>
          <w:rFonts w:ascii="Arial" w:eastAsia="Calibri" w:hAnsi="Arial" w:cs="Arial"/>
          <w:b/>
          <w:noProof/>
          <w:sz w:val="24"/>
          <w:szCs w:val="24"/>
          <w:lang w:val="en-US"/>
        </w:rPr>
        <w:lastRenderedPageBreak/>
        <w:t>References</w:t>
      </w:r>
    </w:p>
    <w:p w14:paraId="496A7487" w14:textId="77777777" w:rsidR="00331FFB" w:rsidRPr="007F449D" w:rsidRDefault="00331FFB" w:rsidP="00331FFB">
      <w:pPr>
        <w:spacing w:after="0" w:line="240" w:lineRule="auto"/>
        <w:ind w:left="720" w:hanging="720"/>
        <w:jc w:val="both"/>
        <w:rPr>
          <w:rFonts w:ascii="Arial" w:eastAsia="Calibri" w:hAnsi="Arial" w:cs="Arial"/>
          <w:noProof/>
          <w:sz w:val="24"/>
          <w:szCs w:val="24"/>
          <w:lang w:val="en-US"/>
        </w:rPr>
      </w:pPr>
      <w:r w:rsidRPr="007F449D">
        <w:rPr>
          <w:rFonts w:ascii="Arial" w:eastAsia="Calibri" w:hAnsi="Arial" w:cs="Arial"/>
          <w:noProof/>
          <w:sz w:val="24"/>
          <w:szCs w:val="24"/>
          <w:lang w:val="en-US"/>
        </w:rPr>
        <w:fldChar w:fldCharType="begin"/>
      </w:r>
      <w:r w:rsidRPr="007F449D">
        <w:rPr>
          <w:rFonts w:ascii="Arial" w:eastAsia="Calibri" w:hAnsi="Arial" w:cs="Arial"/>
          <w:noProof/>
          <w:sz w:val="24"/>
          <w:szCs w:val="24"/>
        </w:rPr>
        <w:instrText xml:space="preserve"> ADDIN EN.REFLIST </w:instrText>
      </w:r>
      <w:r w:rsidRPr="007F449D">
        <w:rPr>
          <w:rFonts w:ascii="Arial" w:eastAsia="Calibri" w:hAnsi="Arial" w:cs="Arial"/>
          <w:noProof/>
          <w:sz w:val="24"/>
          <w:szCs w:val="24"/>
          <w:lang w:val="en-US"/>
        </w:rPr>
        <w:fldChar w:fldCharType="separate"/>
      </w:r>
      <w:r w:rsidRPr="007F449D">
        <w:rPr>
          <w:rFonts w:ascii="Arial" w:eastAsia="Calibri" w:hAnsi="Arial" w:cs="Arial"/>
          <w:noProof/>
          <w:sz w:val="24"/>
          <w:szCs w:val="24"/>
          <w:lang w:val="en-US"/>
        </w:rPr>
        <w:t>1.</w:t>
      </w:r>
      <w:r w:rsidRPr="007F449D">
        <w:rPr>
          <w:rFonts w:ascii="Arial" w:eastAsia="Calibri" w:hAnsi="Arial" w:cs="Arial"/>
          <w:noProof/>
          <w:sz w:val="24"/>
          <w:szCs w:val="24"/>
          <w:lang w:val="en-US"/>
        </w:rPr>
        <w:tab/>
        <w:t xml:space="preserve">Pettersen, E.F., et al., </w:t>
      </w:r>
      <w:r w:rsidRPr="007F449D">
        <w:rPr>
          <w:rFonts w:ascii="Arial" w:eastAsia="Calibri" w:hAnsi="Arial" w:cs="Arial"/>
          <w:i/>
          <w:noProof/>
          <w:sz w:val="24"/>
          <w:szCs w:val="24"/>
          <w:lang w:val="en-US"/>
        </w:rPr>
        <w:t>UCSF Chimera--a visualization system for exploratory research and analysis.</w:t>
      </w:r>
      <w:r w:rsidRPr="007F449D">
        <w:rPr>
          <w:rFonts w:ascii="Arial" w:eastAsia="Calibri" w:hAnsi="Arial" w:cs="Arial"/>
          <w:noProof/>
          <w:sz w:val="24"/>
          <w:szCs w:val="24"/>
          <w:lang w:val="en-US"/>
        </w:rPr>
        <w:t xml:space="preserve"> J Comput Chem, 2004. </w:t>
      </w:r>
      <w:r w:rsidRPr="007F449D">
        <w:rPr>
          <w:rFonts w:ascii="Arial" w:eastAsia="Calibri" w:hAnsi="Arial" w:cs="Arial"/>
          <w:b/>
          <w:noProof/>
          <w:sz w:val="24"/>
          <w:szCs w:val="24"/>
          <w:lang w:val="en-US"/>
        </w:rPr>
        <w:t>25</w:t>
      </w:r>
      <w:r w:rsidRPr="007F449D">
        <w:rPr>
          <w:rFonts w:ascii="Arial" w:eastAsia="Calibri" w:hAnsi="Arial" w:cs="Arial"/>
          <w:noProof/>
          <w:sz w:val="24"/>
          <w:szCs w:val="24"/>
          <w:lang w:val="en-US"/>
        </w:rPr>
        <w:t>(13): p. 1605-12.</w:t>
      </w:r>
    </w:p>
    <w:p w14:paraId="140549F8" w14:textId="77777777" w:rsidR="00331FFB" w:rsidRPr="007F449D" w:rsidRDefault="00331FFB" w:rsidP="00331FFB">
      <w:pPr>
        <w:spacing w:after="160" w:line="240" w:lineRule="auto"/>
        <w:ind w:left="720" w:hanging="720"/>
        <w:jc w:val="both"/>
        <w:rPr>
          <w:rFonts w:ascii="Arial" w:eastAsia="Calibri" w:hAnsi="Arial" w:cs="Arial"/>
          <w:noProof/>
          <w:sz w:val="24"/>
          <w:szCs w:val="24"/>
          <w:lang w:val="en-US"/>
        </w:rPr>
      </w:pPr>
      <w:r w:rsidRPr="007F449D">
        <w:rPr>
          <w:rFonts w:ascii="Arial" w:eastAsia="Calibri" w:hAnsi="Arial" w:cs="Arial"/>
          <w:noProof/>
          <w:sz w:val="24"/>
          <w:szCs w:val="24"/>
          <w:lang w:val="en-US"/>
        </w:rPr>
        <w:t>2.</w:t>
      </w:r>
      <w:r w:rsidRPr="007F449D">
        <w:rPr>
          <w:rFonts w:ascii="Arial" w:eastAsia="Calibri" w:hAnsi="Arial" w:cs="Arial"/>
          <w:noProof/>
          <w:sz w:val="24"/>
          <w:szCs w:val="24"/>
          <w:lang w:val="en-US"/>
        </w:rPr>
        <w:tab/>
        <w:t xml:space="preserve">Kožíšek, M., et al., </w:t>
      </w:r>
      <w:r w:rsidRPr="007F449D">
        <w:rPr>
          <w:rFonts w:ascii="Arial" w:eastAsia="Calibri" w:hAnsi="Arial" w:cs="Arial"/>
          <w:i/>
          <w:noProof/>
          <w:sz w:val="24"/>
          <w:szCs w:val="24"/>
          <w:lang w:val="en-US"/>
        </w:rPr>
        <w:t>Characterisation of mutated proteinases derived from HIV-positive patients: enzyme activity, vitality and inhibition.</w:t>
      </w:r>
      <w:r w:rsidRPr="007F449D">
        <w:rPr>
          <w:rFonts w:ascii="Arial" w:eastAsia="Calibri" w:hAnsi="Arial" w:cs="Arial"/>
          <w:noProof/>
          <w:sz w:val="24"/>
          <w:szCs w:val="24"/>
          <w:lang w:val="en-US"/>
        </w:rPr>
        <w:t xml:space="preserve"> Collection of Czechoslovak chemical communications, 2004. </w:t>
      </w:r>
      <w:r w:rsidRPr="007F449D">
        <w:rPr>
          <w:rFonts w:ascii="Arial" w:eastAsia="Calibri" w:hAnsi="Arial" w:cs="Arial"/>
          <w:b/>
          <w:noProof/>
          <w:sz w:val="24"/>
          <w:szCs w:val="24"/>
          <w:lang w:val="en-US"/>
        </w:rPr>
        <w:t>69</w:t>
      </w:r>
      <w:r w:rsidRPr="007F449D">
        <w:rPr>
          <w:rFonts w:ascii="Arial" w:eastAsia="Calibri" w:hAnsi="Arial" w:cs="Arial"/>
          <w:noProof/>
          <w:sz w:val="24"/>
          <w:szCs w:val="24"/>
          <w:lang w:val="en-US"/>
        </w:rPr>
        <w:t>(3): p. 703-714.</w:t>
      </w:r>
    </w:p>
    <w:p w14:paraId="29F36A4A" w14:textId="77777777" w:rsidR="00331FFB" w:rsidRPr="007F449D" w:rsidRDefault="00331FFB" w:rsidP="00331FFB">
      <w:pPr>
        <w:spacing w:after="160" w:line="259" w:lineRule="auto"/>
        <w:jc w:val="both"/>
        <w:rPr>
          <w:rFonts w:ascii="Times New Roman" w:eastAsia="Calibri" w:hAnsi="Times New Roman" w:cs="Times New Roman"/>
          <w:sz w:val="24"/>
          <w:lang w:val="en-US"/>
        </w:rPr>
      </w:pPr>
      <w:r w:rsidRPr="007F449D">
        <w:rPr>
          <w:rFonts w:ascii="Arial" w:eastAsia="Calibri" w:hAnsi="Arial" w:cs="Arial"/>
          <w:sz w:val="24"/>
          <w:szCs w:val="24"/>
        </w:rPr>
        <w:fldChar w:fldCharType="end"/>
      </w:r>
    </w:p>
    <w:p w14:paraId="2E6150C7" w14:textId="1FEAF3D5" w:rsidR="00416198" w:rsidRPr="00331FFB" w:rsidRDefault="00416198" w:rsidP="00331FFB"/>
    <w:sectPr w:rsidR="00416198" w:rsidRPr="00331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t9wv9sz3vxaz1e0r5cx05v5aveetaxa0fee&quot;&gt;My EndNote Library&lt;record-ids&gt;&lt;item&gt;28&lt;/item&gt;&lt;item&gt;31&lt;/item&gt;&lt;/record-ids&gt;&lt;/item&gt;&lt;/Libraries&gt;"/>
  </w:docVars>
  <w:rsids>
    <w:rsidRoot w:val="00620712"/>
    <w:rsid w:val="000B1E1D"/>
    <w:rsid w:val="0029318A"/>
    <w:rsid w:val="00331FFB"/>
    <w:rsid w:val="0038356E"/>
    <w:rsid w:val="00416198"/>
    <w:rsid w:val="004263F8"/>
    <w:rsid w:val="005803A2"/>
    <w:rsid w:val="00583C55"/>
    <w:rsid w:val="005B3E3B"/>
    <w:rsid w:val="00620712"/>
    <w:rsid w:val="00660EE9"/>
    <w:rsid w:val="00822542"/>
    <w:rsid w:val="00827302"/>
    <w:rsid w:val="00926D35"/>
    <w:rsid w:val="009C2C05"/>
    <w:rsid w:val="009C628F"/>
    <w:rsid w:val="00A619AF"/>
    <w:rsid w:val="00AD7F86"/>
    <w:rsid w:val="00B66739"/>
    <w:rsid w:val="00C20F61"/>
    <w:rsid w:val="00E131A6"/>
    <w:rsid w:val="00E678CB"/>
    <w:rsid w:val="00FE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287D"/>
  <w15:chartTrackingRefBased/>
  <w15:docId w15:val="{3D405813-D00F-40C5-87DB-891D960D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71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619A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619AF"/>
    <w:rPr>
      <w:rFonts w:ascii="Calibri" w:hAnsi="Calibri" w:cs="Calibri"/>
      <w:noProof/>
    </w:rPr>
  </w:style>
  <w:style w:type="paragraph" w:customStyle="1" w:styleId="EndNoteBibliography">
    <w:name w:val="EndNote Bibliography"/>
    <w:basedOn w:val="Normal"/>
    <w:link w:val="EndNoteBibliographyChar"/>
    <w:rsid w:val="00A619A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619AF"/>
    <w:rPr>
      <w:rFonts w:ascii="Calibri" w:hAnsi="Calibri" w:cs="Calibri"/>
      <w:noProof/>
    </w:rPr>
  </w:style>
  <w:style w:type="character" w:styleId="Hyperlink">
    <w:name w:val="Hyperlink"/>
    <w:basedOn w:val="DefaultParagraphFont"/>
    <w:uiPriority w:val="99"/>
    <w:unhideWhenUsed/>
    <w:rsid w:val="00A619AF"/>
    <w:rPr>
      <w:color w:val="0563C1" w:themeColor="hyperlink"/>
      <w:u w:val="single"/>
    </w:rPr>
  </w:style>
  <w:style w:type="character" w:customStyle="1" w:styleId="Mention">
    <w:name w:val="Mention"/>
    <w:basedOn w:val="DefaultParagraphFont"/>
    <w:uiPriority w:val="99"/>
    <w:semiHidden/>
    <w:unhideWhenUsed/>
    <w:rsid w:val="005B3E3B"/>
    <w:rPr>
      <w:color w:val="2B579A"/>
      <w:shd w:val="clear" w:color="auto" w:fill="E6E6E6"/>
    </w:rPr>
  </w:style>
  <w:style w:type="character" w:customStyle="1" w:styleId="UnresolvedMention">
    <w:name w:val="Unresolved Mention"/>
    <w:basedOn w:val="DefaultParagraphFont"/>
    <w:uiPriority w:val="99"/>
    <w:semiHidden/>
    <w:unhideWhenUsed/>
    <w:rsid w:val="009C62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Sibusiso Maseko</dc:creator>
  <cp:keywords/>
  <dc:description/>
  <cp:lastModifiedBy>Reyes, Vincent</cp:lastModifiedBy>
  <cp:revision>2</cp:revision>
  <dcterms:created xsi:type="dcterms:W3CDTF">2019-08-09T11:30:00Z</dcterms:created>
  <dcterms:modified xsi:type="dcterms:W3CDTF">2019-08-09T11:30:00Z</dcterms:modified>
</cp:coreProperties>
</file>