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95" w:rsidRPr="00241F44" w:rsidRDefault="00777095" w:rsidP="00777095">
      <w:pPr>
        <w:pStyle w:val="Authornames"/>
        <w:rPr>
          <w:b/>
          <w:lang w:val="en-US"/>
        </w:rPr>
      </w:pPr>
      <w:bookmarkStart w:id="0" w:name="_Hlk25304"/>
      <w:bookmarkStart w:id="1" w:name="_GoBack"/>
      <w:bookmarkEnd w:id="0"/>
      <w:bookmarkEnd w:id="1"/>
      <w:r w:rsidRPr="00241F44">
        <w:rPr>
          <w:b/>
          <w:lang w:val="en-US"/>
        </w:rPr>
        <w:t xml:space="preserve">Dual and selective inhibitors of pteridine reductase 1 (PTR1) and dihydrofolate reductase-thymidylate synthase (DHFR-TS) from </w:t>
      </w:r>
      <w:proofErr w:type="spellStart"/>
      <w:r w:rsidRPr="00241F44">
        <w:rPr>
          <w:b/>
          <w:i/>
          <w:lang w:val="en-US"/>
        </w:rPr>
        <w:t>Leishmania</w:t>
      </w:r>
      <w:proofErr w:type="spellEnd"/>
      <w:r w:rsidRPr="00241F44">
        <w:rPr>
          <w:b/>
          <w:i/>
          <w:lang w:val="en-US"/>
        </w:rPr>
        <w:t xml:space="preserve"> </w:t>
      </w:r>
      <w:proofErr w:type="spellStart"/>
      <w:r w:rsidRPr="00241F44">
        <w:rPr>
          <w:b/>
          <w:i/>
          <w:lang w:val="en-US"/>
        </w:rPr>
        <w:t>chagasi</w:t>
      </w:r>
      <w:proofErr w:type="spellEnd"/>
    </w:p>
    <w:p w:rsidR="00777095" w:rsidRPr="00241F44" w:rsidRDefault="00777095" w:rsidP="00777095">
      <w:pPr>
        <w:pStyle w:val="Authornames"/>
      </w:pPr>
      <w:r w:rsidRPr="00241F44">
        <w:t>Bárbara Velame Ferreira Teixeira</w:t>
      </w:r>
      <w:r w:rsidRPr="00241F44">
        <w:rPr>
          <w:vertAlign w:val="superscript"/>
        </w:rPr>
        <w:t>a*</w:t>
      </w:r>
      <w:r w:rsidRPr="00241F44">
        <w:t>, André Lacerda Braga Teles</w:t>
      </w:r>
      <w:r w:rsidRPr="00241F44">
        <w:rPr>
          <w:vertAlign w:val="superscript"/>
        </w:rPr>
        <w:t>b,c,d*</w:t>
      </w:r>
      <w:r w:rsidRPr="00241F44">
        <w:t>, Suellen Gonçalves da Silva</w:t>
      </w:r>
      <w:r w:rsidRPr="00241F44">
        <w:rPr>
          <w:vertAlign w:val="superscript"/>
        </w:rPr>
        <w:t>a</w:t>
      </w:r>
      <w:r w:rsidRPr="00241F44">
        <w:t>, Camila Carane Bitencourt Brito</w:t>
      </w:r>
      <w:r w:rsidRPr="00241F44">
        <w:rPr>
          <w:vertAlign w:val="superscript"/>
        </w:rPr>
        <w:t>b</w:t>
      </w:r>
      <w:r w:rsidRPr="00241F44">
        <w:t>, Humberto Fonseca de Freitas</w:t>
      </w:r>
      <w:r w:rsidRPr="00241F44">
        <w:rPr>
          <w:vertAlign w:val="superscript"/>
        </w:rPr>
        <w:t>a,b</w:t>
      </w:r>
      <w:r w:rsidRPr="00241F44">
        <w:t xml:space="preserve"> , Acássia Benjamim Leal Pires</w:t>
      </w:r>
      <w:r w:rsidRPr="00241F44">
        <w:rPr>
          <w:vertAlign w:val="superscript"/>
        </w:rPr>
        <w:t>d</w:t>
      </w:r>
      <w:r w:rsidRPr="00241F44">
        <w:t>,</w:t>
      </w:r>
      <w:r w:rsidRPr="00241F44">
        <w:rPr>
          <w:vertAlign w:val="superscript"/>
        </w:rPr>
        <w:t xml:space="preserve"> </w:t>
      </w:r>
      <w:r w:rsidRPr="00241F44">
        <w:t>Thamires Quadros Froes</w:t>
      </w:r>
      <w:r w:rsidRPr="00241F44">
        <w:rPr>
          <w:vertAlign w:val="superscript"/>
        </w:rPr>
        <w:t>b</w:t>
      </w:r>
      <w:r w:rsidRPr="00241F44">
        <w:t xml:space="preserve"> and Marcelo Santos Castilho</w:t>
      </w:r>
      <w:r w:rsidRPr="00241F44">
        <w:rPr>
          <w:vertAlign w:val="superscript"/>
        </w:rPr>
        <w:t>a,b</w:t>
      </w:r>
    </w:p>
    <w:p w:rsidR="00777095" w:rsidRPr="00241F44" w:rsidRDefault="00777095" w:rsidP="00777095">
      <w:pPr>
        <w:pStyle w:val="Affiliation"/>
      </w:pPr>
      <w:r w:rsidRPr="00241F44">
        <w:rPr>
          <w:vertAlign w:val="superscript"/>
        </w:rPr>
        <w:t>a</w:t>
      </w:r>
      <w:r w:rsidRPr="00241F44">
        <w:t xml:space="preserve">Programa de Pós-Graduação em Farmácia, Universidade Federal da Bahia, Salvador, BA, Brazil; </w:t>
      </w:r>
      <w:r w:rsidRPr="00241F44">
        <w:rPr>
          <w:vertAlign w:val="superscript"/>
        </w:rPr>
        <w:t>b</w:t>
      </w:r>
      <w:r w:rsidRPr="00241F44">
        <w:t xml:space="preserve">Programa de Pós-Graduação em Biotecnologia, Universidade Estadual de Feira de Santana, Feira de Santana, BA, Brazil; </w:t>
      </w:r>
      <w:r w:rsidRPr="00241F44">
        <w:rPr>
          <w:vertAlign w:val="superscript"/>
        </w:rPr>
        <w:t>c</w:t>
      </w:r>
      <w:r w:rsidRPr="00241F44">
        <w:t xml:space="preserve">Programa de Pós-Graduação em Ciências Farmacêuticas, Universidade Estadual da Bahia, Salvador, BA, Brazil; </w:t>
      </w:r>
      <w:r w:rsidRPr="00241F44">
        <w:rPr>
          <w:vertAlign w:val="superscript"/>
        </w:rPr>
        <w:t>d</w:t>
      </w:r>
      <w:r w:rsidRPr="00241F44">
        <w:t>Departamento de Ciências da Vida, Universidade do Estado da Bahia, Salvador, BA, Brazil.</w:t>
      </w:r>
    </w:p>
    <w:p w:rsidR="00777095" w:rsidRPr="00241F44" w:rsidRDefault="00777095" w:rsidP="00777095">
      <w:pPr>
        <w:pStyle w:val="Correspondencedetails"/>
        <w:rPr>
          <w:lang w:val="en-US"/>
        </w:rPr>
      </w:pPr>
      <w:r w:rsidRPr="00241F44">
        <w:rPr>
          <w:lang w:val="en-US"/>
        </w:rPr>
        <w:t>* Both authors contributed equally to this work.</w:t>
      </w:r>
    </w:p>
    <w:p w:rsidR="00777095" w:rsidRPr="00241F44" w:rsidRDefault="00777095" w:rsidP="00777095">
      <w:pPr>
        <w:rPr>
          <w:lang w:val="en-US"/>
        </w:rPr>
      </w:pPr>
    </w:p>
    <w:p w:rsidR="00777095" w:rsidRPr="00241F44" w:rsidRDefault="00777095" w:rsidP="00777095">
      <w:pPr>
        <w:rPr>
          <w:lang w:val="en-US"/>
        </w:rPr>
      </w:pPr>
      <w:r w:rsidRPr="00241F44">
        <w:rPr>
          <w:lang w:val="en-US"/>
        </w:rPr>
        <w:t>Supplementary material</w:t>
      </w:r>
      <w:r w:rsidRPr="00241F44">
        <w:rPr>
          <w:lang w:val="en-US"/>
        </w:rPr>
        <w:br w:type="page"/>
      </w:r>
    </w:p>
    <w:p w:rsidR="00777095" w:rsidRPr="00241F44" w:rsidRDefault="00777095" w:rsidP="00777095">
      <w:r w:rsidRPr="00241F44">
        <w:rPr>
          <w:rFonts w:ascii="Arial" w:hAnsi="Arial" w:cs="Arial"/>
          <w:noProof/>
          <w:sz w:val="17"/>
          <w:szCs w:val="17"/>
          <w:lang w:val="en-US"/>
        </w:rPr>
        <w:lastRenderedPageBreak/>
        <w:drawing>
          <wp:inline distT="0" distB="0" distL="0" distR="0" wp14:anchorId="539D2DD9" wp14:editId="4FF4AD08">
            <wp:extent cx="5401310" cy="3121025"/>
            <wp:effectExtent l="0" t="0" r="8890" b="3175"/>
            <wp:docPr id="2" name="Imagem 2" descr="C:\Users\DeLL\AppData\Local\Microsoft\Windows\INetCache\Content.Word\S1-Supporting Informa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S1-Supporting Informatio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95" w:rsidRPr="00241F44" w:rsidRDefault="00777095" w:rsidP="00777095"/>
    <w:p w:rsidR="00777095" w:rsidRPr="00241F44" w:rsidRDefault="00777095" w:rsidP="00777095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41F44">
        <w:rPr>
          <w:rFonts w:ascii="Times New Roman" w:hAnsi="Times New Roman" w:cs="Times New Roman"/>
          <w:bCs/>
          <w:sz w:val="24"/>
          <w:lang w:val="en-US"/>
        </w:rPr>
        <w:t xml:space="preserve">Figure S1. </w:t>
      </w:r>
      <w:r w:rsidRPr="00241F44">
        <w:rPr>
          <w:rFonts w:ascii="Times New Roman" w:hAnsi="Times New Roman" w:cs="Times New Roman"/>
          <w:sz w:val="24"/>
          <w:lang w:val="en-US"/>
        </w:rPr>
        <w:t xml:space="preserve">Sequential alignment of the </w:t>
      </w:r>
      <w:r w:rsidRPr="00241F44">
        <w:rPr>
          <w:rFonts w:ascii="Times New Roman" w:hAnsi="Times New Roman" w:cs="Times New Roman"/>
          <w:i/>
          <w:sz w:val="24"/>
          <w:lang w:val="en-US"/>
        </w:rPr>
        <w:t xml:space="preserve">L. </w:t>
      </w:r>
      <w:proofErr w:type="spellStart"/>
      <w:r w:rsidRPr="00241F44">
        <w:rPr>
          <w:rFonts w:ascii="Times New Roman" w:hAnsi="Times New Roman" w:cs="Times New Roman"/>
          <w:i/>
          <w:sz w:val="24"/>
          <w:lang w:val="en-US"/>
        </w:rPr>
        <w:t>chagasi</w:t>
      </w:r>
      <w:proofErr w:type="spellEnd"/>
      <w:r w:rsidRPr="00241F44">
        <w:rPr>
          <w:rFonts w:ascii="Times New Roman" w:hAnsi="Times New Roman" w:cs="Times New Roman"/>
          <w:i/>
          <w:sz w:val="24"/>
          <w:lang w:val="en-US"/>
        </w:rPr>
        <w:t xml:space="preserve">, L. </w:t>
      </w:r>
      <w:proofErr w:type="spellStart"/>
      <w:r w:rsidRPr="00241F44">
        <w:rPr>
          <w:rFonts w:ascii="Times New Roman" w:hAnsi="Times New Roman" w:cs="Times New Roman"/>
          <w:i/>
          <w:sz w:val="24"/>
          <w:lang w:val="en-US"/>
        </w:rPr>
        <w:t>donovani</w:t>
      </w:r>
      <w:proofErr w:type="spellEnd"/>
      <w:r w:rsidRPr="00241F44">
        <w:rPr>
          <w:rFonts w:ascii="Times New Roman" w:hAnsi="Times New Roman" w:cs="Times New Roman"/>
          <w:i/>
          <w:sz w:val="24"/>
          <w:lang w:val="en-US"/>
        </w:rPr>
        <w:t>, L. major and T. Brucei</w:t>
      </w:r>
      <w:r w:rsidRPr="00241F44">
        <w:rPr>
          <w:rFonts w:ascii="Times New Roman" w:hAnsi="Times New Roman" w:cs="Times New Roman"/>
          <w:sz w:val="24"/>
          <w:lang w:val="en-US"/>
        </w:rPr>
        <w:t xml:space="preserve"> PTR1 generated on </w:t>
      </w:r>
      <w:proofErr w:type="spellStart"/>
      <w:r w:rsidRPr="00241F44">
        <w:rPr>
          <w:rFonts w:ascii="Times New Roman" w:hAnsi="Times New Roman" w:cs="Times New Roman"/>
          <w:sz w:val="24"/>
          <w:lang w:val="en-US"/>
        </w:rPr>
        <w:t>Clustal</w:t>
      </w:r>
      <w:proofErr w:type="spellEnd"/>
      <w:r w:rsidRPr="00241F44">
        <w:rPr>
          <w:rFonts w:ascii="Times New Roman" w:hAnsi="Times New Roman" w:cs="Times New Roman"/>
          <w:sz w:val="24"/>
          <w:lang w:val="en-US"/>
        </w:rPr>
        <w:t xml:space="preserve"> Omega server (https://www.ebi.ac.uk/Tools/msa/clustalo/). Overall sequential identity: </w:t>
      </w:r>
      <w:r w:rsidRPr="00241F44">
        <w:rPr>
          <w:rFonts w:ascii="Times New Roman" w:hAnsi="Times New Roman" w:cs="Times New Roman"/>
          <w:i/>
          <w:sz w:val="24"/>
          <w:lang w:val="en-US"/>
        </w:rPr>
        <w:t>Lc</w:t>
      </w:r>
      <w:r w:rsidRPr="00241F44">
        <w:rPr>
          <w:rFonts w:ascii="Times New Roman" w:hAnsi="Times New Roman" w:cs="Times New Roman"/>
          <w:sz w:val="24"/>
          <w:lang w:val="en-US"/>
        </w:rPr>
        <w:t xml:space="preserve">PTR1 x </w:t>
      </w:r>
      <w:r w:rsidRPr="00241F44">
        <w:rPr>
          <w:rFonts w:ascii="Times New Roman" w:hAnsi="Times New Roman" w:cs="Times New Roman"/>
          <w:i/>
          <w:sz w:val="24"/>
          <w:lang w:val="en-US"/>
        </w:rPr>
        <w:t>Ld</w:t>
      </w:r>
      <w:r w:rsidRPr="00241F44">
        <w:rPr>
          <w:rFonts w:ascii="Times New Roman" w:hAnsi="Times New Roman" w:cs="Times New Roman"/>
          <w:sz w:val="24"/>
          <w:lang w:val="en-US"/>
        </w:rPr>
        <w:t xml:space="preserve">PTR1 = 100%; </w:t>
      </w:r>
      <w:r w:rsidRPr="00241F44">
        <w:rPr>
          <w:rFonts w:ascii="Times New Roman" w:hAnsi="Times New Roman" w:cs="Times New Roman"/>
          <w:i/>
          <w:sz w:val="24"/>
          <w:lang w:val="en-US"/>
        </w:rPr>
        <w:t>Lc</w:t>
      </w:r>
      <w:r w:rsidRPr="00241F44">
        <w:rPr>
          <w:rFonts w:ascii="Times New Roman" w:hAnsi="Times New Roman" w:cs="Times New Roman"/>
          <w:sz w:val="24"/>
          <w:lang w:val="en-US"/>
        </w:rPr>
        <w:t xml:space="preserve">PTR1 x </w:t>
      </w:r>
      <w:r w:rsidRPr="00241F44">
        <w:rPr>
          <w:rFonts w:ascii="Times New Roman" w:hAnsi="Times New Roman" w:cs="Times New Roman"/>
          <w:i/>
          <w:sz w:val="24"/>
          <w:lang w:val="en-US"/>
        </w:rPr>
        <w:t>Lm</w:t>
      </w:r>
      <w:r w:rsidRPr="00241F44">
        <w:rPr>
          <w:rFonts w:ascii="Times New Roman" w:hAnsi="Times New Roman" w:cs="Times New Roman"/>
          <w:sz w:val="24"/>
          <w:lang w:val="en-US"/>
        </w:rPr>
        <w:t xml:space="preserve">PTR1 = 90%; </w:t>
      </w:r>
      <w:r w:rsidRPr="00241F44">
        <w:rPr>
          <w:rFonts w:ascii="Times New Roman" w:hAnsi="Times New Roman" w:cs="Times New Roman"/>
          <w:i/>
          <w:sz w:val="24"/>
          <w:lang w:val="en-US"/>
        </w:rPr>
        <w:t>Lc</w:t>
      </w:r>
      <w:r w:rsidRPr="00241F44">
        <w:rPr>
          <w:rFonts w:ascii="Times New Roman" w:hAnsi="Times New Roman" w:cs="Times New Roman"/>
          <w:sz w:val="24"/>
          <w:lang w:val="en-US"/>
        </w:rPr>
        <w:t xml:space="preserve">PTR1 x </w:t>
      </w:r>
      <w:r w:rsidRPr="00241F44">
        <w:rPr>
          <w:rFonts w:ascii="Times New Roman" w:hAnsi="Times New Roman" w:cs="Times New Roman"/>
          <w:i/>
          <w:sz w:val="24"/>
          <w:lang w:val="en-US"/>
        </w:rPr>
        <w:t>Tb</w:t>
      </w:r>
      <w:r w:rsidRPr="00241F44">
        <w:rPr>
          <w:rFonts w:ascii="Times New Roman" w:hAnsi="Times New Roman" w:cs="Times New Roman"/>
          <w:sz w:val="24"/>
          <w:lang w:val="en-US"/>
        </w:rPr>
        <w:t>PTR1 = 48.8%. ("*" = Identical, ":" = Similar, "." = Not conserved, "-" = absent).</w:t>
      </w:r>
    </w:p>
    <w:p w:rsidR="00777095" w:rsidRPr="00241F44" w:rsidRDefault="00777095" w:rsidP="00777095"/>
    <w:p w:rsidR="006003A1" w:rsidRPr="00241F44" w:rsidRDefault="006003A1" w:rsidP="006003A1">
      <w:pPr>
        <w:spacing w:after="0"/>
        <w:jc w:val="both"/>
        <w:rPr>
          <w:noProof/>
        </w:rPr>
      </w:pPr>
    </w:p>
    <w:p w:rsidR="00777095" w:rsidRPr="00241F44" w:rsidRDefault="00777095" w:rsidP="006003A1">
      <w:pPr>
        <w:spacing w:after="0"/>
        <w:jc w:val="both"/>
        <w:rPr>
          <w:noProof/>
        </w:rPr>
      </w:pPr>
    </w:p>
    <w:p w:rsidR="00777095" w:rsidRPr="00241F44" w:rsidRDefault="00777095" w:rsidP="00777095">
      <w:r w:rsidRPr="00241F44">
        <w:br w:type="page"/>
      </w:r>
    </w:p>
    <w:p w:rsidR="00777095" w:rsidRPr="00241F44" w:rsidRDefault="00777095" w:rsidP="00777095"/>
    <w:p w:rsidR="00777095" w:rsidRPr="00241F44" w:rsidRDefault="00777095" w:rsidP="00777095">
      <w:r w:rsidRPr="00241F44">
        <w:rPr>
          <w:noProof/>
          <w:lang w:val="en-US"/>
        </w:rPr>
        <w:drawing>
          <wp:inline distT="0" distB="0" distL="0" distR="0" wp14:anchorId="57396C07" wp14:editId="50F23976">
            <wp:extent cx="5901690" cy="2761615"/>
            <wp:effectExtent l="0" t="0" r="381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095" w:rsidRPr="00241F44" w:rsidRDefault="00777095" w:rsidP="00777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F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S2. </w:t>
      </w:r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Calibration curve employed for protein concentration calculation with Bradford reagent. The absorbances of the </w:t>
      </w:r>
      <w:r w:rsidRPr="00241F44">
        <w:rPr>
          <w:rFonts w:ascii="Times New Roman" w:hAnsi="Times New Roman" w:cs="Times New Roman"/>
          <w:i/>
          <w:sz w:val="24"/>
          <w:szCs w:val="24"/>
          <w:lang w:val="en-US"/>
        </w:rPr>
        <w:t>Lc</w:t>
      </w:r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PTR1 and </w:t>
      </w:r>
      <w:proofErr w:type="spellStart"/>
      <w:r w:rsidRPr="00241F44">
        <w:rPr>
          <w:rFonts w:ascii="Times New Roman" w:hAnsi="Times New Roman" w:cs="Times New Roman"/>
          <w:i/>
          <w:sz w:val="24"/>
          <w:szCs w:val="24"/>
          <w:lang w:val="en-US"/>
        </w:rPr>
        <w:t>Lc</w:t>
      </w:r>
      <w:r w:rsidRPr="00241F44">
        <w:rPr>
          <w:rFonts w:ascii="Times New Roman" w:hAnsi="Times New Roman" w:cs="Times New Roman"/>
          <w:sz w:val="24"/>
          <w:szCs w:val="24"/>
          <w:lang w:val="en-US"/>
        </w:rPr>
        <w:t>DHFR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>-TS stock solutions are presented in the graph and correspond to the concentrations of 2.5 and 5.4 mg/mL, respectively.</w:t>
      </w:r>
    </w:p>
    <w:p w:rsidR="00777095" w:rsidRPr="00241F44" w:rsidRDefault="00777095" w:rsidP="00777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7095" w:rsidRPr="00241F44" w:rsidRDefault="00777095" w:rsidP="00777095">
      <w:pPr>
        <w:rPr>
          <w:sz w:val="24"/>
          <w:szCs w:val="24"/>
          <w:lang w:val="en-US"/>
        </w:rPr>
      </w:pPr>
    </w:p>
    <w:p w:rsidR="00777095" w:rsidRPr="00241F44" w:rsidRDefault="00777095" w:rsidP="006003A1">
      <w:pPr>
        <w:spacing w:after="0"/>
        <w:jc w:val="both"/>
        <w:rPr>
          <w:noProof/>
          <w:lang w:val="en-US"/>
        </w:rPr>
      </w:pPr>
      <w:r w:rsidRPr="00241F44">
        <w:rPr>
          <w:noProof/>
          <w:lang w:val="en-US"/>
        </w:rPr>
        <w:br w:type="page"/>
      </w:r>
    </w:p>
    <w:p w:rsidR="00777095" w:rsidRPr="00241F44" w:rsidRDefault="00777095" w:rsidP="006003A1">
      <w:pPr>
        <w:spacing w:after="0"/>
        <w:jc w:val="both"/>
        <w:rPr>
          <w:noProof/>
          <w:lang w:val="en-US"/>
        </w:rPr>
      </w:pPr>
    </w:p>
    <w:p w:rsidR="00777095" w:rsidRPr="00241F44" w:rsidRDefault="00777095" w:rsidP="00777095">
      <w:r w:rsidRPr="00241F44">
        <w:rPr>
          <w:noProof/>
          <w:lang w:val="en-US"/>
        </w:rPr>
        <w:drawing>
          <wp:inline distT="0" distB="0" distL="0" distR="0" wp14:anchorId="78532098" wp14:editId="28166B52">
            <wp:extent cx="5381625" cy="3791553"/>
            <wp:effectExtent l="0" t="0" r="0" b="0"/>
            <wp:docPr id="1085" name="Imagem 1085" descr="C:\Users\DeLL\AppData\Local\Microsoft\Windows\INetCache\Content.Word\1561041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DeLL\AppData\Local\Microsoft\Windows\INetCache\Content.Word\156104195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1" r="1396"/>
                    <a:stretch/>
                  </pic:blipFill>
                  <pic:spPr bwMode="auto">
                    <a:xfrm>
                      <a:off x="0" y="0"/>
                      <a:ext cx="5423459" cy="382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095" w:rsidRPr="00241F44" w:rsidRDefault="00777095" w:rsidP="00777095"/>
    <w:p w:rsidR="00777095" w:rsidRPr="00241F44" w:rsidRDefault="00777095" w:rsidP="00777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F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S3. Sequence </w:t>
      </w:r>
      <w:r w:rsidRPr="00241F4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alignment between the product of the </w:t>
      </w:r>
      <w:r w:rsidRPr="00241F4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Lc</w:t>
      </w:r>
      <w:r w:rsidRPr="00241F44">
        <w:rPr>
          <w:rFonts w:ascii="Times New Roman" w:hAnsi="Times New Roman" w:cs="Times New Roman"/>
          <w:noProof/>
          <w:sz w:val="24"/>
          <w:szCs w:val="24"/>
          <w:lang w:val="en-US"/>
        </w:rPr>
        <w:t>PTR1 gene on pETM11 vector and its Genebank  sequence (XM_001465671.1). PTR1_V: Forward sequencing; PTR1_R: Reverse sequencing; Consensus: lowercase letter: consensus between 2 sequences; capital letter: consensus among 3 sequences.</w:t>
      </w:r>
    </w:p>
    <w:p w:rsidR="006003A1" w:rsidRPr="00241F44" w:rsidRDefault="006003A1" w:rsidP="006003A1">
      <w:pPr>
        <w:rPr>
          <w:noProof/>
          <w:lang w:val="en-US"/>
        </w:rPr>
      </w:pPr>
    </w:p>
    <w:p w:rsidR="006003A1" w:rsidRPr="00241F44" w:rsidRDefault="006003A1" w:rsidP="006003A1">
      <w:r w:rsidRPr="00241F44">
        <w:rPr>
          <w:noProof/>
          <w:lang w:val="en-US"/>
        </w:rPr>
        <w:lastRenderedPageBreak/>
        <w:drawing>
          <wp:inline distT="0" distB="0" distL="0" distR="0" wp14:anchorId="582C6E4D" wp14:editId="3B905E4F">
            <wp:extent cx="5438693" cy="6253634"/>
            <wp:effectExtent l="0" t="0" r="0" b="0"/>
            <wp:docPr id="1084" name="Imagem 1084" descr="C:\Users\DeLL\AppData\Local\Microsoft\Windows\INetCache\Content.Word\1561042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DeLL\AppData\Local\Microsoft\Windows\INetCache\Content.Word\156104223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" r="1559"/>
                    <a:stretch/>
                  </pic:blipFill>
                  <pic:spPr bwMode="auto">
                    <a:xfrm>
                      <a:off x="0" y="0"/>
                      <a:ext cx="5445734" cy="62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769" w:rsidRPr="00241F44" w:rsidRDefault="007B6769"/>
    <w:p w:rsidR="00777095" w:rsidRPr="00241F44" w:rsidRDefault="007B6769" w:rsidP="00611F4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41F44">
        <w:rPr>
          <w:rFonts w:ascii="Times New Roman" w:hAnsi="Times New Roman" w:cs="Times New Roman"/>
          <w:bCs/>
          <w:sz w:val="24"/>
          <w:szCs w:val="24"/>
          <w:lang w:val="en-US"/>
        </w:rPr>
        <w:t>Figure S</w:t>
      </w:r>
      <w:r w:rsidR="00F4303F" w:rsidRPr="00241F44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241F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77095" w:rsidRPr="00241F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Sequence </w:t>
      </w:r>
      <w:r w:rsidR="00777095" w:rsidRPr="00241F4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alignment between the product of the </w:t>
      </w:r>
      <w:proofErr w:type="spellStart"/>
      <w:r w:rsidR="00777095" w:rsidRPr="00241F44">
        <w:rPr>
          <w:rFonts w:ascii="Times New Roman" w:hAnsi="Times New Roman" w:cs="Times New Roman"/>
          <w:i/>
          <w:sz w:val="24"/>
          <w:szCs w:val="24"/>
          <w:lang w:val="en-US"/>
        </w:rPr>
        <w:t>Lc</w:t>
      </w:r>
      <w:r w:rsidR="00777095" w:rsidRPr="00241F44">
        <w:rPr>
          <w:rFonts w:ascii="Times New Roman" w:hAnsi="Times New Roman" w:cs="Times New Roman"/>
          <w:sz w:val="24"/>
          <w:szCs w:val="24"/>
          <w:lang w:val="en-US"/>
        </w:rPr>
        <w:t>DHFR</w:t>
      </w:r>
      <w:proofErr w:type="spellEnd"/>
      <w:r w:rsidR="00777095"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-TS gene cloned on pET28a </w:t>
      </w:r>
      <w:r w:rsidR="00777095" w:rsidRPr="00241F44">
        <w:rPr>
          <w:rFonts w:ascii="Times New Roman" w:hAnsi="Times New Roman" w:cs="Times New Roman"/>
          <w:noProof/>
          <w:sz w:val="24"/>
          <w:szCs w:val="24"/>
          <w:lang w:val="en-US"/>
        </w:rPr>
        <w:t>vector and its Genebank  sequence (</w:t>
      </w:r>
      <w:r w:rsidR="00777095"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XM_001463132.2). DHFR-TS_V: Forward sequencing; DHFR-TS_R: Reverse sequencing; Consensus: lowercase letter: consensus between 2 sequences; capital letter: consensus </w:t>
      </w:r>
      <w:r w:rsidR="00777095" w:rsidRPr="00241F44">
        <w:rPr>
          <w:rFonts w:ascii="Times New Roman" w:hAnsi="Times New Roman" w:cs="Times New Roman"/>
          <w:noProof/>
          <w:sz w:val="24"/>
          <w:szCs w:val="24"/>
          <w:lang w:val="en-US"/>
        </w:rPr>
        <w:t>among 3 sequences.</w:t>
      </w:r>
    </w:p>
    <w:p w:rsidR="00777095" w:rsidRPr="00241F44" w:rsidRDefault="00777095" w:rsidP="00777095">
      <w:r w:rsidRPr="00241F44">
        <w:rPr>
          <w:noProof/>
          <w:lang w:val="en-US"/>
        </w:rPr>
        <w:lastRenderedPageBreak/>
        <w:drawing>
          <wp:inline distT="0" distB="0" distL="0" distR="0" wp14:anchorId="58B2E5F3" wp14:editId="622C8B4B">
            <wp:extent cx="5391150" cy="33775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95" w:rsidRPr="00241F44" w:rsidRDefault="00777095" w:rsidP="00777095"/>
    <w:p w:rsidR="00777095" w:rsidRPr="00241F44" w:rsidRDefault="00777095" w:rsidP="0077709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2" w:name="_Hlk530927578"/>
      <w:r w:rsidRPr="00241F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S5. </w:t>
      </w:r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Screening of </w:t>
      </w:r>
      <w:proofErr w:type="spellStart"/>
      <w:r w:rsidRPr="00241F44">
        <w:rPr>
          <w:rFonts w:ascii="Times New Roman" w:hAnsi="Times New Roman" w:cs="Times New Roman"/>
          <w:i/>
          <w:sz w:val="24"/>
          <w:szCs w:val="24"/>
          <w:lang w:val="en-US"/>
        </w:rPr>
        <w:t>Lc</w:t>
      </w:r>
      <w:r w:rsidRPr="00241F44">
        <w:rPr>
          <w:rFonts w:ascii="Times New Roman" w:hAnsi="Times New Roman" w:cs="Times New Roman"/>
          <w:sz w:val="24"/>
          <w:szCs w:val="24"/>
          <w:lang w:val="en-US"/>
        </w:rPr>
        <w:t>DHFR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-TS expression conditions in Bl21 (DE3). A) 18 °C for 24 hours; B) 25 °C for 16 hours; C) 37 °C for 24 hours; 1) LMW-SDS GE molecular weight standard; 2) Pellet for IPTG 0.0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; 3) Supernatant for IPTG 0.0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; 4) Pellet for IPTG 0.1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; 5) Supernatant for IPTG 0.1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; 6) Pellet for IPTG 0.5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; 7) Supernatant for IPTG 0.5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; 8) Pellet for IPTG 1.0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; 9) Supernatant for IPTG 1.0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mM.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 Red arrows indicate expected height for the </w:t>
      </w:r>
      <w:proofErr w:type="spellStart"/>
      <w:r w:rsidRPr="00241F44">
        <w:rPr>
          <w:rFonts w:ascii="Times New Roman" w:hAnsi="Times New Roman" w:cs="Times New Roman"/>
          <w:i/>
          <w:sz w:val="24"/>
          <w:szCs w:val="24"/>
          <w:lang w:val="en-US"/>
        </w:rPr>
        <w:t>Lc</w:t>
      </w:r>
      <w:r w:rsidRPr="00241F44">
        <w:rPr>
          <w:rFonts w:ascii="Times New Roman" w:hAnsi="Times New Roman" w:cs="Times New Roman"/>
          <w:sz w:val="24"/>
          <w:szCs w:val="24"/>
          <w:lang w:val="en-US"/>
        </w:rPr>
        <w:t>DHFR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>-TS band.</w:t>
      </w:r>
    </w:p>
    <w:bookmarkEnd w:id="2"/>
    <w:p w:rsidR="00BF206C" w:rsidRPr="00241F44" w:rsidRDefault="00BF206C" w:rsidP="007B6769">
      <w:pPr>
        <w:rPr>
          <w:lang w:val="en-US"/>
        </w:rPr>
      </w:pPr>
    </w:p>
    <w:p w:rsidR="00777095" w:rsidRPr="00241F44" w:rsidRDefault="00777095" w:rsidP="00777095">
      <w:pPr>
        <w:sectPr w:rsidR="00777095" w:rsidRPr="00241F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7095" w:rsidRPr="00241F44" w:rsidRDefault="00777095" w:rsidP="00777095"/>
    <w:tbl>
      <w:tblPr>
        <w:tblStyle w:val="TableGridLight"/>
        <w:tblW w:w="1402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142"/>
        <w:gridCol w:w="1416"/>
        <w:gridCol w:w="990"/>
        <w:gridCol w:w="1321"/>
        <w:gridCol w:w="990"/>
        <w:gridCol w:w="1437"/>
        <w:gridCol w:w="990"/>
        <w:gridCol w:w="1381"/>
        <w:gridCol w:w="993"/>
      </w:tblGrid>
      <w:tr w:rsidR="00241F44" w:rsidRPr="00241F44" w:rsidTr="00CA6207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Toxicity </w:t>
            </w: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COMPOUND 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COMPOUND 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COMPOUND 3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COMPOUND 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COMPOUND 5</w:t>
            </w:r>
          </w:p>
        </w:tc>
      </w:tr>
      <w:tr w:rsidR="00241F44" w:rsidRPr="00241F44" w:rsidTr="00CA620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Result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Probability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Result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Probability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Result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Probability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Result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Probability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Result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Probability</w:t>
            </w:r>
          </w:p>
        </w:tc>
      </w:tr>
      <w:tr w:rsidR="00241F44" w:rsidRPr="00241F44" w:rsidTr="00CA6207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Human Ether-a-go-go-Related Gene Inhibition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Weak inhibitor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0.7577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Weak inhibitor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0.7577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Weak inhibitor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0.7577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Weak inhibitor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0.9724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Weak inhibitor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0.9436</w:t>
            </w:r>
          </w:p>
        </w:tc>
      </w:tr>
      <w:tr w:rsidR="00241F44" w:rsidRPr="00241F44" w:rsidTr="00CA6207">
        <w:tc>
          <w:tcPr>
            <w:tcW w:w="1951" w:type="dxa"/>
            <w:vMerge/>
            <w:vAlign w:val="center"/>
            <w:hideMark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Non-inhibitor</w:t>
            </w:r>
          </w:p>
        </w:tc>
        <w:tc>
          <w:tcPr>
            <w:tcW w:w="1142" w:type="dxa"/>
            <w:vAlign w:val="center"/>
            <w:hideMark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0.6832</w:t>
            </w:r>
          </w:p>
        </w:tc>
        <w:tc>
          <w:tcPr>
            <w:tcW w:w="1416" w:type="dxa"/>
            <w:vAlign w:val="center"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Non-inhibitor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0.6832</w:t>
            </w:r>
          </w:p>
        </w:tc>
        <w:tc>
          <w:tcPr>
            <w:tcW w:w="1321" w:type="dxa"/>
            <w:vAlign w:val="center"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Non-inhibitor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0.6832</w:t>
            </w:r>
          </w:p>
        </w:tc>
        <w:tc>
          <w:tcPr>
            <w:tcW w:w="1437" w:type="dxa"/>
            <w:vAlign w:val="center"/>
          </w:tcPr>
          <w:p w:rsidR="00777095" w:rsidRPr="00241F44" w:rsidRDefault="00777095" w:rsidP="00CA62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Non-inhibitor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0.7159</w:t>
            </w:r>
          </w:p>
        </w:tc>
        <w:tc>
          <w:tcPr>
            <w:tcW w:w="1381" w:type="dxa"/>
            <w:vAlign w:val="center"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Non-inhibitor</w:t>
            </w:r>
          </w:p>
        </w:tc>
        <w:tc>
          <w:tcPr>
            <w:tcW w:w="993" w:type="dxa"/>
            <w:vAlign w:val="center"/>
          </w:tcPr>
          <w:p w:rsidR="00777095" w:rsidRPr="00241F44" w:rsidRDefault="00777095" w:rsidP="00CA62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0.8210</w:t>
            </w:r>
          </w:p>
        </w:tc>
      </w:tr>
      <w:tr w:rsidR="00241F44" w:rsidRPr="00241F44" w:rsidTr="00CA6207">
        <w:tc>
          <w:tcPr>
            <w:tcW w:w="1951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AMES Toxicity</w:t>
            </w:r>
          </w:p>
        </w:tc>
        <w:tc>
          <w:tcPr>
            <w:tcW w:w="1418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 AMES toxic</w:t>
            </w:r>
          </w:p>
        </w:tc>
        <w:tc>
          <w:tcPr>
            <w:tcW w:w="1142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0.7062</w:t>
            </w:r>
          </w:p>
        </w:tc>
        <w:tc>
          <w:tcPr>
            <w:tcW w:w="1416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 AMES toxic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0.7062</w:t>
            </w:r>
          </w:p>
        </w:tc>
        <w:tc>
          <w:tcPr>
            <w:tcW w:w="1321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 AMES toxic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0.7062</w:t>
            </w:r>
          </w:p>
        </w:tc>
        <w:tc>
          <w:tcPr>
            <w:tcW w:w="1437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Non AMES toxic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0.7905</w:t>
            </w:r>
          </w:p>
        </w:tc>
        <w:tc>
          <w:tcPr>
            <w:tcW w:w="1381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 AMES toxic</w:t>
            </w:r>
          </w:p>
        </w:tc>
        <w:tc>
          <w:tcPr>
            <w:tcW w:w="993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0.7086</w:t>
            </w:r>
          </w:p>
        </w:tc>
      </w:tr>
      <w:tr w:rsidR="00241F44" w:rsidRPr="00241F44" w:rsidTr="00CA6207">
        <w:tc>
          <w:tcPr>
            <w:tcW w:w="1951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Carcinogens</w:t>
            </w:r>
          </w:p>
        </w:tc>
        <w:tc>
          <w:tcPr>
            <w:tcW w:w="1418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Non-carcinogens</w:t>
            </w:r>
          </w:p>
        </w:tc>
        <w:tc>
          <w:tcPr>
            <w:tcW w:w="1142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0.9538</w:t>
            </w:r>
          </w:p>
        </w:tc>
        <w:tc>
          <w:tcPr>
            <w:tcW w:w="1416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Non-carcinogens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0.9538</w:t>
            </w:r>
          </w:p>
        </w:tc>
        <w:tc>
          <w:tcPr>
            <w:tcW w:w="1321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Non-carcinogens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0.9538</w:t>
            </w:r>
          </w:p>
        </w:tc>
        <w:tc>
          <w:tcPr>
            <w:tcW w:w="1437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Non-carcinogens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0.8606</w:t>
            </w:r>
          </w:p>
        </w:tc>
        <w:tc>
          <w:tcPr>
            <w:tcW w:w="1381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Non-carcinogens</w:t>
            </w:r>
          </w:p>
        </w:tc>
        <w:tc>
          <w:tcPr>
            <w:tcW w:w="993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0.9282</w:t>
            </w:r>
          </w:p>
        </w:tc>
      </w:tr>
      <w:tr w:rsidR="00241F44" w:rsidRPr="00241F44" w:rsidTr="00CA6207">
        <w:tc>
          <w:tcPr>
            <w:tcW w:w="1951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Biodegradation</w:t>
            </w:r>
          </w:p>
        </w:tc>
        <w:tc>
          <w:tcPr>
            <w:tcW w:w="1418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Not ready biodegradable</w:t>
            </w:r>
          </w:p>
        </w:tc>
        <w:tc>
          <w:tcPr>
            <w:tcW w:w="1142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0.9779</w:t>
            </w:r>
          </w:p>
        </w:tc>
        <w:tc>
          <w:tcPr>
            <w:tcW w:w="1416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Not ready biodegradable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0.9779</w:t>
            </w:r>
          </w:p>
        </w:tc>
        <w:tc>
          <w:tcPr>
            <w:tcW w:w="1321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Not ready biodegradable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0.9779</w:t>
            </w:r>
          </w:p>
        </w:tc>
        <w:tc>
          <w:tcPr>
            <w:tcW w:w="1437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Not ready biodegradable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0.9962</w:t>
            </w:r>
          </w:p>
        </w:tc>
        <w:tc>
          <w:tcPr>
            <w:tcW w:w="1381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Not ready biodegradable</w:t>
            </w:r>
          </w:p>
        </w:tc>
        <w:tc>
          <w:tcPr>
            <w:tcW w:w="993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0.9829</w:t>
            </w:r>
          </w:p>
        </w:tc>
      </w:tr>
      <w:tr w:rsidR="00777095" w:rsidRPr="00241F44" w:rsidTr="00CA6207">
        <w:tc>
          <w:tcPr>
            <w:tcW w:w="1951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b/>
                <w:sz w:val="16"/>
                <w:szCs w:val="16"/>
              </w:rPr>
              <w:t>Acute Oral Toxicity</w:t>
            </w:r>
          </w:p>
        </w:tc>
        <w:tc>
          <w:tcPr>
            <w:tcW w:w="1418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Dose &gt; 500 mg/Kg</w:t>
            </w:r>
          </w:p>
        </w:tc>
        <w:tc>
          <w:tcPr>
            <w:tcW w:w="1142" w:type="dxa"/>
            <w:vAlign w:val="center"/>
            <w:hideMark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0.4953</w:t>
            </w:r>
          </w:p>
        </w:tc>
        <w:tc>
          <w:tcPr>
            <w:tcW w:w="1416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Dose &gt; 500 mg/Kg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0.7577</w:t>
            </w:r>
          </w:p>
        </w:tc>
        <w:tc>
          <w:tcPr>
            <w:tcW w:w="1321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Dose &gt; 500 mg/Kg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0.4953</w:t>
            </w:r>
          </w:p>
        </w:tc>
        <w:tc>
          <w:tcPr>
            <w:tcW w:w="1437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Dose &gt; 500 mg/Kg</w:t>
            </w:r>
          </w:p>
        </w:tc>
        <w:tc>
          <w:tcPr>
            <w:tcW w:w="990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241F4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0.5171</w:t>
            </w:r>
          </w:p>
        </w:tc>
        <w:tc>
          <w:tcPr>
            <w:tcW w:w="1381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Dose &gt; 500 mg/Kg</w:t>
            </w:r>
          </w:p>
        </w:tc>
        <w:tc>
          <w:tcPr>
            <w:tcW w:w="993" w:type="dxa"/>
            <w:vAlign w:val="center"/>
          </w:tcPr>
          <w:p w:rsidR="00777095" w:rsidRPr="00241F44" w:rsidRDefault="00777095" w:rsidP="00CA6207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F44">
              <w:rPr>
                <w:rFonts w:ascii="Times New Roman" w:hAnsi="Times New Roman" w:cs="Times New Roman"/>
                <w:sz w:val="16"/>
                <w:szCs w:val="16"/>
              </w:rPr>
              <w:t>0.6909</w:t>
            </w:r>
          </w:p>
        </w:tc>
      </w:tr>
    </w:tbl>
    <w:p w:rsidR="00777095" w:rsidRPr="00241F44" w:rsidRDefault="00777095" w:rsidP="00777095"/>
    <w:p w:rsidR="00777095" w:rsidRPr="00241F44" w:rsidRDefault="00777095" w:rsidP="00777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F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S6. </w:t>
      </w:r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Toxicity prediction for the 2,4-diaminopyrimidine derivatives employed in this work, according to </w:t>
      </w:r>
      <w:proofErr w:type="spellStart"/>
      <w:r w:rsidRPr="00241F44">
        <w:rPr>
          <w:rFonts w:ascii="Times New Roman" w:hAnsi="Times New Roman" w:cs="Times New Roman"/>
          <w:sz w:val="24"/>
          <w:szCs w:val="24"/>
          <w:lang w:val="en-US"/>
        </w:rPr>
        <w:t>admetSAR</w:t>
      </w:r>
      <w:proofErr w:type="spellEnd"/>
      <w:r w:rsidRPr="00241F44">
        <w:rPr>
          <w:rFonts w:ascii="Times New Roman" w:hAnsi="Times New Roman" w:cs="Times New Roman"/>
          <w:sz w:val="24"/>
          <w:szCs w:val="24"/>
          <w:lang w:val="en-US"/>
        </w:rPr>
        <w:t xml:space="preserve"> server (http://lmmd.ecust.edu.cn/admetsar1).</w:t>
      </w:r>
    </w:p>
    <w:p w:rsidR="00777095" w:rsidRPr="00241F44" w:rsidRDefault="00777095" w:rsidP="00777095">
      <w:pPr>
        <w:rPr>
          <w:lang w:val="en-US"/>
        </w:rPr>
      </w:pPr>
    </w:p>
    <w:p w:rsidR="00777095" w:rsidRPr="00241F44" w:rsidRDefault="00777095" w:rsidP="007B6769">
      <w:pPr>
        <w:rPr>
          <w:lang w:val="en-US"/>
        </w:rPr>
      </w:pPr>
    </w:p>
    <w:sectPr w:rsidR="00777095" w:rsidRPr="00241F44" w:rsidSect="007770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C"/>
    <w:rsid w:val="00080429"/>
    <w:rsid w:val="00082304"/>
    <w:rsid w:val="00241F44"/>
    <w:rsid w:val="00520C12"/>
    <w:rsid w:val="006003A1"/>
    <w:rsid w:val="00611F4A"/>
    <w:rsid w:val="006322F1"/>
    <w:rsid w:val="00754B14"/>
    <w:rsid w:val="00777095"/>
    <w:rsid w:val="007B6769"/>
    <w:rsid w:val="008E126A"/>
    <w:rsid w:val="009F7ECD"/>
    <w:rsid w:val="00AD2629"/>
    <w:rsid w:val="00BF206C"/>
    <w:rsid w:val="00CE57A2"/>
    <w:rsid w:val="00E247D9"/>
    <w:rsid w:val="00EB0BB7"/>
    <w:rsid w:val="00EC6B8C"/>
    <w:rsid w:val="00F4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41B77-8F06-4F3E-8C96-EC80EE89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69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7770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uthornames">
    <w:name w:val="Author names"/>
    <w:basedOn w:val="Normal"/>
    <w:next w:val="Normal"/>
    <w:qFormat/>
    <w:rsid w:val="00777095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Affiliation">
    <w:name w:val="Affiliation"/>
    <w:basedOn w:val="Normal"/>
    <w:qFormat/>
    <w:rsid w:val="00777095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paragraph" w:customStyle="1" w:styleId="Correspondencedetails">
    <w:name w:val="Correspondence details"/>
    <w:basedOn w:val="Normal"/>
    <w:qFormat/>
    <w:rsid w:val="00777095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Reyes, Vincent</cp:lastModifiedBy>
  <cp:revision>2</cp:revision>
  <dcterms:created xsi:type="dcterms:W3CDTF">2019-08-09T05:44:00Z</dcterms:created>
  <dcterms:modified xsi:type="dcterms:W3CDTF">2019-08-09T05:44:00Z</dcterms:modified>
</cp:coreProperties>
</file>