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16462" w14:textId="77777777" w:rsidR="005D787F" w:rsidRPr="00974DA2" w:rsidRDefault="005D787F" w:rsidP="005D787F">
      <w:pPr>
        <w:jc w:val="center"/>
        <w:rPr>
          <w:rFonts w:ascii="Times New Roman" w:hAnsi="Times New Roman" w:cs="Times New Roman"/>
          <w:b/>
          <w:sz w:val="40"/>
          <w:lang w:val="en-US"/>
        </w:rPr>
      </w:pPr>
      <w:r w:rsidRPr="00974DA2">
        <w:rPr>
          <w:rFonts w:ascii="Times New Roman" w:hAnsi="Times New Roman" w:cs="Times New Roman"/>
          <w:b/>
          <w:sz w:val="40"/>
          <w:lang w:val="en-US"/>
        </w:rPr>
        <w:t>SUPPORTING INFORMATION</w:t>
      </w:r>
    </w:p>
    <w:p w14:paraId="6714D3FF" w14:textId="77777777" w:rsidR="005D787F" w:rsidRPr="00974DA2" w:rsidRDefault="005D787F" w:rsidP="005D787F">
      <w:pPr>
        <w:jc w:val="center"/>
        <w:rPr>
          <w:rFonts w:ascii="Times New Roman" w:hAnsi="Times New Roman" w:cs="Times New Roman"/>
          <w:b/>
          <w:sz w:val="40"/>
          <w:lang w:val="en-US"/>
        </w:rPr>
      </w:pPr>
    </w:p>
    <w:p w14:paraId="2515DA05" w14:textId="77777777" w:rsidR="005D787F" w:rsidRPr="00974DA2" w:rsidRDefault="005D787F" w:rsidP="005D787F">
      <w:pPr>
        <w:jc w:val="center"/>
        <w:rPr>
          <w:rFonts w:ascii="Times New Roman" w:hAnsi="Times New Roman" w:cs="Times New Roman"/>
          <w:b/>
          <w:sz w:val="40"/>
          <w:lang w:val="en-US"/>
        </w:rPr>
      </w:pPr>
    </w:p>
    <w:p w14:paraId="5259B95F" w14:textId="77777777" w:rsidR="005D787F" w:rsidRPr="00974DA2" w:rsidRDefault="005D787F" w:rsidP="005D787F">
      <w:pPr>
        <w:jc w:val="center"/>
        <w:rPr>
          <w:rFonts w:ascii="Times New Roman" w:hAnsi="Times New Roman" w:cs="Times New Roman"/>
          <w:b/>
          <w:sz w:val="40"/>
          <w:lang w:val="en-US"/>
        </w:rPr>
      </w:pPr>
    </w:p>
    <w:p w14:paraId="0FFC042E" w14:textId="77777777" w:rsidR="00692ACD" w:rsidRPr="00974DA2" w:rsidRDefault="00692ACD" w:rsidP="00692ACD">
      <w:pPr>
        <w:pStyle w:val="BATitle"/>
        <w:spacing w:before="0" w:line="360" w:lineRule="auto"/>
        <w:rPr>
          <w:b/>
          <w:sz w:val="32"/>
          <w:szCs w:val="32"/>
        </w:rPr>
      </w:pPr>
      <w:r w:rsidRPr="00974DA2">
        <w:rPr>
          <w:b/>
          <w:sz w:val="32"/>
          <w:szCs w:val="32"/>
        </w:rPr>
        <w:t>Structure-Based Design of Selective Histone Deacetylase 6 Zinc Binding Groups</w:t>
      </w:r>
    </w:p>
    <w:p w14:paraId="52391E65" w14:textId="77777777" w:rsidR="00692ACD" w:rsidRPr="00974DA2" w:rsidRDefault="00692ACD" w:rsidP="00692ACD">
      <w:pPr>
        <w:pStyle w:val="BBAuthorName"/>
        <w:spacing w:after="120" w:line="360" w:lineRule="auto"/>
        <w:jc w:val="both"/>
        <w:rPr>
          <w:rFonts w:ascii="Times New Roman" w:hAnsi="Times New Roman"/>
          <w:szCs w:val="24"/>
        </w:rPr>
      </w:pPr>
      <w:r w:rsidRPr="00974DA2">
        <w:rPr>
          <w:rFonts w:ascii="Times New Roman" w:hAnsi="Times New Roman"/>
          <w:szCs w:val="24"/>
        </w:rPr>
        <w:t>Leandro A. Alves Avelar</w:t>
      </w:r>
      <w:r w:rsidRPr="00974DA2">
        <w:rPr>
          <w:rFonts w:ascii="Times New Roman" w:hAnsi="Times New Roman"/>
          <w:szCs w:val="24"/>
          <w:vertAlign w:val="superscript"/>
        </w:rPr>
        <w:t>1,2 #</w:t>
      </w:r>
      <w:r w:rsidRPr="00974DA2">
        <w:rPr>
          <w:rFonts w:ascii="Times New Roman" w:hAnsi="Times New Roman"/>
          <w:szCs w:val="24"/>
        </w:rPr>
        <w:t xml:space="preserve">, </w:t>
      </w:r>
      <w:proofErr w:type="spellStart"/>
      <w:r w:rsidRPr="00974DA2">
        <w:rPr>
          <w:rFonts w:ascii="Times New Roman" w:hAnsi="Times New Roman"/>
          <w:szCs w:val="24"/>
        </w:rPr>
        <w:t>Dusan</w:t>
      </w:r>
      <w:proofErr w:type="spellEnd"/>
      <w:r w:rsidRPr="00974DA2">
        <w:rPr>
          <w:rFonts w:ascii="Times New Roman" w:hAnsi="Times New Roman"/>
          <w:szCs w:val="24"/>
        </w:rPr>
        <w:t xml:space="preserve"> Ruzic</w:t>
      </w:r>
      <w:r w:rsidRPr="00974DA2">
        <w:rPr>
          <w:rFonts w:ascii="Times New Roman" w:hAnsi="Times New Roman"/>
          <w:szCs w:val="24"/>
          <w:vertAlign w:val="superscript"/>
        </w:rPr>
        <w:t>2</w:t>
      </w:r>
      <w:r w:rsidRPr="00974DA2">
        <w:rPr>
          <w:rFonts w:ascii="Times New Roman" w:hAnsi="Times New Roman"/>
          <w:szCs w:val="24"/>
        </w:rPr>
        <w:t>, Nemanja Djokovic</w:t>
      </w:r>
      <w:r w:rsidRPr="00974DA2">
        <w:rPr>
          <w:rFonts w:ascii="Times New Roman" w:hAnsi="Times New Roman"/>
          <w:szCs w:val="24"/>
          <w:vertAlign w:val="superscript"/>
        </w:rPr>
        <w:t>2</w:t>
      </w:r>
      <w:r w:rsidRPr="00974DA2">
        <w:rPr>
          <w:rFonts w:ascii="Times New Roman" w:hAnsi="Times New Roman"/>
          <w:szCs w:val="24"/>
        </w:rPr>
        <w:t>, Thomas Kurz</w:t>
      </w:r>
      <w:r w:rsidRPr="00974DA2">
        <w:rPr>
          <w:rFonts w:ascii="Times New Roman" w:hAnsi="Times New Roman"/>
          <w:szCs w:val="24"/>
          <w:vertAlign w:val="superscript"/>
        </w:rPr>
        <w:t>1</w:t>
      </w:r>
      <w:r w:rsidRPr="00974DA2">
        <w:rPr>
          <w:rFonts w:ascii="Times New Roman" w:hAnsi="Times New Roman"/>
          <w:szCs w:val="24"/>
        </w:rPr>
        <w:t>, and Katarina Nikolic</w:t>
      </w:r>
      <w:r w:rsidRPr="00974DA2">
        <w:rPr>
          <w:rFonts w:ascii="Times New Roman" w:hAnsi="Times New Roman"/>
          <w:szCs w:val="24"/>
          <w:vertAlign w:val="superscript"/>
        </w:rPr>
        <w:t>2 #</w:t>
      </w:r>
    </w:p>
    <w:p w14:paraId="744FDFAE" w14:textId="77777777" w:rsidR="00692ACD" w:rsidRPr="00974DA2" w:rsidRDefault="00692ACD" w:rsidP="00692ACD">
      <w:pPr>
        <w:pStyle w:val="BCAuthorAddress"/>
        <w:spacing w:line="276" w:lineRule="auto"/>
        <w:jc w:val="both"/>
        <w:rPr>
          <w:rFonts w:ascii="Times New Roman" w:hAnsi="Times New Roman"/>
          <w:szCs w:val="24"/>
        </w:rPr>
      </w:pPr>
      <w:r w:rsidRPr="00974DA2">
        <w:rPr>
          <w:rFonts w:ascii="Times New Roman" w:hAnsi="Times New Roman"/>
          <w:szCs w:val="24"/>
          <w:vertAlign w:val="superscript"/>
          <w:lang w:val="de-DE"/>
        </w:rPr>
        <w:t>1</w:t>
      </w:r>
      <w:r w:rsidRPr="00974DA2">
        <w:rPr>
          <w:rFonts w:ascii="Times New Roman" w:hAnsi="Times New Roman"/>
          <w:sz w:val="22"/>
          <w:szCs w:val="24"/>
          <w:lang w:val="de-DE"/>
        </w:rPr>
        <w:t xml:space="preserve">Institut für Pharmazeutische und Medizinische Chemie, </w:t>
      </w:r>
      <w:proofErr w:type="gramStart"/>
      <w:r w:rsidRPr="00974DA2">
        <w:rPr>
          <w:rFonts w:ascii="Times New Roman" w:hAnsi="Times New Roman"/>
          <w:sz w:val="22"/>
          <w:szCs w:val="24"/>
          <w:lang w:val="de-DE"/>
        </w:rPr>
        <w:t>Heinrich Heine Universität</w:t>
      </w:r>
      <w:proofErr w:type="gramEnd"/>
      <w:r w:rsidRPr="00974DA2">
        <w:rPr>
          <w:rFonts w:ascii="Times New Roman" w:hAnsi="Times New Roman"/>
          <w:sz w:val="22"/>
          <w:szCs w:val="24"/>
          <w:lang w:val="de-DE"/>
        </w:rPr>
        <w:t xml:space="preserve"> Düsseldorf, Universitätsstr. </w:t>
      </w:r>
      <w:r w:rsidRPr="00974DA2">
        <w:rPr>
          <w:rFonts w:ascii="Times New Roman" w:hAnsi="Times New Roman"/>
          <w:sz w:val="22"/>
          <w:szCs w:val="24"/>
        </w:rPr>
        <w:t>1, 40225 Düsseldorf, Germany.</w:t>
      </w:r>
    </w:p>
    <w:p w14:paraId="374511FE" w14:textId="77777777" w:rsidR="00692ACD" w:rsidRPr="00974DA2" w:rsidRDefault="00692ACD" w:rsidP="00692ACD">
      <w:pPr>
        <w:spacing w:line="276" w:lineRule="auto"/>
        <w:jc w:val="both"/>
        <w:rPr>
          <w:rFonts w:ascii="Times New Roman" w:eastAsia="Times New Roman" w:hAnsi="Times New Roman" w:cs="Times New Roman"/>
          <w:lang w:val="en-US"/>
        </w:rPr>
      </w:pPr>
      <w:r w:rsidRPr="00974DA2">
        <w:rPr>
          <w:rFonts w:ascii="Times New Roman" w:hAnsi="Times New Roman" w:cs="Times New Roman"/>
          <w:vertAlign w:val="superscript"/>
          <w:lang w:val="en-US"/>
        </w:rPr>
        <w:t>2</w:t>
      </w:r>
      <w:r w:rsidRPr="00974DA2">
        <w:rPr>
          <w:rFonts w:ascii="Times New Roman" w:hAnsi="Times New Roman" w:cs="Times New Roman"/>
          <w:lang w:val="en-US"/>
        </w:rPr>
        <w:t>Department of Pharmaceutical Chemistry, Faculty of Pharmacy, University of Belgrade,</w:t>
      </w:r>
      <w:r w:rsidRPr="00974DA2">
        <w:rPr>
          <w:rFonts w:ascii="Times New Roman" w:eastAsia="Times New Roman" w:hAnsi="Times New Roman" w:cs="Times New Roman"/>
          <w:lang w:val="en-US"/>
        </w:rPr>
        <w:t xml:space="preserve"> </w:t>
      </w:r>
      <w:proofErr w:type="spellStart"/>
      <w:r w:rsidRPr="00974DA2">
        <w:rPr>
          <w:rFonts w:ascii="Times New Roman" w:eastAsia="Times New Roman" w:hAnsi="Times New Roman" w:cs="Times New Roman"/>
          <w:lang w:val="en-US"/>
        </w:rPr>
        <w:t>Vojvode</w:t>
      </w:r>
      <w:proofErr w:type="spellEnd"/>
      <w:r w:rsidRPr="00974DA2">
        <w:rPr>
          <w:rFonts w:ascii="Times New Roman" w:eastAsia="Times New Roman" w:hAnsi="Times New Roman" w:cs="Times New Roman"/>
          <w:lang w:val="en-US"/>
        </w:rPr>
        <w:t xml:space="preserve"> </w:t>
      </w:r>
      <w:proofErr w:type="spellStart"/>
      <w:r w:rsidRPr="00974DA2">
        <w:rPr>
          <w:rFonts w:ascii="Times New Roman" w:eastAsia="Times New Roman" w:hAnsi="Times New Roman" w:cs="Times New Roman"/>
          <w:lang w:val="en-US"/>
        </w:rPr>
        <w:t>Stepe</w:t>
      </w:r>
      <w:proofErr w:type="spellEnd"/>
      <w:r w:rsidRPr="00974DA2">
        <w:rPr>
          <w:rFonts w:ascii="Times New Roman" w:eastAsia="Times New Roman" w:hAnsi="Times New Roman" w:cs="Times New Roman"/>
          <w:lang w:val="en-US"/>
        </w:rPr>
        <w:t xml:space="preserve"> 450, 11000 Belgrade, Serbia.</w:t>
      </w:r>
    </w:p>
    <w:p w14:paraId="0235E8F4" w14:textId="77777777" w:rsidR="005D787F" w:rsidRPr="00974DA2" w:rsidRDefault="005D787F" w:rsidP="00692ACD">
      <w:pPr>
        <w:spacing w:line="276" w:lineRule="auto"/>
        <w:jc w:val="both"/>
        <w:rPr>
          <w:rFonts w:ascii="Times New Roman" w:eastAsia="Times New Roman" w:hAnsi="Times New Roman" w:cs="Times New Roman"/>
          <w:sz w:val="24"/>
          <w:szCs w:val="24"/>
          <w:lang w:val="en-US"/>
        </w:rPr>
      </w:pPr>
    </w:p>
    <w:p w14:paraId="79AAAFF6" w14:textId="44161911" w:rsidR="00692ACD" w:rsidRPr="00974DA2" w:rsidRDefault="005066A2" w:rsidP="005066A2">
      <w:pPr>
        <w:jc w:val="both"/>
        <w:rPr>
          <w:rFonts w:ascii="Times New Roman" w:eastAsia="Times New Roman" w:hAnsi="Times New Roman" w:cs="Times New Roman"/>
          <w:sz w:val="24"/>
          <w:szCs w:val="24"/>
          <w:lang w:val="en-US"/>
        </w:rPr>
      </w:pPr>
      <w:r w:rsidRPr="00974DA2">
        <w:rPr>
          <w:rFonts w:ascii="Times New Roman" w:eastAsia="Times New Roman" w:hAnsi="Times New Roman" w:cs="Times New Roman"/>
          <w:b/>
          <w:sz w:val="24"/>
          <w:szCs w:val="24"/>
          <w:lang w:val="en-US"/>
        </w:rPr>
        <w:t xml:space="preserve">Keywords: </w:t>
      </w:r>
      <w:r w:rsidRPr="00974DA2">
        <w:rPr>
          <w:rFonts w:ascii="Times New Roman" w:eastAsia="Times New Roman" w:hAnsi="Times New Roman" w:cs="Times New Roman"/>
          <w:sz w:val="24"/>
          <w:szCs w:val="24"/>
          <w:lang w:val="en-US"/>
        </w:rPr>
        <w:t>histone deacetylase, fragment-based drug design, molecular docking, epigenetics, zinc binding group.</w:t>
      </w:r>
    </w:p>
    <w:p w14:paraId="001B0EC0" w14:textId="77777777" w:rsidR="005D787F" w:rsidRPr="00974DA2" w:rsidRDefault="005D787F" w:rsidP="00692ACD">
      <w:pPr>
        <w:jc w:val="center"/>
        <w:rPr>
          <w:rFonts w:ascii="Times New Roman" w:hAnsi="Times New Roman" w:cs="Times New Roman"/>
          <w:b/>
          <w:sz w:val="40"/>
          <w:lang w:val="en-US"/>
        </w:rPr>
      </w:pPr>
    </w:p>
    <w:p w14:paraId="29118749" w14:textId="77777777" w:rsidR="005D787F" w:rsidRPr="00974DA2" w:rsidRDefault="005D787F" w:rsidP="00692ACD">
      <w:pPr>
        <w:jc w:val="center"/>
        <w:rPr>
          <w:rFonts w:ascii="Times New Roman" w:hAnsi="Times New Roman" w:cs="Times New Roman"/>
          <w:b/>
          <w:sz w:val="40"/>
          <w:lang w:val="en-US"/>
        </w:rPr>
      </w:pPr>
    </w:p>
    <w:p w14:paraId="12D0FFDC" w14:textId="77777777" w:rsidR="00692ACD" w:rsidRPr="00974DA2" w:rsidRDefault="00692ACD" w:rsidP="00692ACD">
      <w:pPr>
        <w:rPr>
          <w:rFonts w:ascii="Times New Roman" w:hAnsi="Times New Roman" w:cs="Times New Roman"/>
          <w:lang w:val="en-US"/>
        </w:rPr>
      </w:pPr>
    </w:p>
    <w:p w14:paraId="68B2CACC" w14:textId="49151318" w:rsidR="00612196" w:rsidRPr="00974DA2" w:rsidRDefault="00D133C2" w:rsidP="00612196">
      <w:pPr>
        <w:jc w:val="both"/>
        <w:rPr>
          <w:rFonts w:ascii="Times New Roman" w:hAnsi="Times New Roman" w:cs="Times New Roman"/>
          <w:sz w:val="24"/>
          <w:szCs w:val="24"/>
          <w:lang w:val="en-US"/>
        </w:rPr>
      </w:pPr>
      <w:r w:rsidRPr="00974DA2">
        <w:rPr>
          <w:rFonts w:ascii="Times New Roman" w:hAnsi="Times New Roman" w:cs="Times New Roman"/>
          <w:sz w:val="24"/>
          <w:szCs w:val="24"/>
          <w:lang w:val="en-US"/>
        </w:rPr>
        <w:br w:type="page"/>
      </w:r>
      <w:r w:rsidR="00612196" w:rsidRPr="00974DA2">
        <w:rPr>
          <w:rFonts w:ascii="Times New Roman" w:hAnsi="Times New Roman" w:cs="Times New Roman"/>
          <w:b/>
          <w:lang w:val="en-US"/>
        </w:rPr>
        <w:lastRenderedPageBreak/>
        <w:t xml:space="preserve">Table </w:t>
      </w:r>
      <w:r w:rsidR="007233E5" w:rsidRPr="00974DA2">
        <w:rPr>
          <w:rFonts w:ascii="Times New Roman" w:hAnsi="Times New Roman" w:cs="Times New Roman"/>
          <w:b/>
          <w:lang w:val="en-US"/>
        </w:rPr>
        <w:t>S</w:t>
      </w:r>
      <w:r w:rsidR="00612196" w:rsidRPr="00974DA2">
        <w:rPr>
          <w:rFonts w:ascii="Times New Roman" w:hAnsi="Times New Roman" w:cs="Times New Roman"/>
          <w:b/>
          <w:lang w:val="en-US"/>
        </w:rPr>
        <w:t>1</w:t>
      </w:r>
      <w:r w:rsidR="00612196" w:rsidRPr="00974DA2">
        <w:rPr>
          <w:rFonts w:ascii="Times New Roman" w:hAnsi="Times New Roman" w:cs="Times New Roman"/>
          <w:lang w:val="en-US"/>
        </w:rPr>
        <w:t>: Fragments defined as active and inactive in the virtual screening</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138"/>
        <w:gridCol w:w="1487"/>
        <w:gridCol w:w="1915"/>
        <w:gridCol w:w="1138"/>
        <w:gridCol w:w="1487"/>
      </w:tblGrid>
      <w:tr w:rsidR="00697E08" w:rsidRPr="00974DA2" w14:paraId="665011D7"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4184A111" w14:textId="77777777" w:rsidR="00482118" w:rsidRPr="00974DA2" w:rsidRDefault="00482118" w:rsidP="007C5ECC">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Active fragments</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823F154" w14:textId="77E243CA" w:rsidR="00482118" w:rsidRPr="00974DA2" w:rsidRDefault="00482118" w:rsidP="007C5ECC">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 xml:space="preserve">HDAC6 </w:t>
            </w:r>
            <w:proofErr w:type="spellStart"/>
            <w:r w:rsidRPr="00974DA2">
              <w:rPr>
                <w:rFonts w:ascii="Times New Roman" w:hAnsi="Times New Roman" w:cs="Times New Roman"/>
                <w:lang w:val="en-US"/>
              </w:rPr>
              <w:t>inibition</w:t>
            </w:r>
            <w:proofErr w:type="spellEnd"/>
            <w:r w:rsidRPr="00974DA2">
              <w:rPr>
                <w:rFonts w:ascii="Times New Roman" w:hAnsi="Times New Roman" w:cs="Times New Roman"/>
                <w:lang w:val="en-US"/>
              </w:rPr>
              <w:t xml:space="preserve"> </w:t>
            </w:r>
            <w:r w:rsidR="00612196" w:rsidRPr="00974DA2">
              <w:rPr>
                <w:rFonts w:ascii="Times New Roman" w:hAnsi="Times New Roman" w:cs="Times New Roman"/>
                <w:lang w:val="en-US"/>
              </w:rPr>
              <w:t>IC</w:t>
            </w:r>
            <w:r w:rsidR="00612196" w:rsidRPr="00974DA2">
              <w:rPr>
                <w:rFonts w:ascii="Times New Roman" w:hAnsi="Times New Roman" w:cs="Times New Roman"/>
                <w:vertAlign w:val="subscript"/>
                <w:lang w:val="en-US"/>
              </w:rPr>
              <w:t>50</w:t>
            </w:r>
            <w:r w:rsidRPr="00974DA2">
              <w:rPr>
                <w:rFonts w:ascii="Times New Roman" w:hAnsi="Times New Roman" w:cs="Times New Roman"/>
                <w:lang w:val="en-US"/>
              </w:rPr>
              <w:t>(µM)</w:t>
            </w:r>
          </w:p>
        </w:tc>
        <w:tc>
          <w:tcPr>
            <w:tcW w:w="596" w:type="dxa"/>
            <w:tcBorders>
              <w:top w:val="single" w:sz="4" w:space="0" w:color="auto"/>
              <w:left w:val="single" w:sz="4" w:space="0" w:color="auto"/>
              <w:bottom w:val="single" w:sz="4" w:space="0" w:color="auto"/>
              <w:right w:val="single" w:sz="4" w:space="0" w:color="auto"/>
            </w:tcBorders>
            <w:vAlign w:val="center"/>
            <w:hideMark/>
          </w:tcPr>
          <w:p w14:paraId="35EDE96D" w14:textId="77777777" w:rsidR="00482118" w:rsidRPr="00974DA2" w:rsidRDefault="00482118" w:rsidP="007C5ECC">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Ref</w:t>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0320C023" w14:textId="77777777" w:rsidR="00482118" w:rsidRPr="00974DA2" w:rsidRDefault="00482118" w:rsidP="007C5ECC">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Inactive fragments</w:t>
            </w:r>
          </w:p>
        </w:tc>
        <w:tc>
          <w:tcPr>
            <w:tcW w:w="1908" w:type="dxa"/>
            <w:tcBorders>
              <w:top w:val="single" w:sz="4" w:space="0" w:color="auto"/>
              <w:left w:val="single" w:sz="4" w:space="0" w:color="auto"/>
              <w:bottom w:val="single" w:sz="4" w:space="0" w:color="auto"/>
              <w:right w:val="single" w:sz="4" w:space="0" w:color="auto"/>
            </w:tcBorders>
            <w:vAlign w:val="center"/>
            <w:hideMark/>
          </w:tcPr>
          <w:p w14:paraId="1A77A169" w14:textId="73EDCB55" w:rsidR="00482118" w:rsidRPr="00974DA2" w:rsidRDefault="00482118" w:rsidP="00612196">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 xml:space="preserve">HDAC6 </w:t>
            </w:r>
            <w:proofErr w:type="spellStart"/>
            <w:r w:rsidRPr="00974DA2">
              <w:rPr>
                <w:rFonts w:ascii="Times New Roman" w:hAnsi="Times New Roman" w:cs="Times New Roman"/>
                <w:lang w:val="en-US"/>
              </w:rPr>
              <w:t>inibition</w:t>
            </w:r>
            <w:proofErr w:type="spellEnd"/>
            <w:r w:rsidRPr="00974DA2">
              <w:rPr>
                <w:rFonts w:ascii="Times New Roman" w:hAnsi="Times New Roman" w:cs="Times New Roman"/>
                <w:lang w:val="en-US"/>
              </w:rPr>
              <w:t xml:space="preserve"> </w:t>
            </w:r>
            <w:r w:rsidR="00612196" w:rsidRPr="00974DA2">
              <w:rPr>
                <w:rFonts w:ascii="Times New Roman" w:hAnsi="Times New Roman" w:cs="Times New Roman"/>
                <w:lang w:val="en-US"/>
              </w:rPr>
              <w:t>IC</w:t>
            </w:r>
            <w:r w:rsidR="00612196" w:rsidRPr="00974DA2">
              <w:rPr>
                <w:rFonts w:ascii="Times New Roman" w:hAnsi="Times New Roman" w:cs="Times New Roman"/>
                <w:vertAlign w:val="subscript"/>
                <w:lang w:val="en-US"/>
              </w:rPr>
              <w:t>50</w:t>
            </w:r>
            <w:r w:rsidR="00612196" w:rsidRPr="00974DA2">
              <w:rPr>
                <w:rFonts w:ascii="Times New Roman" w:hAnsi="Times New Roman" w:cs="Times New Roman"/>
                <w:lang w:val="en-US"/>
              </w:rPr>
              <w:t xml:space="preserve">(µM) </w:t>
            </w:r>
          </w:p>
        </w:tc>
        <w:tc>
          <w:tcPr>
            <w:tcW w:w="644" w:type="dxa"/>
            <w:tcBorders>
              <w:top w:val="single" w:sz="4" w:space="0" w:color="auto"/>
              <w:left w:val="single" w:sz="4" w:space="0" w:color="auto"/>
              <w:bottom w:val="single" w:sz="4" w:space="0" w:color="auto"/>
              <w:right w:val="single" w:sz="4" w:space="0" w:color="auto"/>
            </w:tcBorders>
            <w:vAlign w:val="center"/>
            <w:hideMark/>
          </w:tcPr>
          <w:p w14:paraId="7A77F071" w14:textId="77777777" w:rsidR="00482118" w:rsidRPr="00974DA2" w:rsidRDefault="00482118" w:rsidP="007C5ECC">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Ref</w:t>
            </w:r>
          </w:p>
        </w:tc>
      </w:tr>
      <w:tr w:rsidR="00697E08" w:rsidRPr="00974DA2" w14:paraId="2D5F2374"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tcPr>
          <w:p w14:paraId="14BDC9C8" w14:textId="241A8E44" w:rsidR="008D4FEE" w:rsidRPr="00974DA2" w:rsidRDefault="008D4FEE" w:rsidP="008D4FEE">
            <w:pPr>
              <w:spacing w:after="0" w:line="360" w:lineRule="auto"/>
              <w:jc w:val="center"/>
              <w:rPr>
                <w:rFonts w:ascii="Times New Roman" w:hAnsi="Times New Roman" w:cs="Times New Roman"/>
                <w:lang w:val="en-US"/>
              </w:rPr>
            </w:pPr>
            <w:r w:rsidRPr="00974DA2">
              <w:rPr>
                <w:rFonts w:ascii="Times New Roman" w:hAnsi="Times New Roman" w:cs="Times New Roman"/>
                <w:color w:val="000000"/>
                <w:lang w:val="en-US"/>
              </w:rPr>
              <w:t>CHEMBL297304</w:t>
            </w:r>
          </w:p>
        </w:tc>
        <w:tc>
          <w:tcPr>
            <w:tcW w:w="1905" w:type="dxa"/>
            <w:tcBorders>
              <w:top w:val="single" w:sz="4" w:space="0" w:color="auto"/>
              <w:left w:val="single" w:sz="4" w:space="0" w:color="auto"/>
              <w:bottom w:val="single" w:sz="4" w:space="0" w:color="auto"/>
              <w:right w:val="single" w:sz="4" w:space="0" w:color="auto"/>
            </w:tcBorders>
            <w:vAlign w:val="center"/>
          </w:tcPr>
          <w:p w14:paraId="4FF2B939" w14:textId="29D093A8" w:rsidR="008D4FEE" w:rsidRPr="00974DA2" w:rsidRDefault="008D4FEE" w:rsidP="008D4FEE">
            <w:pPr>
              <w:spacing w:after="0" w:line="360" w:lineRule="auto"/>
              <w:jc w:val="center"/>
              <w:rPr>
                <w:rFonts w:ascii="Times New Roman" w:hAnsi="Times New Roman" w:cs="Times New Roman"/>
                <w:lang w:val="en-US"/>
              </w:rPr>
            </w:pPr>
            <w:r w:rsidRPr="00974DA2">
              <w:rPr>
                <w:rFonts w:ascii="Times New Roman" w:hAnsi="Times New Roman" w:cs="Times New Roman"/>
                <w:color w:val="000000"/>
                <w:lang w:val="en-US"/>
              </w:rPr>
              <w:t>3.200</w:t>
            </w:r>
          </w:p>
        </w:tc>
        <w:tc>
          <w:tcPr>
            <w:tcW w:w="596" w:type="dxa"/>
            <w:tcBorders>
              <w:top w:val="single" w:sz="4" w:space="0" w:color="auto"/>
              <w:left w:val="single" w:sz="4" w:space="0" w:color="auto"/>
              <w:bottom w:val="single" w:sz="4" w:space="0" w:color="auto"/>
              <w:right w:val="single" w:sz="4" w:space="0" w:color="auto"/>
            </w:tcBorders>
            <w:vAlign w:val="center"/>
          </w:tcPr>
          <w:p w14:paraId="2DB8A90F" w14:textId="4B70A0A5" w:rsidR="008D4FEE" w:rsidRPr="00974DA2" w:rsidRDefault="00AF68DF" w:rsidP="00AF68DF">
            <w:pPr>
              <w:spacing w:after="0" w:line="360" w:lineRule="auto"/>
              <w:jc w:val="center"/>
              <w:rPr>
                <w:rFonts w:ascii="Times New Roman" w:hAnsi="Times New Roman" w:cs="Times New Roman"/>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10.2147/dddt.s124977","author":[{"dropping-particle":"","family":"Wu","given":"Jianghong","non-dropping-particle":"","parse-names":false,"suffix":""},{"dropping-particle":"","family":"Adejare","given":"Adeboye","non-dropping-particle":"","parse-names":false,"suffix":""},{"dropping-particle":"","family":"Wang","given":"Jeffrey","non-dropping-particle":"","parse-names":false,"suffix":""},{"dropping-particle":"","family":"Wallach","given":"Jason","non-dropping-particle":"","parse-names":false,"suffix":""},{"dropping-particle":"","family":"Duane","given":"Stephanie","non-dropping-particle":"","parse-names":false,"suffix":""},{"dropping-particle":"","family":"Ma","given":"Haiching","non-dropping-particle":"","parse-names":false,"suffix":""},{"dropping-particle":"","family":"Wang","given":"Yuren","non-dropping-particle":"","parse-names":false,"suffix":""},{"dropping-particle":"","family":"Wang","given":"Yuan","non-dropping-particle":"","parse-names":false,"suffix":""}],"container-title":"Drug Design, Development and Therapy","id":"ITEM-1","issued":{"date-parts":[["2017"]]},"page":"1369-1382","title":"Developing selective histone deacetylases (HDACs) inhibitors through ebselen and analogs","type":"article-journal","volume":"Volume 11"},"uris":["http://www.mendeley.com/documents/?uuid=914c9331-6071-4873-adc7-986e7868bb9c"]}],"mendeley":{"formattedCitation":"(Wu et al. 2017)","plainTextFormattedCitation":"(Wu et al. 2017)","previouslyFormattedCitation":"(Wu et al. 2017)"},"properties":{"noteIndex":0},"schema":"https://github.com/citation-style-language/schema/raw/master/csl-citation.json"}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(Wu et al. 2017)</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tcPr>
          <w:p w14:paraId="203A66C3" w14:textId="58612A48" w:rsidR="008D4FEE" w:rsidRPr="00974DA2" w:rsidRDefault="008D4FEE" w:rsidP="008D4FEE">
            <w:pPr>
              <w:spacing w:after="0" w:line="360" w:lineRule="auto"/>
              <w:jc w:val="center"/>
              <w:rPr>
                <w:rFonts w:ascii="Times New Roman" w:hAnsi="Times New Roman" w:cs="Times New Roman"/>
                <w:lang w:val="en-US"/>
              </w:rPr>
            </w:pPr>
            <w:r w:rsidRPr="00974DA2">
              <w:rPr>
                <w:rFonts w:ascii="Times New Roman" w:hAnsi="Times New Roman" w:cs="Times New Roman"/>
                <w:color w:val="000000"/>
                <w:lang w:val="en-US"/>
              </w:rPr>
              <w:t>CHEMBL115468</w:t>
            </w:r>
          </w:p>
        </w:tc>
        <w:tc>
          <w:tcPr>
            <w:tcW w:w="1908" w:type="dxa"/>
            <w:tcBorders>
              <w:top w:val="single" w:sz="4" w:space="0" w:color="auto"/>
              <w:left w:val="single" w:sz="4" w:space="0" w:color="auto"/>
              <w:bottom w:val="single" w:sz="4" w:space="0" w:color="auto"/>
              <w:right w:val="single" w:sz="4" w:space="0" w:color="auto"/>
            </w:tcBorders>
            <w:vAlign w:val="center"/>
          </w:tcPr>
          <w:p w14:paraId="7B851729" w14:textId="229FF1B0" w:rsidR="008D4FEE" w:rsidRPr="00974DA2" w:rsidRDefault="008D4FEE" w:rsidP="008D4FEE">
            <w:pPr>
              <w:spacing w:after="0" w:line="360" w:lineRule="auto"/>
              <w:jc w:val="center"/>
              <w:rPr>
                <w:rFonts w:ascii="Times New Roman" w:hAnsi="Times New Roman" w:cs="Times New Roman"/>
                <w:lang w:val="en-US"/>
              </w:rPr>
            </w:pPr>
            <w:r w:rsidRPr="00974DA2">
              <w:rPr>
                <w:rFonts w:ascii="Times New Roman" w:hAnsi="Times New Roman" w:cs="Times New Roman"/>
                <w:color w:val="000000"/>
                <w:lang w:val="en-US"/>
              </w:rPr>
              <w:t>&gt;100</w:t>
            </w:r>
          </w:p>
        </w:tc>
        <w:tc>
          <w:tcPr>
            <w:tcW w:w="644" w:type="dxa"/>
            <w:tcBorders>
              <w:top w:val="single" w:sz="4" w:space="0" w:color="auto"/>
              <w:left w:val="single" w:sz="4" w:space="0" w:color="auto"/>
              <w:bottom w:val="single" w:sz="4" w:space="0" w:color="auto"/>
              <w:right w:val="single" w:sz="4" w:space="0" w:color="auto"/>
            </w:tcBorders>
            <w:vAlign w:val="center"/>
          </w:tcPr>
          <w:p w14:paraId="3BD6754F" w14:textId="4C6CB094" w:rsidR="008D4FEE" w:rsidRPr="00974DA2" w:rsidRDefault="00C37D71" w:rsidP="00C37D71">
            <w:pPr>
              <w:spacing w:after="0" w:line="360" w:lineRule="auto"/>
              <w:jc w:val="center"/>
              <w:rPr>
                <w:rFonts w:ascii="Times New Roman" w:hAnsi="Times New Roman" w:cs="Times New Roman"/>
                <w:lang w:val="en-US"/>
              </w:rPr>
            </w:pPr>
            <w:r w:rsidRPr="00974DA2">
              <w:rPr>
                <w:rFonts w:ascii="Times New Roman" w:hAnsi="Times New Roman" w:cs="Times New Roman"/>
                <w:lang w:val="en-US"/>
              </w:rPr>
              <w:fldChar w:fldCharType="begin" w:fldLock="1"/>
            </w:r>
            <w:r w:rsidR="00EC7F78">
              <w:rPr>
                <w:rFonts w:ascii="Times New Roman" w:hAnsi="Times New Roman" w:cs="Times New Roman"/>
                <w:lang w:val="en-US"/>
              </w:rPr>
              <w:instrText>ADDIN CSL_CITATION {"citationItems":[{"id":"ITEM-1","itemData":{"DOI":"10.1016/J.BMCL.2007.02.064","ISSN":"0960-894X","abstract":"In this report, we describe new HDAC inhibitors designed to exploit a unique sub-pocket in the HDAC8 active site. These compounds were based on inspection of the available HDAC8 crystal structures bound to various inhibitors, which collectively show that the HDAC8 active site is unusually malleable and can accommodate inhibitor structures that are distinct from the canonical ‘zinc binding group-linker-cap group’ structures of SAHA, TSA, and similar HDAC inhibitors. Some inhibitors based on this new scaffold are &gt;100-fold selective for HDAC8 over other class I and class II HDACs with IC50 values &lt;1μM against HDAC8. Furthermore, treatment of human cells with the inhibitors described here shows a unique pattern of hyperacetylated proteins compared with the broad-spectrum HDAC inhibitor TSA.","author":[{"dropping-particle":"","family":"KrennHrubec","given":"Keris","non-dropping-particle":"","parse-names":false,"suffix":""},{"dropping-particle":"","family":"Marshall","given":"Brett L.","non-dropping-particle":"","parse-names":false,"suffix":""},{"dropping-particle":"","family":"Hedglin","given":"Mark","non-dropping-particle":"","parse-names":false,"suffix":""},{"dropping-particle":"","family":"Verdin","given":"Eric","non-dropping-particle":"","parse-names":false,"suffix":""},{"dropping-particle":"","family":"Ulrich","given":"Scott M.","non-dropping-particle":"","parse-names":false,"suffix":""}],"container-title":"Bioorganic &amp; Medicinal Chemistry Letters","id":"ITEM-1","issue":"10","issued":{"date-parts":[["2007","5","15"]]},"page":"2874-2878","publisher":"Pergamon","title":"Design and evaluation of ‘Linkerless’ hydroxamic acids as selective HDAC8 inhibitors","type":"article-journal","volume":"17"},"uris":["http://www.mendeley.com/documents/?uuid=d1e8bb4c-2ce2-3d8f-ba28-7acb3bfb00be"]}],"mendeley":{"formattedCitation":"(KrennHrubec et al. 2007)","plainTextFormattedCitation":"(KrennHrubec et al. 2007)","previouslyFormattedCitation":"(KrennHrubec et al. 2007)"},"properties":{"noteIndex":0},"schema":"https://github.com/citation-style-language/schema/raw/master/csl-citation.json"}</w:instrText>
            </w:r>
            <w:r w:rsidRPr="00974DA2">
              <w:rPr>
                <w:rFonts w:ascii="Times New Roman" w:hAnsi="Times New Roman" w:cs="Times New Roman"/>
                <w:lang w:val="en-US"/>
              </w:rPr>
              <w:fldChar w:fldCharType="separate"/>
            </w:r>
            <w:r w:rsidR="007233E5" w:rsidRPr="00974DA2">
              <w:rPr>
                <w:rFonts w:ascii="Times New Roman" w:hAnsi="Times New Roman" w:cs="Times New Roman"/>
                <w:noProof/>
                <w:lang w:val="en-US"/>
              </w:rPr>
              <w:t>(KrennHrubec et al. 2007)</w:t>
            </w:r>
            <w:r w:rsidRPr="00974DA2">
              <w:rPr>
                <w:rFonts w:ascii="Times New Roman" w:hAnsi="Times New Roman" w:cs="Times New Roman"/>
                <w:lang w:val="en-US"/>
              </w:rPr>
              <w:fldChar w:fldCharType="end"/>
            </w:r>
          </w:p>
        </w:tc>
      </w:tr>
      <w:tr w:rsidR="00697E08" w:rsidRPr="00974DA2" w14:paraId="05B1E382"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28C94970"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CHEMBL496703</w:t>
            </w:r>
          </w:p>
        </w:tc>
        <w:tc>
          <w:tcPr>
            <w:tcW w:w="1905" w:type="dxa"/>
            <w:tcBorders>
              <w:top w:val="single" w:sz="4" w:space="0" w:color="auto"/>
              <w:left w:val="single" w:sz="4" w:space="0" w:color="auto"/>
              <w:bottom w:val="single" w:sz="4" w:space="0" w:color="auto"/>
              <w:right w:val="single" w:sz="4" w:space="0" w:color="auto"/>
            </w:tcBorders>
            <w:vAlign w:val="center"/>
            <w:hideMark/>
          </w:tcPr>
          <w:p w14:paraId="4D13097B" w14:textId="77777777" w:rsidR="008D4FEE" w:rsidRPr="00974DA2" w:rsidRDefault="008D4FEE" w:rsidP="007C5ECC">
            <w:pPr>
              <w:spacing w:after="0" w:line="360" w:lineRule="auto"/>
              <w:jc w:val="center"/>
              <w:rPr>
                <w:rFonts w:ascii="Times New Roman" w:hAnsi="Times New Roman" w:cs="Times New Roman"/>
                <w:lang w:val="en-US"/>
              </w:rPr>
            </w:pPr>
            <w:r w:rsidRPr="00974DA2">
              <w:rPr>
                <w:rFonts w:ascii="Times New Roman" w:hAnsi="Times New Roman" w:cs="Times New Roman"/>
                <w:lang w:val="en-US"/>
              </w:rPr>
              <w:t>0.550</w:t>
            </w:r>
          </w:p>
        </w:tc>
        <w:tc>
          <w:tcPr>
            <w:tcW w:w="596" w:type="dxa"/>
            <w:tcBorders>
              <w:top w:val="single" w:sz="4" w:space="0" w:color="auto"/>
              <w:left w:val="single" w:sz="4" w:space="0" w:color="auto"/>
              <w:bottom w:val="single" w:sz="4" w:space="0" w:color="auto"/>
              <w:right w:val="single" w:sz="4" w:space="0" w:color="auto"/>
            </w:tcBorders>
            <w:vAlign w:val="center"/>
            <w:hideMark/>
          </w:tcPr>
          <w:p w14:paraId="6E5F8B92" w14:textId="304EDDBB" w:rsidR="008D4FEE" w:rsidRPr="00974DA2" w:rsidRDefault="00C37D71" w:rsidP="00C37D71">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{"citationItems":[{"id":"ITEM-1","itemData":{"DOI":"10.1016/J.BMCL.2007.02.064","ISSN":"0960-894X","abstract":"In this report, we describe new HDAC inhibitors designed to exploit a unique sub-pocket in the HDAC8 active site. These compounds were based on inspection of the available HDAC8 crystal structures bound to various inhibitors, which collectively show that the HDAC8 active site is unusually malleable and can accommodate inhibitor structures that are distinct from the canonical ‘zinc binding group-linker-cap group’ structures of SAHA, TSA, and similar HDAC inhibitors. Some inhibitors based on this new scaffold are &gt;100-fold selective for HDAC8 over other class I and class II HDACs with IC50 values &lt;1μM against HDAC8. Furthermore, treatment of human cells with the inhibitors described here shows a unique pattern of hyperacetylated proteins compared with the broad-spectrum HDAC inhibitor TSA.","author":[{"dropping-particle":"","family":"KrennHrubec","given":"Keris","non-dropping-particle":"","parse-names":false,"suffix":""},{"dropping-particle":"","family":"Marshall","given":"Brett L.","non-dropping-particle":"","parse-names":false,"suffix":""},{"dropping-particle":"","family":"Hedglin","given":"Mark","non-dropping-particle":"","parse-names":false,"suffix":""},{"dropping-particle":"","family":"Verdin","given":"Eric","non-dropping-particle":"","parse-names":false,"suffix":""},{"dropping-particle":"","family":"Ulrich","given":"Scott M.","non-dropping-particle":"","parse-names":false,"suffix":""}],"container-title":"Bioorganic &amp; Medicinal Chemistry Letters","id":"ITEM-1","issue":"10","issued":{"date-parts":[["2007","5","15"]]},"page":"2874-2878","publisher":"Pergamon","title":"Design and evaluation of ‘Linkerless’ hydroxamic acids as selective HDAC8 inhibitors","type":"article-journal","volume":"17"},"uris":["http://www.mendeley.com/documents/?uuid=d1e8bb4c-2ce2-3d8f-ba28-7acb3bfb00be"]}],"mendeley":{"formattedCitation":"(KrennHrubec et al. 2007)","plainTextFormattedCitation":"(KrennHrubec et al. 2007)","previouslyFormattedCitation":"(KrennHrubec et al. 2007)"},"properties":{"noteIndex":0},"schema":"https://github.com/citation-style-language/schema/raw/master/csl-citation.json"}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(KrennHrubec et al. 2007)</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627A62B6" w14:textId="76A9D149"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CHEMBL405072</w:t>
            </w:r>
          </w:p>
        </w:tc>
        <w:tc>
          <w:tcPr>
            <w:tcW w:w="1908" w:type="dxa"/>
            <w:tcBorders>
              <w:top w:val="single" w:sz="4" w:space="0" w:color="auto"/>
              <w:left w:val="single" w:sz="4" w:space="0" w:color="auto"/>
              <w:bottom w:val="single" w:sz="4" w:space="0" w:color="auto"/>
              <w:right w:val="single" w:sz="4" w:space="0" w:color="auto"/>
            </w:tcBorders>
            <w:vAlign w:val="center"/>
            <w:hideMark/>
          </w:tcPr>
          <w:p w14:paraId="0C29D7EE" w14:textId="7734555F"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&gt;50</w:t>
            </w:r>
          </w:p>
        </w:tc>
        <w:tc>
          <w:tcPr>
            <w:tcW w:w="644" w:type="dxa"/>
            <w:tcBorders>
              <w:top w:val="single" w:sz="4" w:space="0" w:color="auto"/>
              <w:left w:val="single" w:sz="4" w:space="0" w:color="auto"/>
              <w:bottom w:val="single" w:sz="4" w:space="0" w:color="auto"/>
              <w:right w:val="single" w:sz="4" w:space="0" w:color="auto"/>
            </w:tcBorders>
            <w:vAlign w:val="center"/>
            <w:hideMark/>
          </w:tcPr>
          <w:p w14:paraId="3C4D89F2" w14:textId="10FC7EB4" w:rsidR="008D4FEE" w:rsidRPr="00974DA2" w:rsidRDefault="00522900" w:rsidP="00522900">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{"citationItems":[{"id":"ITEM-1","itemData":{"DOI":"10.1016/J.BMCL.2008.02.026","ISSN":"0960-894X","abstract":"The identification of class II HDAC inhibitors has been hampered by lack of efficient enzyme assays, in the preceding paper two assays have been developed to improve the efficiency of these enzymes: mutating an active site histidine to tyrosine, or by the use of a trifluoroacetamide lysine substrate, allowing screening to identify class II HDAC inhibitors. Herein, 2-trifluoroacetylthiophenes have been demonstrated to inhibit class II HDACs, resulting in the development of a series of 5-(trifluoroacetyl)thiophene-2-carboxamides as novel, potent and selective class II HDAC inhibitors. X-ray crystal structures of the HDAC 4 catalytic domain with a bound inhibitor demonstrate these compounds are active site inhibitors and bind in their hydrated form.","author":[{"dropping-particle":"","family":"Jones","given":"Philip","non-dropping-particle":"","parse-names":false,"suffix":""},{"dropping-particle":"","family":"Bottomley","given":"Matthew J.","non-dropping-particle":"","parse-names":false,"suffix":""},{"dropping-particle":"","family":"Carfí","given":"Andrea","non-dropping-particle":"","parse-names":false,"suffix":""},{"dropping-particle":"","family":"Cecchetti","given":"Ottavia","non-dropping-particle":"","parse-names":false,"suffix":""},{"dropping-particle":"","family":"Ferrigno","given":"Federica","non-dropping-particle":"","parse-names":false,"suffix":""},{"dropping-particle":"","family":"Surdo","given":"Paola","non-dropping-particle":"Lo","parse-names":false,"suffix":""},{"dropping-particle":"","family":"Ontoria","given":"Jesus M.","non-dropping-particle":"","parse-names":false,"suffix":""},{"dropping-particle":"","family":"Rowley","given":"Michael","non-dropping-particle":"","parse-names":false,"suffix":""},{"dropping-particle":"","family":"Scarpelli","given":"Rita","non-dropping-particle":"","parse-names":false,"suffix":""},{"dropping-particle":"","family":"Schultz-Fademrecht","given":"Carsten","non-dropping-particle":"","parse-names":false,"suffix":""},{"dropping-particle":"","family":"Steinkühler","given":"Christian","non-dropping-particle":"","parse-names":false,"suffix":""}],"container-title":"Bioorganic &amp; Medicinal Chemistry Letters","id":"ITEM-1","issue":"11","issued":{"date-parts":[["2008","6","1"]]},"page":"3456-3461","publisher":"Pergamon","title":"2-Trifluoroacetylthiophenes, a novel series of potent and selective class II histone deacetylase inhibitors","type":"article-journal","volume":"18"},"uris":["http://www.mendeley.com/documents/?uuid=3ccaa734-a7e6-315f-b2bb-3f98fb4628b4"]}],"mendeley":{"formattedCitation":"(Jones et al. 2008)","plainTextFormattedCitation":"(Jones et al. 2008)","previouslyFormattedCitation":"(Jones et al. 2008)"},"properties":{"noteIndex":0},"schema":"https://github.com/citation-style-language/schema/raw/master/csl-citation.json"}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(Jones et al. 2008)</w:t>
            </w:r>
            <w:r w:rsidRPr="00974DA2">
              <w:rPr>
                <w:rFonts w:ascii="Times New Roman" w:hAnsi="Times New Roman" w:cs="Times New Roman"/>
                <w:color w:val="000000"/>
                <w:lang w:val="en-US"/>
              </w:rPr>
              <w:fldChar w:fldCharType="end"/>
            </w:r>
          </w:p>
        </w:tc>
      </w:tr>
      <w:tr w:rsidR="00697E08" w:rsidRPr="00974DA2" w14:paraId="5CE7613B"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1471967F"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CHEMBL1672332</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4A73650"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2.000</w:t>
            </w:r>
          </w:p>
        </w:tc>
        <w:tc>
          <w:tcPr>
            <w:tcW w:w="596" w:type="dxa"/>
            <w:tcBorders>
              <w:top w:val="single" w:sz="4" w:space="0" w:color="auto"/>
              <w:left w:val="single" w:sz="4" w:space="0" w:color="auto"/>
              <w:bottom w:val="single" w:sz="4" w:space="0" w:color="auto"/>
              <w:right w:val="single" w:sz="4" w:space="0" w:color="auto"/>
            </w:tcBorders>
            <w:vAlign w:val="center"/>
            <w:hideMark/>
          </w:tcPr>
          <w:p w14:paraId="7DDB9365" w14:textId="4B6574CD" w:rsidR="008D4FEE" w:rsidRPr="00974DA2" w:rsidRDefault="00522900" w:rsidP="00522900">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{"citationItems":[{"id":"ITEM-1","itemData":{"DOI":"10.1016/J.BMCL.2008.04.007","ISSN":"0960-894X","abstract":"Histone deacetylases (HDACs) regulate many important physiological processes and the discovery of small molecules that modulate HDAC activity has both academic and clinical relevance. HDAC inhibitors, most notably SAHA, have been pursued as cancer chemotherapeutics but may be useful in treating psychiatric disorders, malaria, and other diseases. Herein, we describe an inexpensive and robust assay, based on fluorescence polarization, for HDAC ligand discovery. The assay is well suited for high-throughput screening and enzyme kinetic studies.","author":[{"dropping-particle":"","family":"Mazitschek","given":"Ralph","non-dropping-particle":"","parse-names":false,"suffix":""},{"dropping-particle":"","family":"Patel","given":"Vishal","non-dropping-particle":"","parse-names":false,"suffix":""},{"dropping-particle":"","family":"Wirth","given":"Dyann F.","non-dropping-particle":"","parse-names":false,"suffix":""},{"dropping-particle":"","family":"Clardy","given":"Jon","non-dropping-particle":"","parse-names":false,"suffix":""}],"container-title":"Bioorganic &amp; Medicinal Chemistry Letters","id":"ITEM-1","issue":"9","issued":{"date-parts":[["2008","5","1"]]},"page":"2809-2812","publisher":"Pergamon","title":"Development of a fluorescence polarization based assay for histone deacetylase ligand discovery","type":"article-journal","volume":"18"},"uris":["http://www.mendeley.com/documents/?uuid=2b1d7d09-3325-322b-a839-62c0621bb8d5"]}],"mendeley":{"formattedCitation":"(Mazitschek et al. 2008)","plainTextFormattedCitation":"(Mazitschek et al. 2008)","previouslyFormattedCitation":"(Mazitschek et al. 2008)"},"properties":{"noteIndex":0},"schema":"https://github.com/citation-style-language/schema/raw/master/csl-citation.json"}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(Mazitschek et al. 2008)</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6BB27EF4" w14:textId="758E1E99"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CHEMBL236678</w:t>
            </w:r>
          </w:p>
        </w:tc>
        <w:tc>
          <w:tcPr>
            <w:tcW w:w="1908" w:type="dxa"/>
            <w:tcBorders>
              <w:top w:val="single" w:sz="4" w:space="0" w:color="auto"/>
              <w:left w:val="single" w:sz="4" w:space="0" w:color="auto"/>
              <w:bottom w:val="single" w:sz="4" w:space="0" w:color="auto"/>
              <w:right w:val="single" w:sz="4" w:space="0" w:color="auto"/>
            </w:tcBorders>
            <w:vAlign w:val="center"/>
            <w:hideMark/>
          </w:tcPr>
          <w:p w14:paraId="39BD3AD2" w14:textId="63FF9BC5"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&gt;50</w:t>
            </w:r>
          </w:p>
        </w:tc>
        <w:tc>
          <w:tcPr>
            <w:tcW w:w="644" w:type="dxa"/>
            <w:tcBorders>
              <w:top w:val="single" w:sz="4" w:space="0" w:color="auto"/>
              <w:left w:val="single" w:sz="4" w:space="0" w:color="auto"/>
              <w:bottom w:val="single" w:sz="4" w:space="0" w:color="auto"/>
              <w:right w:val="single" w:sz="4" w:space="0" w:color="auto"/>
            </w:tcBorders>
            <w:vAlign w:val="center"/>
            <w:hideMark/>
          </w:tcPr>
          <w:p w14:paraId="2B865E96" w14:textId="313BD4ED" w:rsidR="008D4FEE" w:rsidRPr="00974DA2" w:rsidRDefault="00522900" w:rsidP="00522900">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{"citationItems":[{"id":"ITEM-1","itemData":{"DOI":"10.1016/J.BMCL.2008.02.026","ISSN":"0960-894X","abstract":"The identification of class II HDAC inhibitors has been hampered by lack of efficient enzyme assays, in the preceding paper two assays have been developed to improve the efficiency of these enzymes: mutating an active site histidine to tyrosine, or by the use of a trifluoroacetamide lysine substrate, allowing screening to identify class II HDAC inhibitors. Herein, 2-trifluoroacetylthiophenes have been demonstrated to inhibit class II HDACs, resulting in the development of a series of 5-(trifluoroacetyl)thiophene-2-carboxamides as novel, potent and selective class II HDAC inhibitors. X-ray crystal structures of the HDAC 4 catalytic domain with a bound inhibitor demonstrate these compounds are active site inhibitors and bind in their hydrated form.","author":[{"dropping-particle":"","family":"Jones","given":"Philip","non-dropping-particle":"","parse-names":false,"suffix":""},{"dropping-particle":"","family":"Bottomley","given":"Matthew J.","non-dropping-particle":"","parse-names":false,"suffix":""},{"dropping-particle":"","family":"Carfí","given":"Andrea","non-dropping-particle":"","parse-names":false,"suffix":""},{"dropping-particle":"","family":"Cecchetti","given":"Ottavia","non-dropping-particle":"","parse-names":false,"suffix":""},{"dropping-particle":"","family":"Ferrigno","given":"Federica","non-dropping-particle":"","parse-names":false,"suffix":""},{"dropping-particle":"","family":"Surdo","given":"Paola","non-dropping-particle":"Lo","parse-names":false,"suffix":""},{"dropping-particle":"","family":"Ontoria","given":"Jesus M.","non-dropping-particle":"","parse-names":false,"suffix":""},{"dropping-particle":"","family":"Rowley","given":"Michael","non-dropping-particle":"","parse-names":false,"suffix":""},{"dropping-particle":"","family":"Scarpelli","given":"Rita","non-dropping-particle":"","parse-names":false,"suffix":""},{"dropping-particle":"","family":"Schultz-Fademrecht","given":"Carsten","non-dropping-particle":"","parse-names":false,"suffix":""},{"dropping-particle":"","family":"Steinkühler","given":"Christian","non-dropping-particle":"","parse-names":false,"suffix":""}],"container-title":"Bioorganic &amp; Medicinal Chemistry Letters","id":"ITEM-1","issue":"11","issued":{"date-parts":[["2008","6","1"]]},"page":"3456-3461","publisher":"Pergamon","title":"2-Trifluoroacetylthiophenes, a novel series of potent and selective class II histone deacetylase inhibitors","type":"article-journal","volume":"18"},"uris":["http://www.mendeley.com/documents/?uuid=3ccaa734-a7e6-315f-b2bb-3f98fb4628b4"]}],"mendeley":{"formattedCitation":"(Jones et al. 2008)","plainTextFormattedCitation":"(Jones et al. 2008)","previouslyFormattedCitation":"(Jones et al. 2008)"},"properties":{"noteIndex":0},"schema":"https://github.com/citation-style-language/schema/raw/master/csl-citation.json"}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(Jones et al. 2008)</w:t>
            </w:r>
            <w:r w:rsidRPr="00974DA2">
              <w:rPr>
                <w:rFonts w:ascii="Times New Roman" w:hAnsi="Times New Roman" w:cs="Times New Roman"/>
                <w:color w:val="000000"/>
                <w:lang w:val="en-US"/>
              </w:rPr>
              <w:fldChar w:fldCharType="end"/>
            </w:r>
          </w:p>
        </w:tc>
      </w:tr>
      <w:tr w:rsidR="00697E08" w:rsidRPr="00974DA2" w14:paraId="75AA2823"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3389EBE0"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CHEMBL55895</w:t>
            </w:r>
          </w:p>
        </w:tc>
        <w:tc>
          <w:tcPr>
            <w:tcW w:w="1905" w:type="dxa"/>
            <w:tcBorders>
              <w:top w:val="single" w:sz="4" w:space="0" w:color="auto"/>
              <w:left w:val="single" w:sz="4" w:space="0" w:color="auto"/>
              <w:bottom w:val="single" w:sz="4" w:space="0" w:color="auto"/>
              <w:right w:val="single" w:sz="4" w:space="0" w:color="auto"/>
            </w:tcBorders>
            <w:vAlign w:val="center"/>
            <w:hideMark/>
          </w:tcPr>
          <w:p w14:paraId="4D2AC93D"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0.500</w:t>
            </w:r>
          </w:p>
        </w:tc>
        <w:tc>
          <w:tcPr>
            <w:tcW w:w="596" w:type="dxa"/>
            <w:tcBorders>
              <w:top w:val="single" w:sz="4" w:space="0" w:color="auto"/>
              <w:left w:val="single" w:sz="4" w:space="0" w:color="auto"/>
              <w:bottom w:val="single" w:sz="4" w:space="0" w:color="auto"/>
              <w:right w:val="single" w:sz="4" w:space="0" w:color="auto"/>
            </w:tcBorders>
            <w:vAlign w:val="center"/>
            <w:hideMark/>
          </w:tcPr>
          <w:p w14:paraId="7D771355" w14:textId="09A5A533" w:rsidR="008D4FEE" w:rsidRPr="00974DA2" w:rsidRDefault="00522900" w:rsidP="00522900">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{"citationItems":[{"id":"ITEM-1","itemData":{"DOI":"10.1016/J.BMCL.2008.04.007","ISSN":"0960-894X","abstract":"Histone deacetylases (HDACs) regulate many important physiological processes and the discovery of small molecules that modulate HDAC activity has both academic and clinical relevance. HDAC inhibitors, most notably SAHA, have been pursued as cancer chemotherapeutics but may be useful in treating psychiatric disorders, malaria, and other diseases. Herein, we describe an inexpensive and robust assay, based on fluorescence polarization, for HDAC ligand discovery. The assay is well suited for high-throughput screening and enzyme kinetic studies.","author":[{"dropping-particle":"","family":"Mazitschek","given":"Ralph","non-dropping-particle":"","parse-names":false,"suffix":""},{"dropping-particle":"","family":"Patel","given":"Vishal","non-dropping-particle":"","parse-names":false,"suffix":""},{"dropping-particle":"","family":"Wirth","given":"Dyann F.","non-dropping-particle":"","parse-names":false,"suffix":""},{"dropping-particle":"","family":"Clardy","given":"Jon","non-dropping-particle":"","parse-names":false,"suffix":""}],"container-title":"Bioorganic &amp; Medicinal Chemistry Letters","id":"ITEM-1","issue":"9","issued":{"date-parts":[["2008","5","1"]]},"page":"2809-2812","publisher":"Pergamon","title":"Development of a fluorescence polarization based assay for histone deacetylase ligand discovery","type":"article-journal","volume":"18"},"uris":["http://www.mendeley.com/documents/?uuid=2b1d7d09-3325-322b-a839-62c0621bb8d5"]}],"mendeley":{"formattedCitation":"(Mazitschek et al. 2008)","plainTextFormattedCitation":"(Mazitschek et al. 2008)","previouslyFormattedCitation":"(Mazitschek et al. 2008)"},"properties":{"noteIndex":0},"schema":"https://github.com/citation-style-language/schema/raw/master/csl-citation.json"}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(Mazitschek et al. 2008)</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5C2D8C7A" w14:textId="29AAB731"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CHEMBL86537</w:t>
            </w:r>
          </w:p>
        </w:tc>
        <w:tc>
          <w:tcPr>
            <w:tcW w:w="1908" w:type="dxa"/>
            <w:tcBorders>
              <w:top w:val="single" w:sz="4" w:space="0" w:color="auto"/>
              <w:left w:val="single" w:sz="4" w:space="0" w:color="auto"/>
              <w:bottom w:val="single" w:sz="4" w:space="0" w:color="auto"/>
              <w:right w:val="single" w:sz="4" w:space="0" w:color="auto"/>
            </w:tcBorders>
            <w:vAlign w:val="center"/>
            <w:hideMark/>
          </w:tcPr>
          <w:p w14:paraId="5A731409" w14:textId="375F1E59"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&gt;75</w:t>
            </w:r>
          </w:p>
        </w:tc>
        <w:tc>
          <w:tcPr>
            <w:tcW w:w="644" w:type="dxa"/>
            <w:tcBorders>
              <w:top w:val="single" w:sz="4" w:space="0" w:color="auto"/>
              <w:left w:val="single" w:sz="4" w:space="0" w:color="auto"/>
              <w:bottom w:val="single" w:sz="4" w:space="0" w:color="auto"/>
              <w:right w:val="single" w:sz="4" w:space="0" w:color="auto"/>
            </w:tcBorders>
            <w:vAlign w:val="center"/>
            <w:hideMark/>
          </w:tcPr>
          <w:p w14:paraId="0BD496CF" w14:textId="6D5DD71D" w:rsidR="008D4FEE"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{"citationItems":[{"id":"ITEM-1","itemData":{"DOI":"10.1016/J.BMCL.2015.07.065","ISSN":"0960-894X","abstract":"Histone deacetylase (HDAC) is a validated target for pursuing anticancer agents. However, obtaining a selective inhibitor against a given HDAC member remains a significant challenge. We report here the use of 1-hydroxypyridine-2-thione (1HPT) as a key pharmacophore for zinc-binding can result in highly selective HDAC inhibitors. 1HPT-6-carboxylic acid exhibits selective inhibition of HDAC6 with an IC50 of 150nM that corresponds to a remarkable 0.9 ligand efficiency. Two analogs with simple amino acids shows nearly 600-fold selectivity among the eleven zinc-dependent HDACs. At low micromolar concentration these compounds inhibit the growth of HDAC8-overexpressing chronic myelogenous leukemia cells and specific form of acute myelogenous leukemia cells. Their potential mode of binding was examined by molecular docking and their stability was assessed in mouse and human plasma. Together the results suggest 1HPT analogs exhibit promising therapeutic potential for further development as anticancer agents to treat leukemia.","author":[{"dropping-particle":"","family":"Muthyala","given":"Ramaiah","non-dropping-particle":"","parse-names":false,"suffix":""},{"dropping-particle":"","family":"Shin","given":"Woo Shik","non-dropping-particle":"","parse-names":false,"suffix":""},{"dropping-particle":"","family":"Xie","given":"Jiashu","non-dropping-particle":"","parse-names":false,"suffix":""},{"dropping-particle":"","family":"Sham","given":"Yuk Yin","non-dropping-particle":"","parse-names":false,"suffix":""}],"container-title":"Bioorganic &amp; Medicinal Chemistry Letters","id":"ITEM-1","issue":"19","issued":{"date-parts":[["2015","10","1"]]},"page":"4320-4324","publisher":"Pergamon","title":"Discovery of 1-hydroxypyridine-2-thiones as selective histone deacetylase inhibitors and their potential application for treating leukemia","type":"article-journal","volume":"25"},"uris":["http://www.mendeley.com/documents/?uuid=a0d7203b-4b4d-3f33-8f18-cc95552e157b"]}],"mendeley":{"formattedCitation":"(Muthyala et al. 2015)","plainTextFormattedCitation":"(Muthyala et al. 2015)","previouslyFormattedCitation":"(Muthyala et al. 2015)"},"properties":{"noteIndex":0},"schema":"https://github.com/citation-style-language/schema/raw/master/csl-citation.json"}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(Muthyala et al. 2015)</w:t>
            </w:r>
            <w:r w:rsidRPr="00974DA2">
              <w:rPr>
                <w:rFonts w:ascii="Times New Roman" w:hAnsi="Times New Roman" w:cs="Times New Roman"/>
                <w:color w:val="000000"/>
                <w:lang w:val="en-US"/>
              </w:rPr>
              <w:fldChar w:fldCharType="end"/>
            </w:r>
          </w:p>
        </w:tc>
      </w:tr>
      <w:tr w:rsidR="00697E08" w:rsidRPr="00974DA2" w14:paraId="37FDA1EC"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1BD2B59C"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CHEMBL2333346</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D8DF4EA"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0.030</w:t>
            </w:r>
          </w:p>
        </w:tc>
        <w:tc>
          <w:tcPr>
            <w:tcW w:w="596" w:type="dxa"/>
            <w:tcBorders>
              <w:top w:val="single" w:sz="4" w:space="0" w:color="auto"/>
              <w:left w:val="single" w:sz="4" w:space="0" w:color="auto"/>
              <w:bottom w:val="single" w:sz="4" w:space="0" w:color="auto"/>
              <w:right w:val="single" w:sz="4" w:space="0" w:color="auto"/>
            </w:tcBorders>
            <w:vAlign w:val="center"/>
            <w:hideMark/>
          </w:tcPr>
          <w:p w14:paraId="49F9ADA4" w14:textId="4A4BFEB9" w:rsidR="008D4FEE" w:rsidRPr="00974DA2" w:rsidRDefault="00522900"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0A875781" w14:textId="5C756B08"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CHEMBL14227</w:t>
            </w:r>
          </w:p>
        </w:tc>
        <w:tc>
          <w:tcPr>
            <w:tcW w:w="1908" w:type="dxa"/>
            <w:tcBorders>
              <w:top w:val="single" w:sz="4" w:space="0" w:color="auto"/>
              <w:left w:val="single" w:sz="4" w:space="0" w:color="auto"/>
              <w:bottom w:val="single" w:sz="4" w:space="0" w:color="auto"/>
              <w:right w:val="single" w:sz="4" w:space="0" w:color="auto"/>
            </w:tcBorders>
            <w:vAlign w:val="center"/>
            <w:hideMark/>
          </w:tcPr>
          <w:p w14:paraId="0534AB10" w14:textId="7871C9CD" w:rsidR="008D4FEE" w:rsidRPr="00974DA2" w:rsidRDefault="00937C4A"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&gt;2</w:t>
            </w:r>
            <w:r w:rsidR="008D4FEE" w:rsidRPr="00974DA2">
              <w:rPr>
                <w:rFonts w:ascii="Times New Roman" w:hAnsi="Times New Roman" w:cs="Times New Roman"/>
                <w:color w:val="000000"/>
                <w:lang w:val="en-US"/>
              </w:rPr>
              <w:t>000</w:t>
            </w:r>
          </w:p>
        </w:tc>
        <w:tc>
          <w:tcPr>
            <w:tcW w:w="644" w:type="dxa"/>
            <w:tcBorders>
              <w:top w:val="single" w:sz="4" w:space="0" w:color="auto"/>
              <w:left w:val="single" w:sz="4" w:space="0" w:color="auto"/>
              <w:bottom w:val="single" w:sz="4" w:space="0" w:color="auto"/>
              <w:right w:val="single" w:sz="4" w:space="0" w:color="auto"/>
            </w:tcBorders>
            <w:vAlign w:val="center"/>
            <w:hideMark/>
          </w:tcPr>
          <w:p w14:paraId="509324F5" w14:textId="3077CF9F" w:rsidR="008D4FEE"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{"citationItems":[{"id":"ITEM-1","itemData":{"DOI":"10.1021/ml1001954","ISSN":"1948-5875","abstract":"Carboxylic acids with known central nervous system and histone deacetylase (HDAC) inhibitory activities were converted to hydroxamic acids and tested using a suite of in vitro biochemical assays with recombinant HDAC isoforms, cell based assays in human cervical carcinoma HeLa cells and primary cultures from mouse forebrain, and a whole animal (Xenopus laevis) developmental assay. Relative to the parent carboxylic acids, two of these analogues exhibited enhanced potency, and one analogue showed altered HDAC isoform selectivity and in vivo activity in the Xenopus assay. We discuss potential uses of these novel hydroxamic acids in studies aimed at determining the utility of HDAC inhibitors as memory enhancers and mood stabilizers.","author":[{"dropping-particle":"","family":"Fass","given":"Daniel M.","non-dropping-particle":"","parse-names":false,"suffix":""},{"dropping-particle":"","family":"Shah","given":"Rishita","non-dropping-particle":"","parse-names":false,"suffix":""},{"dropping-particle":"","family":"Ghosh","given":"Balaram","non-dropping-particle":"","parse-names":false,"suffix":""},{"dropping-particle":"","family":"Hennig","given":"Krista","non-dropping-particle":"","parse-names":false,"suffix":""},{"dropping-particle":"","family":"Norton","given":"Stephanie","non-dropping-particle":"","parse-names":false,"suffix":""},{"dropping-particle":"","family":"Zhao","given":"Wen-Ning","non-dropping-particle":"","parse-names":false,"suffix":""},{"dropping-particle":"","family":"Reis","given":"Surya A.","non-dropping-particle":"","parse-names":false,"suffix":""},{"dropping-particle":"","family":"Klein","given":"Peter S.","non-dropping-particle":"","parse-names":false,"suffix":""},{"dropping-particle":"","family":"Mazitschek","given":"Ralph","non-dropping-particle":"","parse-names":false,"suffix":""},{"dropping-particle":"","family":"Maglathlin","given":"Rebecca L.","non-dropping-particle":"","parse-names":false,"suffix":""},{"dropping-particle":"","family":"Lewis","given":"Timothy A.","non-dropping-particle":"","parse-names":false,"suffix":""},{"dropping-particle":"","family":"Haggarty","given":"Stephen J.","non-dropping-particle":"","parse-names":false,"suffix":""}],"container-title":"ACS Medicinal Chemistry Letters","id":"ITEM-1","issue":"1","issued":{"date-parts":[["2011","1","13"]]},"page":"39-42","publisher":"American Chemical Society","title":"Short-Chain HDAC Inhibitors Differentially Affect Vertebrate Development and Neuronal Chromatin","type":"article-journal","volume":"2"},"uris":["http://www.mendeley.com/documents/?uuid=288a65c1-8a49-3c7d-a060-8e45706752d7"]}],"mendeley":{"formattedCitation":"(Fass et al. 2011)","plainTextFormattedCitation":"(Fass et al. 2011)","previouslyFormattedCitation":"(Fass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(Fass et al. 2011)</w:t>
            </w:r>
            <w:r w:rsidRPr="00974DA2">
              <w:rPr>
                <w:rFonts w:ascii="Times New Roman" w:hAnsi="Times New Roman" w:cs="Times New Roman"/>
                <w:color w:val="000000"/>
                <w:lang w:val="en-US"/>
              </w:rPr>
              <w:fldChar w:fldCharType="end"/>
            </w:r>
          </w:p>
        </w:tc>
      </w:tr>
      <w:tr w:rsidR="00697E08" w:rsidRPr="00974DA2" w14:paraId="4F865353"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1839A930" w14:textId="77777777"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CHEMBL16300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71C50BB" w14:textId="77777777"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0.115</w:t>
            </w:r>
          </w:p>
        </w:tc>
        <w:tc>
          <w:tcPr>
            <w:tcW w:w="596" w:type="dxa"/>
            <w:tcBorders>
              <w:top w:val="single" w:sz="4" w:space="0" w:color="auto"/>
              <w:left w:val="single" w:sz="4" w:space="0" w:color="auto"/>
              <w:bottom w:val="single" w:sz="4" w:space="0" w:color="auto"/>
              <w:right w:val="single" w:sz="4" w:space="0" w:color="auto"/>
            </w:tcBorders>
            <w:vAlign w:val="center"/>
            <w:hideMark/>
          </w:tcPr>
          <w:p w14:paraId="1451FBEA" w14:textId="44961C0C"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2839FBBA" w14:textId="13987AFB"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CHEMBL109</w:t>
            </w:r>
          </w:p>
        </w:tc>
        <w:tc>
          <w:tcPr>
            <w:tcW w:w="1908" w:type="dxa"/>
            <w:tcBorders>
              <w:top w:val="single" w:sz="4" w:space="0" w:color="auto"/>
              <w:left w:val="single" w:sz="4" w:space="0" w:color="auto"/>
              <w:bottom w:val="single" w:sz="4" w:space="0" w:color="auto"/>
              <w:right w:val="single" w:sz="4" w:space="0" w:color="auto"/>
            </w:tcBorders>
            <w:vAlign w:val="center"/>
            <w:hideMark/>
          </w:tcPr>
          <w:p w14:paraId="537ADF7E" w14:textId="1C36FCD9"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&gt;2000</w:t>
            </w:r>
          </w:p>
        </w:tc>
        <w:tc>
          <w:tcPr>
            <w:tcW w:w="644" w:type="dxa"/>
            <w:tcBorders>
              <w:top w:val="single" w:sz="4" w:space="0" w:color="auto"/>
              <w:left w:val="single" w:sz="4" w:space="0" w:color="auto"/>
              <w:bottom w:val="single" w:sz="4" w:space="0" w:color="auto"/>
              <w:right w:val="single" w:sz="4" w:space="0" w:color="auto"/>
            </w:tcBorders>
            <w:hideMark/>
          </w:tcPr>
          <w:p w14:paraId="2BDCC535" w14:textId="01974F81"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{"citationItems":[{"id":"ITEM-1","itemData":{"DOI":"10.1021/ml1001954","ISSN":"1948-5875","abstract":"Carboxylic acids with known central nervous system and histone deacetylase (HDAC) inhibitory activities were converted to hydroxamic acids and tested using a suite of in vitro biochemical assays with recombinant HDAC isoforms, cell based assays in human cervical carcinoma HeLa cells and primary cultures from mouse forebrain, and a whole animal (Xenopus laevis) developmental assay. Relative to the parent carboxylic acids, two of these analogues exhibited enhanced potency, and one analogue showed altered HDAC isoform selectivity and in vivo activity in the Xenopus assay. We discuss potential uses of these novel hydroxamic acids in studies aimed at determining the utility of HDAC inhibitors as memory enhancers and mood stabilizers.","author":[{"dropping-particle":"","family":"Fass","given":"Daniel M.","non-dropping-particle":"","parse-names":false,"suffix":""},{"dropping-particle":"","family":"Shah","given":"Rishita","non-dropping-particle":"","parse-names":false,"suffix":""},{"dropping-particle":"","family":"Ghosh","given":"Balaram","non-dropping-particle":"","parse-names":false,"suffix":""},{"dropping-particle":"","family":"Hennig","given":"Krista","non-dropping-particle":"","parse-names":false,"suffix":""},{"dropping-particle":"","family":"Norton","given":"Stephanie","non-dropping-particle":"","parse-names":false,"suffix":""},{"dropping-particle":"","family":"Zhao","given":"Wen-Ning","non-dropping-particle":"","parse-names":false,"suffix":""},{"dropping-particle":"","family":"Reis","given":"Surya A.","non-dropping-particle":"","parse-names":false,"suffix":""},{"dropping-particle":"","family":"Klein","given":"Peter S.","non-dropping-particle":"","parse-names":false,"suffix":""},{"dropping-particle":"","family":"Mazitschek","given":"Ralph","non-dropping-particle":"","parse-names":false,"suffix":""},{"dropping-particle":"","family":"Maglathlin","given":"Rebecca L.","non-dropping-particle":"","parse-names":false,"suffix":""},{"dropping-particle":"","family":"Lewis","given":"Timothy A.","non-dropping-particle":"","parse-names":false,"suffix":""},{"dropping-particle":"","family":"Haggarty","given":"Stephen J.","non-dropping-particle":"","parse-names":false,"suffix":""}],"container-title":"ACS Medicinal Chemistry Letters","id":"ITEM-1","issue":"1","issued":{"date-parts":[["2011","1","13"]]},"page":"39-42","publisher":"American Chemical Society","title":"Short-Chain HDAC Inhibitors Differentially Affect Vertebrate Development and Neuronal Chromatin","type":"article-journal","volume":"2"},"uris":["http://www.mendeley.com/documents/?uuid=288a65c1-8a49-3c7d-a060-8e45706752d7"]}],"mendeley":{"formattedCitation":"(Fass et al. 2011)","plainTextFormattedCitation":"(Fass et al. 2011)","previouslyFormattedCitation":"(Fass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(Fass et al. 2011)</w:t>
            </w:r>
            <w:r w:rsidRPr="00974DA2">
              <w:rPr>
                <w:rFonts w:ascii="Times New Roman" w:hAnsi="Times New Roman" w:cs="Times New Roman"/>
                <w:color w:val="000000"/>
                <w:lang w:val="en-US"/>
              </w:rPr>
              <w:fldChar w:fldCharType="end"/>
            </w:r>
          </w:p>
        </w:tc>
      </w:tr>
      <w:tr w:rsidR="00697E08" w:rsidRPr="00974DA2" w14:paraId="6C371B5E"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6F378585" w14:textId="77777777"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CHEMBL2333344</w:t>
            </w:r>
          </w:p>
        </w:tc>
        <w:tc>
          <w:tcPr>
            <w:tcW w:w="1905" w:type="dxa"/>
            <w:tcBorders>
              <w:top w:val="single" w:sz="4" w:space="0" w:color="auto"/>
              <w:left w:val="single" w:sz="4" w:space="0" w:color="auto"/>
              <w:bottom w:val="single" w:sz="4" w:space="0" w:color="auto"/>
              <w:right w:val="single" w:sz="4" w:space="0" w:color="auto"/>
            </w:tcBorders>
            <w:vAlign w:val="center"/>
            <w:hideMark/>
          </w:tcPr>
          <w:p w14:paraId="400A2E83" w14:textId="77777777"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0.012</w:t>
            </w:r>
          </w:p>
        </w:tc>
        <w:tc>
          <w:tcPr>
            <w:tcW w:w="596" w:type="dxa"/>
            <w:tcBorders>
              <w:top w:val="single" w:sz="4" w:space="0" w:color="auto"/>
              <w:left w:val="single" w:sz="4" w:space="0" w:color="auto"/>
              <w:bottom w:val="single" w:sz="4" w:space="0" w:color="auto"/>
              <w:right w:val="single" w:sz="4" w:space="0" w:color="auto"/>
            </w:tcBorders>
            <w:vAlign w:val="center"/>
            <w:hideMark/>
          </w:tcPr>
          <w:p w14:paraId="61A72058" w14:textId="5135A820"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scaffold","type":"article-journal","volume":"21"},"uris":["http://www.mendeley.com/documents/?uuid=c2fe43f2-ea92-48f0-8af3-56cde8bbe0cb"]}],"mendeley":{"formattedCitation":"(Kemp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6390B81E" w14:textId="55F3E0F1"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CHEMBL1469</w:t>
            </w:r>
          </w:p>
        </w:tc>
        <w:tc>
          <w:tcPr>
            <w:tcW w:w="1908" w:type="dxa"/>
            <w:tcBorders>
              <w:top w:val="single" w:sz="4" w:space="0" w:color="auto"/>
              <w:left w:val="single" w:sz="4" w:space="0" w:color="auto"/>
              <w:bottom w:val="single" w:sz="4" w:space="0" w:color="auto"/>
              <w:right w:val="single" w:sz="4" w:space="0" w:color="auto"/>
            </w:tcBorders>
            <w:vAlign w:val="center"/>
            <w:hideMark/>
          </w:tcPr>
          <w:p w14:paraId="41F4432C" w14:textId="0E752A7F" w:rsidR="00697E08" w:rsidRPr="00974DA2" w:rsidRDefault="006048F4"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w:t>
            </w:r>
            <w:r w:rsidR="00697E08" w:rsidRPr="00974DA2">
              <w:rPr>
                <w:rFonts w:ascii="Times New Roman" w:hAnsi="Times New Roman" w:cs="Times New Roman"/>
                <w:color w:val="000000"/>
                <w:lang w:val="en-US"/>
              </w:rPr>
              <w:t>240</w:t>
            </w:r>
          </w:p>
        </w:tc>
        <w:tc>
          <w:tcPr>
            <w:tcW w:w="644" w:type="dxa"/>
            <w:tcBorders>
              <w:top w:val="single" w:sz="4" w:space="0" w:color="auto"/>
              <w:left w:val="single" w:sz="4" w:space="0" w:color="auto"/>
              <w:bottom w:val="single" w:sz="4" w:space="0" w:color="auto"/>
              <w:right w:val="single" w:sz="4" w:space="0" w:color="auto"/>
            </w:tcBorders>
            <w:hideMark/>
          </w:tcPr>
          <w:p w14:paraId="52C1B484" w14:textId="302B6D66" w:rsidR="00697E08"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{"citationItems":[{"id":"ITEM-1","itemData":{"DOI":"10.1021/ml1001954","ISSN":"1948-5875","abstract":"Carboxylic acids with known central nervous system and histone deacetylase (HDAC) inhibitory activities were converted to hydroxamic acids and tested using a suite of in vitro biochemical assays with recombinant HDAC isoforms, cell based assays in human cervical carcinoma HeLa cells and primary cultures from mouse forebrain, and a whole animal (Xenopus laevis) developmental assay. Relative to the parent carboxylic acids, two of these analogues exhibited enhanced potency, and one analogue showed altered HDAC isoform selectivity and in vivo activity in the Xenopus assay. We discuss potential uses of these novel hydroxamic acids in studies aimed at determining the utility of HDAC inhibitors as memory enhancers and mood stabilizers.","author":[{"dropping-particle":"","family":"Fass","given":"Daniel M.","non-dropping-particle":"","parse-names":false,"suffix":""},{"dropping-particle":"","family":"Shah","given":"Rishita","non-dropping-particle":"","parse-names":false,"suffix":""},{"dropping-particle":"","family":"Ghosh","given":"Balaram","non-dropping-particle":"","parse-names":false,"suffix":""},{"dropping-particle":"","family":"Hennig","given":"Krista","non-dropping-particle":"","parse-names":false,"suffix":""},{"dropping-particle":"","family":"Norton","given":"Stephanie","non-dropping-particle":"","parse-names":false,"suffix":""},{"dropping-particle":"","family":"Zhao","given":"Wen-Ning","non-dropping-particle":"","parse-names":false,"suffix":""},{"dropping-particle":"","family":"Reis","given":"Surya A.","non-dropping-particle":"","parse-names":false,"suffix":""},{"dropping-particle":"","family":"Klein","given":"Peter S.","non-dropping-particle":"","parse-names":false,"suffix":""},{"dropping-particle":"","family":"Mazitschek","given":"Ralph","non-dropping-particle":"","parse-names":false,"suffix":""},{"dropping-particle":"","family":"Maglathlin","given":"Rebecca L.","non-dropping-particle":"","parse-names":false,"suffix":""},{"dropping-particle":"","family":"Lewis","given":"Timothy A.","non-dropping-particle":"","parse-names":false,"suffix":""},{"dropping-particle":"","family":"Haggarty","given":"Stephen J.","non-dropping-particle":"","parse-names":false,"suffix":""}],"container-title":"ACS Medicinal Chemistry Letters","id":"ITEM-1","issue":"1","issued":{"date-parts":[["2011","1","13"]]},"page":"39-42","publisher":"American Chemical Society","title":"Short-Chain HDAC Inhibitors Differentially Affect Vertebrate Development and Neuronal Chromatin","type":"article-journal","volume":"2"},"uris":["http://www.mendeley.com/documents/?uuid=288a65c1-8a49-3c7d-a060-8e45706752d7"]}],"mendeley":{"formattedCitation":"(Fass et al. 2011)","plainTextFormattedCitation":"(Fass et al. 2011)","previouslyFormattedCitation":"(Fass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(Fass et al. 2011)</w:t>
            </w:r>
            <w:r w:rsidRPr="00974DA2">
              <w:rPr>
                <w:rFonts w:ascii="Times New Roman" w:hAnsi="Times New Roman" w:cs="Times New Roman"/>
                <w:color w:val="000000"/>
                <w:lang w:val="en-US"/>
              </w:rPr>
              <w:fldChar w:fldCharType="end"/>
            </w:r>
          </w:p>
        </w:tc>
      </w:tr>
      <w:tr w:rsidR="00697E08" w:rsidRPr="00974DA2" w14:paraId="0E72C59E"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1921E92D"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CHEMBL2333345</w:t>
            </w:r>
          </w:p>
        </w:tc>
        <w:tc>
          <w:tcPr>
            <w:tcW w:w="1905" w:type="dxa"/>
            <w:tcBorders>
              <w:top w:val="single" w:sz="4" w:space="0" w:color="auto"/>
              <w:left w:val="single" w:sz="4" w:space="0" w:color="auto"/>
              <w:bottom w:val="single" w:sz="4" w:space="0" w:color="auto"/>
              <w:right w:val="single" w:sz="4" w:space="0" w:color="auto"/>
            </w:tcBorders>
            <w:vAlign w:val="center"/>
            <w:hideMark/>
          </w:tcPr>
          <w:p w14:paraId="44FB18EC"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0.376</w:t>
            </w:r>
          </w:p>
        </w:tc>
        <w:tc>
          <w:tcPr>
            <w:tcW w:w="596" w:type="dxa"/>
            <w:tcBorders>
              <w:top w:val="single" w:sz="4" w:space="0" w:color="auto"/>
              <w:left w:val="single" w:sz="4" w:space="0" w:color="auto"/>
              <w:bottom w:val="single" w:sz="4" w:space="0" w:color="auto"/>
              <w:right w:val="single" w:sz="4" w:space="0" w:color="auto"/>
            </w:tcBorders>
            <w:vAlign w:val="center"/>
            <w:hideMark/>
          </w:tcPr>
          <w:p w14:paraId="6FF7EAB3" w14:textId="72656108" w:rsidR="008D4FEE" w:rsidRPr="00974DA2" w:rsidRDefault="00522900"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14F3D47C" w14:textId="48B37E65"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CHEMBL1800380</w:t>
            </w:r>
          </w:p>
        </w:tc>
        <w:tc>
          <w:tcPr>
            <w:tcW w:w="1908" w:type="dxa"/>
            <w:tcBorders>
              <w:top w:val="single" w:sz="4" w:space="0" w:color="auto"/>
              <w:left w:val="single" w:sz="4" w:space="0" w:color="auto"/>
              <w:bottom w:val="single" w:sz="4" w:space="0" w:color="auto"/>
              <w:right w:val="single" w:sz="4" w:space="0" w:color="auto"/>
            </w:tcBorders>
            <w:vAlign w:val="center"/>
            <w:hideMark/>
          </w:tcPr>
          <w:p w14:paraId="692B4B79" w14:textId="3446487F"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&gt;100</w:t>
            </w:r>
          </w:p>
        </w:tc>
        <w:tc>
          <w:tcPr>
            <w:tcW w:w="644" w:type="dxa"/>
            <w:tcBorders>
              <w:top w:val="single" w:sz="4" w:space="0" w:color="auto"/>
              <w:left w:val="single" w:sz="4" w:space="0" w:color="auto"/>
              <w:bottom w:val="single" w:sz="4" w:space="0" w:color="auto"/>
              <w:right w:val="single" w:sz="4" w:space="0" w:color="auto"/>
            </w:tcBorders>
            <w:vAlign w:val="center"/>
            <w:hideMark/>
          </w:tcPr>
          <w:p w14:paraId="3CFB442A" w14:textId="647E5E9E" w:rsidR="008D4FEE"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r>
      <w:tr w:rsidR="00697E08" w:rsidRPr="00974DA2" w14:paraId="4BF4D344"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64140760"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CHEMBL152665</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F6BEAEE"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1.100</w:t>
            </w:r>
          </w:p>
        </w:tc>
        <w:tc>
          <w:tcPr>
            <w:tcW w:w="596" w:type="dxa"/>
            <w:tcBorders>
              <w:top w:val="single" w:sz="4" w:space="0" w:color="auto"/>
              <w:left w:val="single" w:sz="4" w:space="0" w:color="auto"/>
              <w:bottom w:val="single" w:sz="4" w:space="0" w:color="auto"/>
              <w:right w:val="single" w:sz="4" w:space="0" w:color="auto"/>
            </w:tcBorders>
            <w:vAlign w:val="center"/>
            <w:hideMark/>
          </w:tcPr>
          <w:p w14:paraId="1A208C5F" w14:textId="3AC16EDF" w:rsidR="008D4FEE" w:rsidRPr="00974DA2" w:rsidRDefault="00522900"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6DB5DF2B" w14:textId="216084BF"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CHEMBL1800382</w:t>
            </w:r>
          </w:p>
        </w:tc>
        <w:tc>
          <w:tcPr>
            <w:tcW w:w="1908" w:type="dxa"/>
            <w:tcBorders>
              <w:top w:val="single" w:sz="4" w:space="0" w:color="auto"/>
              <w:left w:val="single" w:sz="4" w:space="0" w:color="auto"/>
              <w:bottom w:val="single" w:sz="4" w:space="0" w:color="auto"/>
              <w:right w:val="single" w:sz="4" w:space="0" w:color="auto"/>
            </w:tcBorders>
            <w:vAlign w:val="center"/>
            <w:hideMark/>
          </w:tcPr>
          <w:p w14:paraId="753F5979" w14:textId="1260E6DE"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&gt;100</w:t>
            </w:r>
          </w:p>
        </w:tc>
        <w:tc>
          <w:tcPr>
            <w:tcW w:w="644" w:type="dxa"/>
            <w:tcBorders>
              <w:top w:val="single" w:sz="4" w:space="0" w:color="auto"/>
              <w:left w:val="single" w:sz="4" w:space="0" w:color="auto"/>
              <w:bottom w:val="single" w:sz="4" w:space="0" w:color="auto"/>
              <w:right w:val="single" w:sz="4" w:space="0" w:color="auto"/>
            </w:tcBorders>
            <w:vAlign w:val="center"/>
            <w:hideMark/>
          </w:tcPr>
          <w:p w14:paraId="1A5863AE" w14:textId="0A3FA6AF" w:rsidR="008D4FEE" w:rsidRPr="00974DA2" w:rsidRDefault="00697E08" w:rsidP="005F71AA">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r>
      <w:tr w:rsidR="00697E08" w:rsidRPr="00974DA2" w14:paraId="152F96C6" w14:textId="77777777" w:rsidTr="002C2811">
        <w:trPr>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0A59B55E"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CHEMBL154574</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E8F8C93" w14:textId="77777777"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0.022</w:t>
            </w:r>
          </w:p>
        </w:tc>
        <w:tc>
          <w:tcPr>
            <w:tcW w:w="596" w:type="dxa"/>
            <w:tcBorders>
              <w:top w:val="single" w:sz="4" w:space="0" w:color="auto"/>
              <w:left w:val="single" w:sz="4" w:space="0" w:color="auto"/>
              <w:bottom w:val="single" w:sz="4" w:space="0" w:color="auto"/>
              <w:right w:val="single" w:sz="4" w:space="0" w:color="auto"/>
            </w:tcBorders>
            <w:vAlign w:val="center"/>
            <w:hideMark/>
          </w:tcPr>
          <w:p w14:paraId="5410AA6F" w14:textId="14139EE8" w:rsidR="008D4FEE" w:rsidRPr="00974DA2" w:rsidRDefault="00522900"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c>
          <w:tcPr>
            <w:tcW w:w="2013" w:type="dxa"/>
            <w:tcBorders>
              <w:top w:val="single" w:sz="4" w:space="0" w:color="auto"/>
              <w:left w:val="single" w:sz="4" w:space="0" w:color="auto"/>
              <w:bottom w:val="single" w:sz="4" w:space="0" w:color="auto"/>
              <w:right w:val="single" w:sz="4" w:space="0" w:color="auto"/>
            </w:tcBorders>
            <w:shd w:val="clear" w:color="auto" w:fill="DBDBDB" w:themeFill="accent6" w:themeFillTint="33"/>
            <w:vAlign w:val="center"/>
            <w:hideMark/>
          </w:tcPr>
          <w:p w14:paraId="1E6745A9" w14:textId="068631C0" w:rsidR="008D4FEE" w:rsidRPr="00974DA2" w:rsidRDefault="008D4FEE"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CHEMBL396097</w:t>
            </w:r>
          </w:p>
        </w:tc>
        <w:tc>
          <w:tcPr>
            <w:tcW w:w="1908" w:type="dxa"/>
            <w:tcBorders>
              <w:top w:val="single" w:sz="4" w:space="0" w:color="auto"/>
              <w:left w:val="single" w:sz="4" w:space="0" w:color="auto"/>
              <w:bottom w:val="single" w:sz="4" w:space="0" w:color="auto"/>
              <w:right w:val="single" w:sz="4" w:space="0" w:color="auto"/>
            </w:tcBorders>
            <w:vAlign w:val="center"/>
            <w:hideMark/>
          </w:tcPr>
          <w:p w14:paraId="7AE815FE" w14:textId="3FEBF3F2" w:rsidR="008D4FEE" w:rsidRPr="00974DA2" w:rsidRDefault="006048F4"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&gt;</w:t>
            </w:r>
            <w:r w:rsidR="005F71AA" w:rsidRPr="00974DA2">
              <w:rPr>
                <w:rFonts w:ascii="Times New Roman" w:hAnsi="Times New Roman" w:cs="Times New Roman"/>
                <w:color w:val="000000"/>
                <w:lang w:val="en-US"/>
              </w:rPr>
              <w:t>11</w:t>
            </w:r>
            <w:r w:rsidR="008D4FEE" w:rsidRPr="00974DA2">
              <w:rPr>
                <w:rFonts w:ascii="Times New Roman" w:hAnsi="Times New Roman" w:cs="Times New Roman"/>
                <w:color w:val="000000"/>
                <w:lang w:val="en-US"/>
              </w:rPr>
              <w:t>000</w:t>
            </w:r>
          </w:p>
        </w:tc>
        <w:tc>
          <w:tcPr>
            <w:tcW w:w="644" w:type="dxa"/>
            <w:tcBorders>
              <w:top w:val="single" w:sz="4" w:space="0" w:color="auto"/>
              <w:left w:val="single" w:sz="4" w:space="0" w:color="auto"/>
              <w:bottom w:val="single" w:sz="4" w:space="0" w:color="auto"/>
              <w:right w:val="single" w:sz="4" w:space="0" w:color="auto"/>
            </w:tcBorders>
            <w:vAlign w:val="center"/>
            <w:hideMark/>
          </w:tcPr>
          <w:p w14:paraId="34A0BAEB" w14:textId="70B159A3" w:rsidR="008D4FEE" w:rsidRPr="00974DA2" w:rsidRDefault="00697E08"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{"citationItems":[{"id":"ITEM-1","itemData":{"DOI":"10.1021/jm4011884","ISSN":"0022-2623","abstract":"Inhibition of class IIa histone deacetylase (HDAC) enzymes have been suggested as a therapeutic strategy for a number of diseases, including Huntington’s disease. Catalytic-site small molecule inhibitors of the class IIa HDAC4, -5, -7, and -9 were developed. These trisubstituted diarylcyclopropanehydroxamic acids were designed to exploit a lower pocket that is characteristic for the class IIa HDACs, not present in other HDAC classes. Selected inhibitors were cocrystallized with the catalytic domain of human HDAC4. We describe the first HDAC4 catalytic domain crystal structure in a “closed-loop” form, which in our view represents the biologically relevant conformation. We have demonstrated that these molecules can differentiate class IIa HDACs from class I and class IIb subtypes. They exhibited pharmacokinetic properties that should enable the assessment of their therapeutic benefit in both peripheral and CNS disorders. These selective inhibitors provide a means for evaluating potential efficacy in preclin...","author":[{"dropping-particle":"","family":"Bürli","given":"Roland W.","non-dropping-particle":"","parse-names":false,"suffix":""},{"dropping-particle":"","family":"Luckhurst","given":"Christopher A.","non-dropping-particle":"","parse-names":false,"suffix":""},{"dropping-particle":"","family":"Aziz","given":"Omar","non-dropping-particle":"","parse-names":false,"suffix":""},{"dropping-particle":"","family":"Matthews","given":"Kim L.","non-dropping-particle":"","parse-names":false,"suffix":""},{"dropping-particle":"","family":"Yates","given":"Dawn","non-dropping-particle":"","parse-names":false,"suffix":""},{"dropping-particle":"","family":"Lyons","given":"Kathy. A.","non-dropping-particle":"","parse-names":false,"suffix":""},{"dropping-particle":"","family":"Beconi","given":"Maria","non-dropping-particle":"","parse-names":false,"suffix":""},{"dropping-particle":"","family":"McAllister","given":"George","non-dropping-particle":"","parse-names":false,"suffix":""},{"dropping-particle":"","family":"Breccia","given":"Perla","non-dropping-particle":"","parse-names":false,"suffix":""},{"dropping-particle":"","family":"Stott","given":"Andrew J.","non-dropping-particle":"","parse-names":false,"suffix":""},{"dropping-particle":"","family":"Penrose","given":"Stephen D.","non-dropping-particle":"","parse-names":false,"suffix":""},{"dropping-particle":"","family":"Wall","given":"Michael","non-dropping-particle":"","parse-names":false,"suffix":""},{"dropping-particle":"","family":"Lamers","given":"Marieke","non-dropping-particle":"","parse-names":false,"suffix":""},{"dropping-particle":"","family":"Leonard","given":"Philip","non-dropping-particle":"","parse-names":false,"suffix":""},{"dropping-particle":"","family":"Müller","given":"Ilka","non-dropping-particle":"","parse-names":false,"suffix":""},{"dropping-particle":"","family":"Richardson","given":"Christine M.","non-dropping-particle":"","parse-names":false,"suffix":""},{"dropping-particle":"","family":"Jarvis","given":"Rebecca","non-dropping-particle":"","parse-names":false,"suffix":""},{"dropping-particle":"","family":"Stones","given":"Liz","non-dropping-particle":"","parse-names":false,"suffix":""},{"dropping-particle":"","family":"Hughes","given":"Samantha","non-dropping-particle":"","parse-names":false,"suffix":""},{"dropping-particle":"","family":"Wishart","given":"Grant","non-dropping-particle":"","parse-names":false,"suffix":""},{"dropping-particle":"","family":"Haughan","given":"Alan F.","non-dropping-particle":"","parse-names":false,"suffix":""},{"dropping-particle":"","family":"O’Connell","given":"Catherine","non-dropping-particle":"","parse-names":false,"suffix":""},{"dropping-particle":"","family":"Mead","given":"Tania","non-dropping-particle":"","parse-names":false,"suffix":""},{"dropping-particle":"","family":"McNeil","given":"Hannah","non-dropping-particle":"","parse-names":false,"suffix":""},{"dropping-particle":"","family":"Vann","given":"Julie","non-dropping-particle":"","parse-names":false,"suffix":""},{"dropping-particle":"","family":"Mangette","given":"John","non-dropping-particle":"","parse-names":false,"suffix":""},{"dropping-particle":"","family":"Maillard","given":"Michel","non-dropping-particle":"","parse-names":false,"suffix":""},{"dropping-particle":"","family":"Beaumont","given":"Vahri","non-dropping-particle":"","parse-names":false,"suffix":""},{"dropping-particle":"","family":"Munoz-Sanjuan","given":"Ignacio","non-dropping-particle":"","parse-names":false,"suffix":""},{"dropping-particle":"","family":"Dominguez","given":"Celia","non-dropping-particle":"","parse-names":false,"suffix":""}],"container-title":"Journal of Medicinal Chemistry","id":"ITEM-1","issue":"24","issued":{"date-parts":[["2013","12","27"]]},"page":"9934-9954","publisher":"American Chemical Society","title":"Design, Synthesis, and Biological Evaluation of Potent and Selective Class IIa Histone Deacetylase (HDAC) Inhibitors as a Potential Therapy for Huntington’s Disease","type":"article-journal","volume":"56"},"uris":["http://www.mendeley.com/documents/?uuid=7103412c-966b-3684-9649-d82ffc795303"]}],"mendeley":{"formattedCitation":"(Bürli et al. 2013)","plainTextFormattedCitation":"(Bürli et al. 2013)","previouslyFormattedCitation":"(Bürli et al. 2013)"},"properties":{"noteIndex":0},"schema":"https://github.com/citation-style-language/schema/raw/master/csl-citation.json"}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(Bürli et al. 2013)</w:t>
            </w:r>
            <w:r w:rsidRPr="00974DA2">
              <w:rPr>
                <w:rFonts w:ascii="Times New Roman" w:hAnsi="Times New Roman" w:cs="Times New Roman"/>
                <w:color w:val="000000"/>
                <w:lang w:val="en-US"/>
              </w:rPr>
              <w:fldChar w:fldCharType="end"/>
            </w:r>
          </w:p>
        </w:tc>
      </w:tr>
      <w:tr w:rsidR="00DB624A" w:rsidRPr="00974DA2" w14:paraId="65A4BA01"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5DB7F5C1" w14:textId="77777777" w:rsidR="00DB624A" w:rsidRPr="00974DA2" w:rsidRDefault="00DB624A"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CHEMBL152162</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55BE66B" w14:textId="77777777" w:rsidR="00DB624A" w:rsidRPr="00974DA2" w:rsidRDefault="00DB624A" w:rsidP="007C5ECC">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0.448</w:t>
            </w:r>
          </w:p>
        </w:tc>
        <w:tc>
          <w:tcPr>
            <w:tcW w:w="596" w:type="dxa"/>
            <w:tcBorders>
              <w:top w:val="single" w:sz="4" w:space="0" w:color="auto"/>
              <w:left w:val="single" w:sz="4" w:space="0" w:color="auto"/>
              <w:bottom w:val="single" w:sz="4" w:space="0" w:color="auto"/>
              <w:right w:val="single" w:sz="4" w:space="0" w:color="auto"/>
            </w:tcBorders>
            <w:vAlign w:val="center"/>
            <w:hideMark/>
          </w:tcPr>
          <w:p w14:paraId="61A399FE" w14:textId="7A39802E"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r>
      <w:tr w:rsidR="00DB624A" w:rsidRPr="00974DA2" w14:paraId="25874618"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7B80A5AE"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CHEMBL2333343</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16104F1"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0.028</w:t>
            </w:r>
          </w:p>
        </w:tc>
        <w:tc>
          <w:tcPr>
            <w:tcW w:w="596" w:type="dxa"/>
            <w:tcBorders>
              <w:top w:val="single" w:sz="4" w:space="0" w:color="auto"/>
              <w:left w:val="single" w:sz="4" w:space="0" w:color="auto"/>
              <w:bottom w:val="single" w:sz="4" w:space="0" w:color="auto"/>
              <w:right w:val="single" w:sz="4" w:space="0" w:color="auto"/>
            </w:tcBorders>
            <w:vAlign w:val="center"/>
            <w:hideMark/>
          </w:tcPr>
          <w:p w14:paraId="5207476C" w14:textId="4029E7A1"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{"citationItems":[{"id":"ITEM-1","itemData":{"DOI":"10.1016/J.BMCL.2011.05.098","ISSN":"0960-894X","abstract":"Histone deacetylases (HDACs) are enzymes involved in many important biological functions. They have been linked to a variety of cancers, psychiatric disorders, and other diseases. Since small molecules can serve as probes to study the relevant biological roles of HDACs, novel scaffolds are necessary to develop more efficient, selective drug candidates. Screening libraries of molecules may yield structurally diverse probes that bind these enzymes and modulate their functions in cells. Here we report a small molecule with a novel hydroxy-pyrimidine scaffold that inhibits multiple HDAC enzymes and modulates acetylation levels in cells. Analogs were synthesized in an effort to evaluate structure–activity relationships.","author":[{"dropping-particle":"","family":"Kemp","given":"Melissa M.","non-dropping-particle":"","parse-names":false,"suffix":""},{"dropping-particle":"","family":"Wang","given":"Qiu","non-dropping-particle":"","parse-names":false,"suffix":""},{"dropping-particle":"","family":"Fuller","given":"Jason H.","non-dropping-particle":"","parse-names":false,"suffix":""},{"dropping-particle":"","family":"West","given":"Nathan","non-dropping-particle":"","parse-names":false,"suffix":""},{"dropping-particle":"","family":"Martinez","given":"Nicole M.","non-dropping-particle":"","parse-names":false,"suffix":""},{"dropping-particle":"","family":"Morse","given":"Elizabeth M.","non-dropping-particle":"","parse-names":false,"suffix":""},{"dropping-particle":"","family":"Weïwer","given":"Michel","non-dropping-particle":"","parse-names":false,"suffix":""},{"dropping-particle":"","family":"Schreiber","given":"Stuart L.","non-dropping-particle":"","parse-names":false,"suffix":""},{"dropping-particle":"","family":"Bradner","given":"James E.","non-dropping-particle":"","parse-names":false,"suffix":""},{"dropping-particle":"","family":"Koehler","given":"Angela N.","non-dropping-particle":"","parse-names":false,"suffix":""}],"container-title":"Bioorganic &amp; Medicinal Chemistry Letters","id":"ITEM-1","issue":"14","issued":{"date-parts":[["2011","7","15"]]},"page":"4164-4169","publisher":"Pergamon","title":"A novel HDAC inhibitor with a hydroxy-pyrimidine scaffold","type":"article-journal","volume":"21"},"uris":["http://www.mendeley.com/documents/?uuid=38fb211c-9151-3ca7-b777-a3f784e8f3af"]}],"mendeley":{"formattedCitation":"(Kemp et al. 2011)","plainTextFormattedCitation":"(Kemp et al. 2011)","previouslyFormattedCitation":"(Kemp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(Kemp et al. 2011)</w:t>
            </w:r>
            <w:r w:rsidRPr="00974DA2">
              <w:rPr>
                <w:rFonts w:ascii="Times New Roman" w:hAnsi="Times New Roman" w:cs="Times New Roman"/>
                <w:color w:val="000000"/>
                <w:lang w:val="en-US"/>
              </w:rPr>
              <w:fldChar w:fldCharType="end"/>
            </w:r>
          </w:p>
        </w:tc>
      </w:tr>
      <w:tr w:rsidR="00DB624A" w:rsidRPr="00974DA2" w14:paraId="70904283"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5198C762"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CHEMBL2337874</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D25CB12"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0.681</w:t>
            </w:r>
          </w:p>
        </w:tc>
        <w:tc>
          <w:tcPr>
            <w:tcW w:w="596" w:type="dxa"/>
            <w:tcBorders>
              <w:top w:val="single" w:sz="4" w:space="0" w:color="auto"/>
              <w:left w:val="single" w:sz="4" w:space="0" w:color="auto"/>
              <w:bottom w:val="single" w:sz="4" w:space="0" w:color="auto"/>
              <w:right w:val="single" w:sz="4" w:space="0" w:color="auto"/>
            </w:tcBorders>
            <w:vAlign w:val="center"/>
            <w:hideMark/>
          </w:tcPr>
          <w:p w14:paraId="5DEC74E3" w14:textId="046FB9B3"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{"citationItems":[{"id":"ITEM-1","itemData":{"DOI":"10.1021/JM301355J","abstract":"Hydroxamic acids were designed, synthesized, and evaluated for their ability to selectively inhibit human histone deacetylase 6 (HDAC6). Several inhibitors, including compound 14 (BRD9757), exhibited excellent potency and selectivity despite the absence of a surface-binding motif. The binding of these highly efficient ligands for HDAC6 is rationalized via structure–activity relationships. These results demonstrate that high selectivity and potent inhibition of HDAC6 can be achieved through careful choice of linker element only.","author":[{"dropping-particle":"","family":"Wagner","given":"Florence F.","non-dropping-particle":"","parse-names":false,"suffix":""},{"dropping-particle":"","family":"Olson","given":"David E.","non-dropping-particle":"","parse-names":false,"suffix":""},{"dropping-particle":"","family":"Gale","given":"Jennifer P.","non-dropping-particle":"","parse-names":false,"suffix":""},{"dropping-particle":"","family":"Kaya","given":"Taner","non-dropping-particle":"","parse-names":false,"suffix":""},{"dropping-particle":"","family":"Weïwer","given":"Michel","non-dropping-particle":"","parse-names":false,"suffix":""},{"dropping-particle":"","family":"Aidoud","given":"Nadia","non-dropping-particle":"","parse-names":false,"suffix":""},{"dropping-particle":"","family":"Thomas","given":"Méryl","non-dropping-particle":"","parse-names":false,"suffix":""},{"dropping-particle":"","family":"Davoine","given":"Emeline L.","non-dropping-particle":"","parse-names":false,"suffix":""},{"dropping-particle":"","family":"Lemercier","given":"Bérénice C.","non-dropping-particle":"","parse-names":false,"suffix":""},{"dropping-particle":"","family":"Zhang","given":"Yan-Ling","non-dropping-particle":"","parse-names":false,"suffix":""},{"dropping-particle":"","family":"Holson","given":"Edward B.","non-dropping-particle":"","parse-names":false,"suffix":""}],"id":"ITEM-1","issued":{"date-parts":[["2013"]]},"publisher":"American Chemical Society","title":"Potent and Selective Inhibition of Histone Deacetylase 6 (HDAC6) Does Not Require a Surface-Binding Motif","type":"article-journal"},"uris":["http://www.mendeley.com/documents/?uuid=d3058838-24d0-3332-978f-72df3ffc8ee2"]}],"mendeley":{"formattedCitation":"(Wagner et al. 2013)","plainTextFormattedCitation":"(Wagner et al. 2013)","previouslyFormattedCitation":"(Wagner et al. 2013)"},"properties":{"noteIndex":0},"schema":"https://github.com/citation-style-language/schema/raw/master/csl-citation.json"}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(Wagner et al. 2013)</w:t>
            </w:r>
            <w:r w:rsidRPr="00974DA2">
              <w:rPr>
                <w:rFonts w:ascii="Times New Roman" w:hAnsi="Times New Roman" w:cs="Times New Roman"/>
                <w:color w:val="000000"/>
                <w:lang w:val="en-US"/>
              </w:rPr>
              <w:fldChar w:fldCharType="end"/>
            </w:r>
          </w:p>
        </w:tc>
      </w:tr>
      <w:tr w:rsidR="00DB624A" w:rsidRPr="00974DA2" w14:paraId="4E0BF120"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69549B57"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CHEMBL2337875</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DD84D44"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0.457</w:t>
            </w:r>
          </w:p>
        </w:tc>
        <w:tc>
          <w:tcPr>
            <w:tcW w:w="596" w:type="dxa"/>
            <w:tcBorders>
              <w:top w:val="single" w:sz="4" w:space="0" w:color="auto"/>
              <w:left w:val="single" w:sz="4" w:space="0" w:color="auto"/>
              <w:bottom w:val="single" w:sz="4" w:space="0" w:color="auto"/>
              <w:right w:val="single" w:sz="4" w:space="0" w:color="auto"/>
            </w:tcBorders>
            <w:vAlign w:val="center"/>
            <w:hideMark/>
          </w:tcPr>
          <w:p w14:paraId="1E1922CA" w14:textId="6B2F457E"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{"citationItems":[{"id":"ITEM-1","itemData":{"DOI":"10.1021/JM301355J","abstract":"Hydroxamic acids were designed, synthesized, and evaluated for their ability to selectively inhibit human histone deacetylase 6 (HDAC6). Several inhibitors, including compound 14 (BRD9757), exhibited excellent potency and selectivity despite the absence of a surface-binding motif. The binding of these highly efficient ligands for HDAC6 is rationalized via structure–activity relationships. These results demonstrate that high selectivity and potent inhibition of HDAC6 can be achieved through careful choice of linker element only.","author":[{"dropping-particle":"","family":"Wagner","given":"Florence F.","non-dropping-particle":"","parse-names":false,"suffix":""},{"dropping-particle":"","family":"Olson","given":"David E.","non-dropping-particle":"","parse-names":false,"suffix":""},{"dropping-particle":"","family":"Gale","given":"Jennifer P.","non-dropping-particle":"","parse-names":false,"suffix":""},{"dropping-particle":"","family":"Kaya","given":"Taner","non-dropping-particle":"","parse-names":false,"suffix":""},{"dropping-particle":"","family":"Weïwer","given":"Michel","non-dropping-particle":"","parse-names":false,"suffix":""},{"dropping-particle":"","family":"Aidoud","given":"Nadia","non-dropping-particle":"","parse-names":false,"suffix":""},{"dropping-particle":"","family":"Thomas","given":"Méryl","non-dropping-particle":"","parse-names":false,"suffix":""},{"dropping-particle":"","family":"Davoine","given":"Emeline L.","non-dropping-particle":"","parse-names":false,"suffix":""},{"dropping-particle":"","family":"Lemercier","given":"Bérénice C.","non-dropping-particle":"","parse-names":false,"suffix":""},{"dropping-particle":"","family":"Zhang","given":"Yan-Ling","non-dropping-particle":"","parse-names":false,"suffix":""},{"dropping-particle":"","family":"Holson","given":"Edward B.","non-dropping-particle":"","parse-names":false,"suffix":""}],"id":"ITEM-1","issued":{"date-parts":[["2013"]]},"publisher":"American Chemical Society","title":"Potent and Selective Inhibition of Histone Deacetylase 6 (HDAC6) Does Not Require a Surface-Binding Motif","type":"article-journal"},"uris":["http://www.mendeley.com/documents/?uuid=d3058838-24d0-3332-978f-72df3ffc8ee2"]}],"mendeley":{"formattedCitation":"(Wagner et al. 2013)","plainTextFormattedCitation":"(Wagner et al. 2013)","previouslyFormattedCitation":"(Wagner et al. 2013)"},"properties":{"noteIndex":0},"schema":"https://github.com/citation-style-language/schema/raw/master/csl-citation.json"}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(Wagner et al. 2013)</w:t>
            </w:r>
            <w:r w:rsidRPr="00974DA2">
              <w:rPr>
                <w:rFonts w:ascii="Times New Roman" w:hAnsi="Times New Roman" w:cs="Times New Roman"/>
                <w:color w:val="000000"/>
                <w:lang w:val="en-US"/>
              </w:rPr>
              <w:fldChar w:fldCharType="end"/>
            </w:r>
          </w:p>
        </w:tc>
      </w:tr>
      <w:tr w:rsidR="00DB624A" w:rsidRPr="00974DA2" w14:paraId="135AFA13"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3B2E2C8C"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CHEMBL2381522</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56FBB1E"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0.650</w:t>
            </w:r>
          </w:p>
        </w:tc>
        <w:tc>
          <w:tcPr>
            <w:tcW w:w="596" w:type="dxa"/>
            <w:tcBorders>
              <w:top w:val="single" w:sz="4" w:space="0" w:color="auto"/>
              <w:left w:val="single" w:sz="4" w:space="0" w:color="auto"/>
              <w:bottom w:val="single" w:sz="4" w:space="0" w:color="auto"/>
              <w:right w:val="single" w:sz="4" w:space="0" w:color="auto"/>
            </w:tcBorders>
            <w:vAlign w:val="center"/>
            <w:hideMark/>
          </w:tcPr>
          <w:p w14:paraId="5A6A59F2" w14:textId="1FDFBF55"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{"citationItems":[{"id":"ITEM-1","itemData":{"DOI":"10.1021/jm301769u","ISSN":"0022-2623","abstract":"Small molecules bearing hydroxamic acid as the zinc binding group (ZBG) have been the most effective histone deacetylase inhibitors (HDACi) to date. However, concerns about the pharmacokinetic liabilities of the hydroxamic acid moiety have stimulated research efforts aimed at finding alternative nonhydroxamate ZBGs. We have identified 3-hydroxypyridin-2-thione (3-HPT) as a novel ZBG that is compatible with HDAC inhibition. 3-HPT inhibits HDAC 6 and HDAC 8 with an IC50 of 681 and 3675 nM, respectively. Remarkably, 3-HPT gives no inhibition of HDAC 1. Subsequent optimization led to several novel 3HPT-based HDACi that are selective for HDAC 6 and HDAC 8. Furthermore, a subset of these inhibitors induces apoptosis in various cancer cell lines.","author":[{"dropping-particle":"","family":"Patil","given":"Vishal","non-dropping-particle":"","parse-names":false,"suffix":""},{"dropping-particle":"","family":"Sodji","given":"Quaovi H.","non-dropping-particle":"","parse-names":false,"suffix":""},{"dropping-particle":"","family":"Kornacki","given":"James R.","non-dropping-particle":"","parse-names":false,"suffix":""},{"dropping-particle":"","family":"Mrksich","given":"Milan","non-dropping-particle":"","parse-names":false,"suffix":""},{"dropping-particle":"","family":"Oyelere","given":"Adegboyega K.","non-dropping-particle":"","parse-names":false,"suffix":""}],"container-title":"Journal of Medicinal Chemistry","id":"ITEM-1","issue":"9","issued":{"date-parts":[["2013","5","9"]]},"page":"3492-3506","publisher":"American Chemical Society","title":"3-Hydroxypyridin-2-thione as Novel Zinc Binding Group for Selective Histone Deacetylase Inhibition","type":"article-journal","volume":"56"},"uris":["http://www.mendeley.com/documents/?uuid=f0629664-5619-3f44-8a95-f2ac6ba6afb9"]}],"mendeley":{"formattedCitation":"(Patil et al. 2013)","plainTextFormattedCitation":"(Patil et al. 2013)","previouslyFormattedCitation":"(Patil et al. 2013)"},"properties":{"noteIndex":0},"schema":"https://github.com/citation-style-language/schema/raw/master/csl-citation.json"}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(Patil et al. 2013)</w:t>
            </w:r>
            <w:r w:rsidRPr="00974DA2">
              <w:rPr>
                <w:rFonts w:ascii="Times New Roman" w:hAnsi="Times New Roman" w:cs="Times New Roman"/>
                <w:color w:val="000000"/>
                <w:lang w:val="en-US"/>
              </w:rPr>
              <w:fldChar w:fldCharType="end"/>
            </w:r>
          </w:p>
        </w:tc>
      </w:tr>
      <w:tr w:rsidR="00DB624A" w:rsidRPr="00974DA2" w14:paraId="73D01646"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24385BFB"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CHEMBL2381521</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12D850D"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2.500</w:t>
            </w:r>
          </w:p>
        </w:tc>
        <w:tc>
          <w:tcPr>
            <w:tcW w:w="596" w:type="dxa"/>
            <w:tcBorders>
              <w:top w:val="single" w:sz="4" w:space="0" w:color="auto"/>
              <w:left w:val="single" w:sz="4" w:space="0" w:color="auto"/>
              <w:bottom w:val="single" w:sz="4" w:space="0" w:color="auto"/>
              <w:right w:val="single" w:sz="4" w:space="0" w:color="auto"/>
            </w:tcBorders>
            <w:vAlign w:val="center"/>
            <w:hideMark/>
          </w:tcPr>
          <w:p w14:paraId="6A560788" w14:textId="6D97B37A"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{"citationItems":[{"id":"ITEM-1","itemData":{"DOI":"10.1021/jm301769u","ISSN":"0022-2623","abstract":"Small molecules bearing hydroxamic acid as the zinc binding group (ZBG) have been the most effective histone deacetylase inhibitors (HDACi) to date. However, concerns about the pharmacokinetic liabilities of the hydroxamic acid moiety have stimulated research efforts aimed at finding alternative nonhydroxamate ZBGs. We have identified 3-hydroxypyridin-2-thione (3-HPT) as a novel ZBG that is compatible with HDAC inhibition. 3-HPT inhibits HDAC 6 and HDAC 8 with an IC50 of 681 and 3675 nM, respectively. Remarkably, 3-HPT gives no inhibition of HDAC 1. Subsequent optimization led to several novel 3HPT-based HDACi that are selective for HDAC 6 and HDAC 8. Furthermore, a subset of these inhibitors induces apoptosis in various cancer cell lines.","author":[{"dropping-particle":"","family":"Patil","given":"Vishal","non-dropping-particle":"","parse-names":false,"suffix":""},{"dropping-particle":"","family":"Sodji","given":"Quaovi H.","non-dropping-particle":"","parse-names":false,"suffix":""},{"dropping-particle":"","family":"Kornacki","given":"James R.","non-dropping-particle":"","parse-names":false,"suffix":""},{"dropping-particle":"","family":"Mrksich","given":"Milan","non-dropping-particle":"","parse-names":false,"suffix":""},{"dropping-particle":"","family":"Oyelere","given":"Adegboyega K.","non-dropping-particle":"","parse-names":false,"suffix":""}],"container-title":"Journal of Medicinal Chemistry","id":"ITEM-1","issue":"9","issued":{"date-parts":[["2013","5","9"]]},"page":"3492-3506","publisher":"American Chemical Society","title":"3-Hydroxypyridin-2-thione as Novel Zinc Binding Group for Selective Histone Deacetylase Inhibition","type":"article-journal","volume":"56"},"uris":["http://www.mendeley.com/documents/?uuid=f0629664-5619-3f44-8a95-f2ac6ba6afb9"]}],"mendeley":{"formattedCitation":"(Patil et al. 2013)","plainTextFormattedCitation":"(Patil et al. 2013)","previouslyFormattedCitation":"(Patil et al. 2013)"},"properties":{"noteIndex":0},"schema":"https://github.com/citation-style-language/schema/raw/master/csl-citation.json"}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(Patil et al. 2013)</w:t>
            </w:r>
            <w:r w:rsidRPr="00974DA2">
              <w:rPr>
                <w:rFonts w:ascii="Times New Roman" w:hAnsi="Times New Roman" w:cs="Times New Roman"/>
                <w:color w:val="000000"/>
                <w:lang w:val="en-US"/>
              </w:rPr>
              <w:fldChar w:fldCharType="end"/>
            </w:r>
          </w:p>
        </w:tc>
      </w:tr>
      <w:tr w:rsidR="00DB624A" w:rsidRPr="00974DA2" w14:paraId="0E0A370A"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10F378FA"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lastRenderedPageBreak/>
              <w:t>CHEMBL3652225</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774BC26"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0.007</w:t>
            </w:r>
          </w:p>
        </w:tc>
        <w:tc>
          <w:tcPr>
            <w:tcW w:w="596" w:type="dxa"/>
            <w:tcBorders>
              <w:top w:val="single" w:sz="4" w:space="0" w:color="auto"/>
              <w:left w:val="single" w:sz="4" w:space="0" w:color="auto"/>
              <w:bottom w:val="single" w:sz="4" w:space="0" w:color="auto"/>
              <w:right w:val="single" w:sz="4" w:space="0" w:color="auto"/>
            </w:tcBorders>
            <w:vAlign w:val="center"/>
            <w:hideMark/>
          </w:tcPr>
          <w:p w14:paraId="0462F9E4" w14:textId="6B490BC2"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{"citationItems":[{"id":"ITEM-1","itemData":{"DOI":"10.1021/jm400390r","ISSN":"0022-2623","abstract":"We disclose the first small molecule histone deacetylase (HDAC) inhibitor (3, BRD73954) capable of potently and selectively inhibiting both HDAC6 and HDAC8 despite the fact that these isoforms belong to distinct phylogenetic classes within the HDAC family of enzymes. Our data demonstrate that meta substituents of phenyl hydroxamic acids are readily accommodated upon binding to HDAC6 and, furthermore, are necessary for the potent inhibition of HDAC8.","author":[{"dropping-particle":"","family":"Olson","given":"David E.","non-dropping-particle":"","parse-names":false,"suffix":""},{"dropping-particle":"","family":"Wagner","given":"Florence F.","non-dropping-particle":"","parse-names":false,"suffix":""},{"dropping-particle":"","family":"Kaya","given":"Taner","non-dropping-particle":"","parse-names":false,"suffix":""},{"dropping-particle":"","family":"Gale","given":"Jennifer P.","non-dropping-particle":"","parse-names":false,"suffix":""},{"dropping-particle":"","family":"Aidoud","given":"Nadia","non-dropping-particle":"","parse-names":false,"suffix":""},{"dropping-particle":"","family":"Davoine","given":"Emeline L.","non-dropping-particle":"","parse-names":false,"suffix":""},{"dropping-particle":"","family":"Lazzaro","given":"Fanny","non-dropping-particle":"","parse-names":false,"suffix":""},{"dropping-particle":"","family":"Weïwer","given":"Michel","non-dropping-particle":"","parse-names":false,"suffix":""},{"dropping-particle":"","family":"Zhang","given":"Yan-Ling","non-dropping-particle":"","parse-names":false,"suffix":""},{"dropping-particle":"","family":"Holson","given":"Edward B.","non-dropping-particle":"","parse-names":false,"suffix":""}],"container-title":"Journal of Medicinal Chemistry","id":"ITEM-1","issue":"11","issued":{"date-parts":[["2013","6","13"]]},"page":"4816-4820","publisher":"American Chemical Society","title":"Discovery of the First Histone Deacetylase 6/8 Dual Inhibitors","type":"article-journal","volume":"56"},"uris":["http://www.mendeley.com/documents/?uuid=e9749e5f-43c3-351e-ac25-68f6630f46e2"]}],"mendeley":{"formattedCitation":"(Olson et al. 2013)","plainTextFormattedCitation":"(Olson et al. 2013)","previouslyFormattedCitation":"(Olson et al. 2013)"},"properties":{"noteIndex":0},"schema":"https://github.com/citation-style-language/schema/raw/master/csl-citation.json"}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(Olson et al. 2013)</w:t>
            </w:r>
            <w:r w:rsidRPr="00974DA2">
              <w:rPr>
                <w:rFonts w:ascii="Times New Roman" w:hAnsi="Times New Roman" w:cs="Times New Roman"/>
                <w:color w:val="000000"/>
                <w:lang w:val="en-US"/>
              </w:rPr>
              <w:fldChar w:fldCharType="end"/>
            </w:r>
          </w:p>
        </w:tc>
      </w:tr>
      <w:tr w:rsidR="00DB624A" w:rsidRPr="00974DA2" w14:paraId="14D4738A"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38EE3501"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CHEMBL109654</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5743973"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0.067</w:t>
            </w:r>
          </w:p>
        </w:tc>
        <w:tc>
          <w:tcPr>
            <w:tcW w:w="596" w:type="dxa"/>
            <w:tcBorders>
              <w:top w:val="single" w:sz="4" w:space="0" w:color="auto"/>
              <w:left w:val="single" w:sz="4" w:space="0" w:color="auto"/>
              <w:bottom w:val="single" w:sz="4" w:space="0" w:color="auto"/>
              <w:right w:val="single" w:sz="4" w:space="0" w:color="auto"/>
            </w:tcBorders>
            <w:vAlign w:val="center"/>
            <w:hideMark/>
          </w:tcPr>
          <w:p w14:paraId="76CCB6E8" w14:textId="109F01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{"citationItems":[{"id":"ITEM-1","itemData":{"DOI":"10.1021/jm5008209","ISSN":"0022-2623","abstract":"A systematic study of medicinal chemistry aimed at identifying a new generation of HDAC inhibitors, through the introduction of a thiol zinc-binding group (ZBG) and of an amide-lactam in the ω-position of the polyethylene chain of the vorinostat scaffold, allowed the selection of a new class of potent pan-HDAC inhibitors (pan-HDACis). Simple, highly versatile, and efficient synthetic approaches were used to synthesize a library of these new derivatives, which were then submitted to a screening for HDAC inhibition as well as to a preliminary in vitro assessment of their antiproliferative activity. Molecular docking into HDAC crystal structures suggested a binding mode for these thiol derivatives consistent with the stereoselectivity observed upon insertion of amide-lactam substituents in the ω-position. ST7612AA1 (117), selected as a drug candidate for further development, showed an in vitro activity in the nanomolar range associated with a remarkable in vivo antitumor activity, highly competitive with the...","author":[{"dropping-particle":"","family":"Giannini","given":"Giuseppe","non-dropping-particle":"","parse-names":false,"suffix":""},{"dropping-particle":"","family":"Vesci","given":"Loredana","non-dropping-particle":"","parse-names":false,"suffix":""},{"dropping-particle":"","family":"Battistuzzi","given":"Gianfranco","non-dropping-particle":"","parse-names":false,"suffix":""},{"dropping-particle":"","family":"Vignola","given":"Davide","non-dropping-particle":"","parse-names":false,"suffix":""},{"dropping-particle":"","family":"Milazzo","given":"Ferdinando M.","non-dropping-particle":"","parse-names":false,"suffix":""},{"dropping-particle":"","family":"Guglielmi","given":"Mario Berardino","non-dropping-particle":"","parse-names":false,"suffix":""},{"dropping-particle":"","family":"Barbarino","given":"Marcella","non-dropping-particle":"","parse-names":false,"suffix":""},{"dropping-particle":"","family":"Santaniello","given":"Mosè","non-dropping-particle":"","parse-names":false,"suffix":""},{"dropping-particle":"","family":"Fantò","given":"Nicola","non-dropping-particle":"","parse-names":false,"suffix":""},{"dropping-particle":"","family":"Mor","given":"Marco","non-dropping-particle":"","parse-names":false,"suffix":""},{"dropping-particle":"","family":"Rivara","given":"Silvia","non-dropping-particle":"","parse-names":false,"suffix":""},{"dropping-particle":"","family":"Pala","given":"Daniele","non-dropping-particle":"","parse-names":false,"suffix":""},{"dropping-particle":"","family":"Taddei","given":"Maurizio","non-dropping-particle":"","parse-names":false,"suffix":""},{"dropping-particle":"","family":"Pisano","given":"Claudio","non-dropping-particle":"","parse-names":false,"suffix":""},{"dropping-particle":"","family":"Cabri","given":"Walter","non-dropping-particle":"","parse-names":false,"suffix":""}],"container-title":"Journal of Medicinal Chemistry","id":"ITEM-1","issue":"20","issued":{"date-parts":[["2014","10","23"]]},"page":"8358-8377","publisher":"American Chemical Society","title":"ST7612AA1, a Thioacetate-ω(γ-lactam carboxamide) Derivative Selected from a Novel Generation of Oral HDAC Inhibitors","type":"article-journal","volume":"57"},"uris":["http://www.mendeley.com/documents/?uuid=e5be9011-98ef-317f-aeb7-0be3e6f5567a"]}],"mendeley":{"formattedCitation":"(Giannini et al. 2014)","plainTextFormattedCitation":"(Giannini et al. 2014)","previouslyFormattedCitation":"(Giannini et al. 2014)"},"properties":{"noteIndex":0},"schema":"https://github.com/citation-style-language/schema/raw/master/csl-citation.json"}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(Giannini et al. 2014)</w:t>
            </w:r>
            <w:r w:rsidRPr="00974DA2">
              <w:rPr>
                <w:rFonts w:ascii="Times New Roman" w:hAnsi="Times New Roman" w:cs="Times New Roman"/>
                <w:color w:val="000000"/>
                <w:lang w:val="en-US"/>
              </w:rPr>
              <w:fldChar w:fldCharType="end"/>
            </w:r>
          </w:p>
        </w:tc>
      </w:tr>
      <w:tr w:rsidR="00DB624A" w:rsidRPr="00974DA2" w14:paraId="2A29D85E"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35612517"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CHEMBL3617543</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AD8A06B"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0.150</w:t>
            </w:r>
          </w:p>
        </w:tc>
        <w:tc>
          <w:tcPr>
            <w:tcW w:w="596" w:type="dxa"/>
            <w:tcBorders>
              <w:top w:val="single" w:sz="4" w:space="0" w:color="auto"/>
              <w:left w:val="single" w:sz="4" w:space="0" w:color="auto"/>
              <w:bottom w:val="single" w:sz="4" w:space="0" w:color="auto"/>
              <w:right w:val="single" w:sz="4" w:space="0" w:color="auto"/>
            </w:tcBorders>
            <w:vAlign w:val="center"/>
            <w:hideMark/>
          </w:tcPr>
          <w:p w14:paraId="138F2A80" w14:textId="23051FDE"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{"citationItems":[{"id":"ITEM-1","itemData":{"DOI":"10.1016/J.BMCL.2015.07.065","ISSN":"0960-894X","abstract":"Histone deacetylase (HDAC) is a validated target for pursuing anticancer agents. However, obtaining a selective inhibitor against a given HDAC member remains a significant challenge. We report here the use of 1-hydroxypyridine-2-thione (1HPT) as a key pharmacophore for zinc-binding can result in highly selective HDAC inhibitors. 1HPT-6-carboxylic acid exhibits selective inhibition of HDAC6 with an IC50 of 150nM that corresponds to a remarkable 0.9 ligand efficiency. Two analogs with simple amino acids shows nearly 600-fold selectivity among the eleven zinc-dependent HDACs. At low micromolar concentration these compounds inhibit the growth of HDAC8-overexpressing chronic myelogenous leukemia cells and specific form of acute myelogenous leukemia cells. Their potential mode of binding was examined by molecular docking and their stability was assessed in mouse and human plasma. Together the results suggest 1HPT analogs exhibit promising therapeutic potential for further development as anticancer agents to treat leukemia.","author":[{"dropping-particle":"","family":"Muthyala","given":"Ramaiah","non-dropping-particle":"","parse-names":false,"suffix":""},{"dropping-particle":"","family":"Shin","given":"Woo Shik","non-dropping-particle":"","parse-names":false,"suffix":""},{"dropping-particle":"","family":"Xie","given":"Jiashu","non-dropping-particle":"","parse-names":false,"suffix":""},{"dropping-particle":"","family":"Sham","given":"Yuk Yin","non-dropping-particle":"","parse-names":false,"suffix":""}],"container-title":"Bioorganic &amp; Medicinal Chemistry Letters","id":"ITEM-1","issue":"19","issued":{"date-parts":[["2015","10","1"]]},"page":"4320-4324","publisher":"Pergamon","title":"Discovery of 1-hydroxypyridine-2-thiones as selective histone deacetylase inhibitors and their potential application for treating leukemia","type":"article-journal","volume":"25"},"uris":["http://www.mendeley.com/documents/?uuid=a0d7203b-4b4d-3f33-8f18-cc95552e157b"]}],"mendeley":{"formattedCitation":"(Muthyala et al. 2015)","plainTextFormattedCitation":"(Muthyala et al. 2015)","previouslyFormattedCitation":"(Muthyala et al. 2015)"},"properties":{"noteIndex":0},"schema":"https://github.com/citation-style-language/schema/raw/master/csl-citation.json"}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(Muthyala et al. 2015)</w:t>
            </w:r>
            <w:r w:rsidRPr="00974DA2">
              <w:rPr>
                <w:rFonts w:ascii="Times New Roman" w:hAnsi="Times New Roman" w:cs="Times New Roman"/>
                <w:color w:val="000000"/>
                <w:lang w:val="en-US"/>
              </w:rPr>
              <w:fldChar w:fldCharType="end"/>
            </w:r>
          </w:p>
        </w:tc>
      </w:tr>
      <w:tr w:rsidR="00DB624A" w:rsidRPr="00974DA2" w14:paraId="056F42BD" w14:textId="77777777" w:rsidTr="002C2811">
        <w:trPr>
          <w:gridAfter w:val="3"/>
          <w:wAfter w:w="4565" w:type="dxa"/>
          <w:trHeight w:val="113"/>
          <w:jc w:val="center"/>
        </w:trPr>
        <w:tc>
          <w:tcPr>
            <w:tcW w:w="2013" w:type="dxa"/>
            <w:tcBorders>
              <w:top w:val="single" w:sz="4" w:space="0" w:color="auto"/>
              <w:left w:val="single" w:sz="4" w:space="0" w:color="auto"/>
              <w:bottom w:val="single" w:sz="4" w:space="0" w:color="auto"/>
              <w:right w:val="single" w:sz="4" w:space="0" w:color="auto"/>
            </w:tcBorders>
            <w:shd w:val="clear" w:color="auto" w:fill="F8F8F8" w:themeFill="accent1" w:themeFillTint="33"/>
            <w:vAlign w:val="center"/>
            <w:hideMark/>
          </w:tcPr>
          <w:p w14:paraId="225E6957"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CHEMBL3415449</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AFBE442" w14:textId="77777777"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t>1.770</w:t>
            </w:r>
          </w:p>
        </w:tc>
        <w:tc>
          <w:tcPr>
            <w:tcW w:w="596" w:type="dxa"/>
            <w:tcBorders>
              <w:top w:val="single" w:sz="4" w:space="0" w:color="auto"/>
              <w:left w:val="single" w:sz="4" w:space="0" w:color="auto"/>
              <w:bottom w:val="single" w:sz="4" w:space="0" w:color="auto"/>
              <w:right w:val="single" w:sz="4" w:space="0" w:color="auto"/>
            </w:tcBorders>
            <w:vAlign w:val="center"/>
            <w:hideMark/>
          </w:tcPr>
          <w:p w14:paraId="4C706D8D" w14:textId="74EDDAD6" w:rsidR="00DB624A" w:rsidRPr="00974DA2" w:rsidRDefault="00DB624A" w:rsidP="00697E08">
            <w:pPr>
              <w:spacing w:after="0" w:line="360" w:lineRule="auto"/>
              <w:jc w:val="center"/>
              <w:rPr>
                <w:rFonts w:ascii="Times New Roman" w:hAnsi="Times New Roman" w:cs="Times New Roman"/>
                <w:color w:val="000000"/>
                <w:lang w:val="en-US"/>
              </w:rPr>
            </w:pPr>
            <w:r w:rsidRPr="00974DA2">
              <w:rPr>
                <w:rFonts w:ascii="Times New Roman" w:hAnsi="Times New Roman" w:cs="Times New Roman"/>
                <w:color w:val="000000"/>
                <w:lang w:val="en-US"/>
              </w:rPr>
              <w:fldChar w:fldCharType="begin" w:fldLock="1"/>
            </w:r>
            <w:r w:rsidR="00EC7F78">
              <w:rPr>
                <w:rFonts w:ascii="Times New Roman" w:hAnsi="Times New Roman" w:cs="Times New Roman"/>
                <w:color w:val="000000"/>
                <w:lang w:val="en-US"/>
              </w:rPr>
              <w:instrText>ADDIN CSL_CITATION {"citationItems":[{"id":"ITEM-1","itemData":{"DOI":"10.1021/ml1001954","ISSN":"1948-5875","abstract":"Carboxylic acids with known central nervous system and histone deacetylase (HDAC) inhibitory activities were converted to hydroxamic acids and tested using a suite of in vitro biochemical assays with recombinant HDAC isoforms, cell based assays in human cervical carcinoma HeLa cells and primary cultures from mouse forebrain, and a whole animal (Xenopus laevis) developmental assay. Relative to the parent carboxylic acids, two of these analogues exhibited enhanced potency, and one analogue showed altered HDAC isoform selectivity and in vivo activity in the Xenopus assay. We discuss potential uses of these novel hydroxamic acids in studies aimed at determining the utility of HDAC inhibitors as memory enhancers and mood stabilizers.","author":[{"dropping-particle":"","family":"Fass","given":"Daniel M.","non-dropping-particle":"","parse-names":false,"suffix":""},{"dropping-particle":"","family":"Shah","given":"Rishita","non-dropping-particle":"","parse-names":false,"suffix":""},{"dropping-particle":"","family":"Ghosh","given":"Balaram","non-dropping-particle":"","parse-names":false,"suffix":""},{"dropping-particle":"","family":"Hennig","given":"Krista","non-dropping-particle":"","parse-names":false,"suffix":""},{"dropping-particle":"","family":"Norton","given":"Stephanie","non-dropping-particle":"","parse-names":false,"suffix":""},{"dropping-particle":"","family":"Zhao","given":"Wen-Ning","non-dropping-particle":"","parse-names":false,"suffix":""},{"dropping-particle":"","family":"Reis","given":"Surya A.","non-dropping-particle":"","parse-names":false,"suffix":""},{"dropping-particle":"","family":"Klein","given":"Peter S.","non-dropping-particle":"","parse-names":false,"suffix":""},{"dropping-particle":"","family":"Mazitschek","given":"Ralph","non-dropping-particle":"","parse-names":false,"suffix":""},{"dropping-particle":"","family":"Maglathlin","given":"Rebecca L.","non-dropping-particle":"","parse-names":false,"suffix":""},{"dropping-particle":"","family":"Lewis","given":"Timothy A.","non-dropping-particle":"","parse-names":false,"suffix":""},{"dropping-particle":"","family":"Haggarty","given":"Stephen J.","non-dropping-particle":"","parse-names":false,"suffix":""}],"container-title":"ACS Medicinal Chemistry Letters","id":"ITEM-1","issue":"1","issued":{"date-parts":[["2011","1","13"]]},"page":"39-42","publisher":"American Chemical Society","title":"Short-Chain HDAC Inhibitors Differentially Affect Vertebrate Development and Neuronal Chromatin","type":"article-journal","volume":"2"},"uris":["http://www.mendeley.com/documents/?uuid=288a65c1-8a49-3c7d-a060-8e45706752d7"]}],"mendeley":{"formattedCitation":"(Fass et al. 2011)","plainTextFormattedCitation":"(Fass et al. 2011)","previouslyFormattedCitation":"(Fass et al. 2011)"},"properties":{"noteIndex":0},"schema":"https://github.com/citation-style-language/schema/raw/master/csl-citation.json"}</w:instrText>
            </w:r>
            <w:r w:rsidRPr="00974DA2">
              <w:rPr>
                <w:rFonts w:ascii="Times New Roman" w:hAnsi="Times New Roman" w:cs="Times New Roman"/>
                <w:color w:val="000000"/>
                <w:lang w:val="en-US"/>
              </w:rPr>
              <w:fldChar w:fldCharType="separate"/>
            </w:r>
            <w:r w:rsidR="007233E5" w:rsidRPr="00974DA2">
              <w:rPr>
                <w:rFonts w:ascii="Times New Roman" w:hAnsi="Times New Roman" w:cs="Times New Roman"/>
                <w:noProof/>
                <w:color w:val="000000"/>
                <w:lang w:val="en-US"/>
              </w:rPr>
              <w:t>(Fass et al. 2011)</w:t>
            </w:r>
            <w:r w:rsidRPr="00974DA2">
              <w:rPr>
                <w:rFonts w:ascii="Times New Roman" w:hAnsi="Times New Roman" w:cs="Times New Roman"/>
                <w:color w:val="000000"/>
                <w:lang w:val="en-US"/>
              </w:rPr>
              <w:fldChar w:fldCharType="end"/>
            </w:r>
          </w:p>
        </w:tc>
      </w:tr>
    </w:tbl>
    <w:p w14:paraId="2A39EC30" w14:textId="77777777" w:rsidR="005F71AA" w:rsidRPr="00974DA2" w:rsidRDefault="005F71AA" w:rsidP="00D56413">
      <w:pPr>
        <w:jc w:val="both"/>
        <w:rPr>
          <w:rFonts w:ascii="Times New Roman" w:hAnsi="Times New Roman" w:cs="Times New Roman"/>
          <w:sz w:val="24"/>
          <w:szCs w:val="24"/>
          <w:lang w:val="en-US"/>
        </w:rPr>
      </w:pPr>
    </w:p>
    <w:p w14:paraId="17172847" w14:textId="488A5762" w:rsidR="005F71AA" w:rsidRPr="00974DA2" w:rsidRDefault="005F71AA" w:rsidP="005F71AA">
      <w:pPr>
        <w:spacing w:line="240" w:lineRule="auto"/>
        <w:jc w:val="both"/>
        <w:rPr>
          <w:rFonts w:ascii="Times New Roman" w:hAnsi="Times New Roman" w:cs="Times New Roman"/>
          <w:lang w:val="en-US"/>
        </w:rPr>
      </w:pPr>
      <w:r w:rsidRPr="00974DA2">
        <w:rPr>
          <w:rFonts w:ascii="Times New Roman" w:hAnsi="Times New Roman" w:cs="Times New Roman"/>
          <w:b/>
          <w:lang w:val="en-US"/>
        </w:rPr>
        <w:t xml:space="preserve">Table </w:t>
      </w:r>
      <w:r w:rsidR="007233E5" w:rsidRPr="00974DA2">
        <w:rPr>
          <w:rFonts w:ascii="Times New Roman" w:hAnsi="Times New Roman" w:cs="Times New Roman"/>
          <w:b/>
          <w:lang w:val="en-US"/>
        </w:rPr>
        <w:t>S</w:t>
      </w:r>
      <w:r w:rsidRPr="00974DA2">
        <w:rPr>
          <w:rFonts w:ascii="Times New Roman" w:hAnsi="Times New Roman" w:cs="Times New Roman"/>
          <w:b/>
          <w:lang w:val="en-US"/>
        </w:rPr>
        <w:t>2</w:t>
      </w:r>
      <w:r w:rsidRPr="00974DA2">
        <w:rPr>
          <w:rFonts w:ascii="Times New Roman" w:hAnsi="Times New Roman" w:cs="Times New Roman"/>
          <w:lang w:val="en-US"/>
        </w:rPr>
        <w:t>: Results of the validation of the docking protocols</w:t>
      </w:r>
    </w:p>
    <w:p w14:paraId="3D35D866" w14:textId="77777777" w:rsidR="005F71AA" w:rsidRPr="00974DA2" w:rsidRDefault="005F71AA" w:rsidP="00D56413">
      <w:pPr>
        <w:jc w:val="both"/>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348"/>
        <w:gridCol w:w="1384"/>
        <w:gridCol w:w="1863"/>
        <w:gridCol w:w="1289"/>
        <w:gridCol w:w="11"/>
      </w:tblGrid>
      <w:tr w:rsidR="00A656A7" w:rsidRPr="00974DA2" w14:paraId="79D4788A" w14:textId="77777777" w:rsidTr="007233E5">
        <w:trPr>
          <w:trHeight w:val="426"/>
          <w:jc w:val="center"/>
        </w:trPr>
        <w:tc>
          <w:tcPr>
            <w:tcW w:w="1250" w:type="dxa"/>
            <w:tcBorders>
              <w:top w:val="nil"/>
              <w:left w:val="nil"/>
              <w:bottom w:val="single" w:sz="4" w:space="0" w:color="auto"/>
              <w:right w:val="single" w:sz="4" w:space="0" w:color="auto"/>
            </w:tcBorders>
          </w:tcPr>
          <w:p w14:paraId="26F088DA" w14:textId="77777777" w:rsidR="00A656A7" w:rsidRPr="00974DA2" w:rsidRDefault="00A656A7" w:rsidP="00646B28">
            <w:pPr>
              <w:spacing w:after="0" w:line="360" w:lineRule="auto"/>
              <w:jc w:val="both"/>
              <w:rPr>
                <w:rFonts w:ascii="Times New Roman" w:hAnsi="Times New Roman" w:cs="Times New Roman"/>
                <w:sz w:val="24"/>
                <w:szCs w:val="24"/>
                <w:lang w:val="en-US"/>
              </w:rPr>
            </w:pPr>
          </w:p>
        </w:tc>
        <w:tc>
          <w:tcPr>
            <w:tcW w:w="2732" w:type="dxa"/>
            <w:gridSpan w:val="2"/>
            <w:tcBorders>
              <w:top w:val="single" w:sz="4" w:space="0" w:color="auto"/>
              <w:left w:val="single" w:sz="4" w:space="0" w:color="auto"/>
              <w:bottom w:val="single" w:sz="4" w:space="0" w:color="auto"/>
              <w:right w:val="single" w:sz="4" w:space="0" w:color="auto"/>
            </w:tcBorders>
            <w:shd w:val="clear" w:color="auto" w:fill="A7E8FF"/>
            <w:vAlign w:val="center"/>
          </w:tcPr>
          <w:p w14:paraId="56EC79BD" w14:textId="3E0C3B4E" w:rsidR="00A656A7" w:rsidRPr="00974DA2" w:rsidRDefault="00A656A7" w:rsidP="00A656A7">
            <w:pPr>
              <w:spacing w:after="0" w:line="240" w:lineRule="auto"/>
              <w:jc w:val="center"/>
              <w:rPr>
                <w:rFonts w:ascii="Times New Roman" w:hAnsi="Times New Roman" w:cs="Times New Roman"/>
                <w:b/>
                <w:sz w:val="24"/>
                <w:szCs w:val="24"/>
                <w:lang w:val="en-US"/>
              </w:rPr>
            </w:pPr>
            <w:r w:rsidRPr="00974DA2">
              <w:rPr>
                <w:rFonts w:ascii="Times New Roman" w:hAnsi="Times New Roman" w:cs="Times New Roman"/>
                <w:b/>
                <w:sz w:val="24"/>
                <w:szCs w:val="24"/>
                <w:lang w:val="en-US"/>
              </w:rPr>
              <w:t>GOLD results</w:t>
            </w:r>
          </w:p>
        </w:tc>
        <w:tc>
          <w:tcPr>
            <w:tcW w:w="3163" w:type="dxa"/>
            <w:gridSpan w:val="3"/>
            <w:tcBorders>
              <w:top w:val="single" w:sz="4" w:space="0" w:color="auto"/>
              <w:left w:val="single" w:sz="4" w:space="0" w:color="auto"/>
              <w:bottom w:val="single" w:sz="4" w:space="0" w:color="auto"/>
              <w:right w:val="single" w:sz="4" w:space="0" w:color="auto"/>
            </w:tcBorders>
            <w:shd w:val="clear" w:color="auto" w:fill="A7E8FF"/>
            <w:vAlign w:val="center"/>
          </w:tcPr>
          <w:p w14:paraId="357F906D" w14:textId="6EB78960" w:rsidR="00A656A7" w:rsidRPr="00974DA2" w:rsidRDefault="00A656A7" w:rsidP="00A656A7">
            <w:pPr>
              <w:spacing w:after="0" w:line="240" w:lineRule="auto"/>
              <w:jc w:val="center"/>
              <w:rPr>
                <w:rFonts w:ascii="Times New Roman" w:hAnsi="Times New Roman" w:cs="Times New Roman"/>
                <w:b/>
                <w:sz w:val="24"/>
                <w:szCs w:val="24"/>
                <w:lang w:val="en-US"/>
              </w:rPr>
            </w:pPr>
            <w:r w:rsidRPr="00974DA2">
              <w:rPr>
                <w:rFonts w:ascii="Times New Roman" w:hAnsi="Times New Roman" w:cs="Times New Roman"/>
                <w:b/>
                <w:sz w:val="24"/>
                <w:szCs w:val="24"/>
                <w:lang w:val="en-US"/>
              </w:rPr>
              <w:t>AutoDock4.2 results</w:t>
            </w:r>
          </w:p>
        </w:tc>
      </w:tr>
      <w:tr w:rsidR="007233E5" w:rsidRPr="00974DA2" w14:paraId="3F033252" w14:textId="682626E3" w:rsidTr="007233E5">
        <w:trPr>
          <w:gridAfter w:val="1"/>
          <w:wAfter w:w="11" w:type="dxa"/>
          <w:trHeight w:val="422"/>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14:paraId="2EA2D2B3" w14:textId="77777777"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Isoform</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779DC0B" w14:textId="6F8BC048"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CSFF</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8FB629E" w14:textId="77777777"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RMSD</w:t>
            </w:r>
          </w:p>
        </w:tc>
        <w:tc>
          <w:tcPr>
            <w:tcW w:w="1863" w:type="dxa"/>
            <w:tcBorders>
              <w:top w:val="single" w:sz="4" w:space="0" w:color="auto"/>
              <w:left w:val="single" w:sz="4" w:space="0" w:color="auto"/>
              <w:bottom w:val="single" w:sz="4" w:space="0" w:color="auto"/>
              <w:right w:val="single" w:sz="4" w:space="0" w:color="auto"/>
            </w:tcBorders>
          </w:tcPr>
          <w:p w14:paraId="0FDA8DAB" w14:textId="09D270E6" w:rsidR="007233E5" w:rsidRPr="00974DA2" w:rsidRDefault="007233E5" w:rsidP="001F0C3B">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Binding Energy</w:t>
            </w:r>
          </w:p>
        </w:tc>
        <w:tc>
          <w:tcPr>
            <w:tcW w:w="1289" w:type="dxa"/>
            <w:tcBorders>
              <w:top w:val="single" w:sz="4" w:space="0" w:color="auto"/>
              <w:left w:val="single" w:sz="4" w:space="0" w:color="auto"/>
              <w:bottom w:val="single" w:sz="4" w:space="0" w:color="auto"/>
              <w:right w:val="single" w:sz="4" w:space="0" w:color="auto"/>
            </w:tcBorders>
          </w:tcPr>
          <w:p w14:paraId="1AAEC974" w14:textId="2084DC2C" w:rsidR="007233E5" w:rsidRPr="00974DA2" w:rsidRDefault="007233E5" w:rsidP="001F0C3B">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RMSD</w:t>
            </w:r>
          </w:p>
        </w:tc>
      </w:tr>
      <w:tr w:rsidR="007233E5" w:rsidRPr="00974DA2" w14:paraId="39A4AC80" w14:textId="3E732BB3" w:rsidTr="007233E5">
        <w:trPr>
          <w:gridAfter w:val="1"/>
          <w:wAfter w:w="11" w:type="dxa"/>
          <w:trHeight w:val="426"/>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14:paraId="78AE5558" w14:textId="77777777" w:rsidR="007233E5" w:rsidRPr="00974DA2" w:rsidRDefault="007233E5" w:rsidP="007233E5">
            <w:pPr>
              <w:spacing w:after="0" w:line="240" w:lineRule="auto"/>
              <w:rPr>
                <w:rFonts w:ascii="Times New Roman" w:hAnsi="Times New Roman" w:cs="Times New Roman"/>
                <w:sz w:val="24"/>
                <w:szCs w:val="24"/>
                <w:lang w:val="en-US"/>
              </w:rPr>
            </w:pPr>
            <w:r w:rsidRPr="00974DA2">
              <w:rPr>
                <w:rFonts w:ascii="Times New Roman" w:hAnsi="Times New Roman" w:cs="Times New Roman"/>
                <w:sz w:val="24"/>
                <w:szCs w:val="24"/>
                <w:lang w:val="en-US"/>
              </w:rPr>
              <w:t>HDAC1</w:t>
            </w:r>
          </w:p>
        </w:tc>
        <w:tc>
          <w:tcPr>
            <w:tcW w:w="1348" w:type="dxa"/>
            <w:tcBorders>
              <w:top w:val="single" w:sz="4" w:space="0" w:color="auto"/>
              <w:left w:val="single" w:sz="4" w:space="0" w:color="auto"/>
              <w:bottom w:val="single" w:sz="4" w:space="0" w:color="auto"/>
              <w:right w:val="single" w:sz="4" w:space="0" w:color="auto"/>
            </w:tcBorders>
            <w:vAlign w:val="center"/>
          </w:tcPr>
          <w:p w14:paraId="530CFDD7" w14:textId="28DABF30"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21,9312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472F819" w14:textId="77777777"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1.24</w:t>
            </w:r>
          </w:p>
        </w:tc>
        <w:tc>
          <w:tcPr>
            <w:tcW w:w="1863" w:type="dxa"/>
            <w:tcBorders>
              <w:top w:val="single" w:sz="4" w:space="0" w:color="auto"/>
              <w:left w:val="single" w:sz="4" w:space="0" w:color="auto"/>
              <w:bottom w:val="single" w:sz="4" w:space="0" w:color="auto"/>
              <w:right w:val="single" w:sz="4" w:space="0" w:color="auto"/>
            </w:tcBorders>
          </w:tcPr>
          <w:p w14:paraId="27B79F65" w14:textId="23FF4C5E"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-4.71</w:t>
            </w:r>
          </w:p>
        </w:tc>
        <w:tc>
          <w:tcPr>
            <w:tcW w:w="1289" w:type="dxa"/>
            <w:tcBorders>
              <w:top w:val="single" w:sz="4" w:space="0" w:color="auto"/>
              <w:left w:val="single" w:sz="4" w:space="0" w:color="auto"/>
              <w:bottom w:val="single" w:sz="4" w:space="0" w:color="auto"/>
              <w:right w:val="single" w:sz="4" w:space="0" w:color="auto"/>
            </w:tcBorders>
          </w:tcPr>
          <w:p w14:paraId="63605395" w14:textId="14217776"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2.24</w:t>
            </w:r>
          </w:p>
        </w:tc>
      </w:tr>
      <w:tr w:rsidR="007233E5" w:rsidRPr="00974DA2" w14:paraId="1F6BD058" w14:textId="01736801" w:rsidTr="007233E5">
        <w:trPr>
          <w:gridAfter w:val="1"/>
          <w:wAfter w:w="11" w:type="dxa"/>
          <w:trHeight w:val="426"/>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14:paraId="7D7A8708" w14:textId="77777777" w:rsidR="007233E5" w:rsidRPr="00974DA2" w:rsidRDefault="007233E5" w:rsidP="007233E5">
            <w:pPr>
              <w:spacing w:after="0" w:line="240" w:lineRule="auto"/>
              <w:rPr>
                <w:rFonts w:ascii="Times New Roman" w:hAnsi="Times New Roman" w:cs="Times New Roman"/>
                <w:sz w:val="24"/>
                <w:szCs w:val="24"/>
                <w:lang w:val="en-US"/>
              </w:rPr>
            </w:pPr>
            <w:r w:rsidRPr="00974DA2">
              <w:rPr>
                <w:rFonts w:ascii="Times New Roman" w:hAnsi="Times New Roman" w:cs="Times New Roman"/>
                <w:sz w:val="24"/>
                <w:szCs w:val="24"/>
                <w:lang w:val="en-US"/>
              </w:rPr>
              <w:t>HDAC4</w:t>
            </w:r>
          </w:p>
        </w:tc>
        <w:tc>
          <w:tcPr>
            <w:tcW w:w="1348" w:type="dxa"/>
            <w:tcBorders>
              <w:top w:val="single" w:sz="4" w:space="0" w:color="auto"/>
              <w:left w:val="single" w:sz="4" w:space="0" w:color="auto"/>
              <w:bottom w:val="single" w:sz="4" w:space="0" w:color="auto"/>
              <w:right w:val="single" w:sz="4" w:space="0" w:color="auto"/>
            </w:tcBorders>
            <w:vAlign w:val="center"/>
          </w:tcPr>
          <w:p w14:paraId="609B4A9F" w14:textId="62135F5A"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42,0078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08A9465" w14:textId="3E689968" w:rsidR="007233E5" w:rsidRPr="00974DA2" w:rsidRDefault="007233E5" w:rsidP="007233E5">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1.2876</w:t>
            </w:r>
          </w:p>
        </w:tc>
        <w:tc>
          <w:tcPr>
            <w:tcW w:w="1863" w:type="dxa"/>
            <w:tcBorders>
              <w:top w:val="single" w:sz="4" w:space="0" w:color="auto"/>
              <w:left w:val="single" w:sz="4" w:space="0" w:color="auto"/>
              <w:bottom w:val="single" w:sz="4" w:space="0" w:color="auto"/>
              <w:right w:val="single" w:sz="4" w:space="0" w:color="auto"/>
            </w:tcBorders>
          </w:tcPr>
          <w:p w14:paraId="78F57C19" w14:textId="62F09E04"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-9.80</w:t>
            </w:r>
          </w:p>
        </w:tc>
        <w:tc>
          <w:tcPr>
            <w:tcW w:w="1289" w:type="dxa"/>
            <w:tcBorders>
              <w:top w:val="single" w:sz="4" w:space="0" w:color="auto"/>
              <w:left w:val="single" w:sz="4" w:space="0" w:color="auto"/>
              <w:bottom w:val="single" w:sz="4" w:space="0" w:color="auto"/>
              <w:right w:val="single" w:sz="4" w:space="0" w:color="auto"/>
            </w:tcBorders>
          </w:tcPr>
          <w:p w14:paraId="43699EEB" w14:textId="43EAE97A"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1.63</w:t>
            </w:r>
          </w:p>
        </w:tc>
      </w:tr>
      <w:tr w:rsidR="007233E5" w:rsidRPr="00974DA2" w14:paraId="2D54B897" w14:textId="46026BD2" w:rsidTr="007233E5">
        <w:trPr>
          <w:gridAfter w:val="1"/>
          <w:wAfter w:w="11" w:type="dxa"/>
          <w:trHeight w:val="413"/>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14:paraId="062477CB" w14:textId="77777777" w:rsidR="007233E5" w:rsidRPr="00974DA2" w:rsidRDefault="007233E5" w:rsidP="007233E5">
            <w:pPr>
              <w:spacing w:after="0" w:line="240" w:lineRule="auto"/>
              <w:rPr>
                <w:rFonts w:ascii="Times New Roman" w:hAnsi="Times New Roman" w:cs="Times New Roman"/>
                <w:sz w:val="24"/>
                <w:szCs w:val="24"/>
                <w:lang w:val="en-US"/>
              </w:rPr>
            </w:pPr>
            <w:r w:rsidRPr="00974DA2">
              <w:rPr>
                <w:rFonts w:ascii="Times New Roman" w:hAnsi="Times New Roman" w:cs="Times New Roman"/>
                <w:sz w:val="24"/>
                <w:szCs w:val="24"/>
                <w:lang w:val="en-US"/>
              </w:rPr>
              <w:t>HDAC6</w:t>
            </w:r>
          </w:p>
        </w:tc>
        <w:tc>
          <w:tcPr>
            <w:tcW w:w="1348" w:type="dxa"/>
            <w:tcBorders>
              <w:top w:val="single" w:sz="4" w:space="0" w:color="auto"/>
              <w:left w:val="single" w:sz="4" w:space="0" w:color="auto"/>
              <w:bottom w:val="single" w:sz="4" w:space="0" w:color="auto"/>
              <w:right w:val="single" w:sz="4" w:space="0" w:color="auto"/>
            </w:tcBorders>
            <w:vAlign w:val="center"/>
          </w:tcPr>
          <w:p w14:paraId="40146696" w14:textId="7AFB1F5C"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29,146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B0590A" w14:textId="2AF0DB56" w:rsidR="007233E5" w:rsidRPr="00974DA2" w:rsidRDefault="007233E5" w:rsidP="007233E5">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1,6556</w:t>
            </w:r>
          </w:p>
        </w:tc>
        <w:tc>
          <w:tcPr>
            <w:tcW w:w="1863" w:type="dxa"/>
            <w:tcBorders>
              <w:top w:val="single" w:sz="4" w:space="0" w:color="auto"/>
              <w:left w:val="single" w:sz="4" w:space="0" w:color="auto"/>
              <w:bottom w:val="single" w:sz="4" w:space="0" w:color="auto"/>
              <w:right w:val="single" w:sz="4" w:space="0" w:color="auto"/>
            </w:tcBorders>
          </w:tcPr>
          <w:p w14:paraId="23591DB8" w14:textId="260BC7FC"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-9.01</w:t>
            </w:r>
          </w:p>
        </w:tc>
        <w:tc>
          <w:tcPr>
            <w:tcW w:w="1289" w:type="dxa"/>
            <w:tcBorders>
              <w:top w:val="single" w:sz="4" w:space="0" w:color="auto"/>
              <w:left w:val="single" w:sz="4" w:space="0" w:color="auto"/>
              <w:bottom w:val="single" w:sz="4" w:space="0" w:color="auto"/>
              <w:right w:val="single" w:sz="4" w:space="0" w:color="auto"/>
            </w:tcBorders>
          </w:tcPr>
          <w:p w14:paraId="65EF4369" w14:textId="2D03E025"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2.33</w:t>
            </w:r>
          </w:p>
        </w:tc>
      </w:tr>
      <w:tr w:rsidR="007233E5" w:rsidRPr="00974DA2" w14:paraId="171B014D" w14:textId="26F9F11B" w:rsidTr="007233E5">
        <w:trPr>
          <w:gridAfter w:val="1"/>
          <w:wAfter w:w="11" w:type="dxa"/>
          <w:trHeight w:val="439"/>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14:paraId="263A382C" w14:textId="77777777" w:rsidR="007233E5" w:rsidRPr="00974DA2" w:rsidRDefault="007233E5" w:rsidP="007233E5">
            <w:pPr>
              <w:spacing w:after="0" w:line="240" w:lineRule="auto"/>
              <w:rPr>
                <w:rFonts w:ascii="Times New Roman" w:hAnsi="Times New Roman" w:cs="Times New Roman"/>
                <w:sz w:val="24"/>
                <w:szCs w:val="24"/>
                <w:lang w:val="en-US"/>
              </w:rPr>
            </w:pPr>
            <w:r w:rsidRPr="00974DA2">
              <w:rPr>
                <w:rFonts w:ascii="Times New Roman" w:hAnsi="Times New Roman" w:cs="Times New Roman"/>
                <w:sz w:val="24"/>
                <w:szCs w:val="24"/>
                <w:lang w:val="en-US"/>
              </w:rPr>
              <w:t>HDAC8</w:t>
            </w:r>
          </w:p>
        </w:tc>
        <w:tc>
          <w:tcPr>
            <w:tcW w:w="1348" w:type="dxa"/>
            <w:tcBorders>
              <w:top w:val="single" w:sz="4" w:space="0" w:color="auto"/>
              <w:left w:val="single" w:sz="4" w:space="0" w:color="auto"/>
              <w:bottom w:val="single" w:sz="4" w:space="0" w:color="auto"/>
              <w:right w:val="single" w:sz="4" w:space="0" w:color="auto"/>
            </w:tcBorders>
            <w:vAlign w:val="center"/>
          </w:tcPr>
          <w:p w14:paraId="2289B61F" w14:textId="26FDE610" w:rsidR="007233E5" w:rsidRPr="00974DA2" w:rsidRDefault="007233E5" w:rsidP="007233E5">
            <w:pPr>
              <w:spacing w:after="0" w:line="24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40,0293</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81C7757" w14:textId="3BCEDD5C" w:rsidR="007233E5" w:rsidRPr="00974DA2" w:rsidRDefault="007233E5" w:rsidP="007233E5">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0.8095</w:t>
            </w:r>
          </w:p>
        </w:tc>
        <w:tc>
          <w:tcPr>
            <w:tcW w:w="1863" w:type="dxa"/>
            <w:tcBorders>
              <w:top w:val="single" w:sz="4" w:space="0" w:color="auto"/>
              <w:left w:val="single" w:sz="4" w:space="0" w:color="auto"/>
              <w:bottom w:val="single" w:sz="4" w:space="0" w:color="auto"/>
              <w:right w:val="single" w:sz="4" w:space="0" w:color="auto"/>
            </w:tcBorders>
          </w:tcPr>
          <w:p w14:paraId="261F992E" w14:textId="08BABDDE"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-6.93</w:t>
            </w:r>
          </w:p>
        </w:tc>
        <w:tc>
          <w:tcPr>
            <w:tcW w:w="1289" w:type="dxa"/>
            <w:tcBorders>
              <w:top w:val="single" w:sz="4" w:space="0" w:color="auto"/>
              <w:left w:val="single" w:sz="4" w:space="0" w:color="auto"/>
              <w:bottom w:val="single" w:sz="4" w:space="0" w:color="auto"/>
              <w:right w:val="single" w:sz="4" w:space="0" w:color="auto"/>
            </w:tcBorders>
          </w:tcPr>
          <w:p w14:paraId="5DA36A1B" w14:textId="7F1299A1" w:rsidR="007233E5" w:rsidRPr="00974DA2" w:rsidRDefault="007233E5" w:rsidP="001F0C3B">
            <w:pPr>
              <w:spacing w:after="0" w:line="360" w:lineRule="auto"/>
              <w:jc w:val="center"/>
              <w:rPr>
                <w:rFonts w:ascii="Times New Roman" w:hAnsi="Times New Roman" w:cs="Times New Roman"/>
                <w:sz w:val="24"/>
                <w:szCs w:val="24"/>
                <w:lang w:val="en-US"/>
              </w:rPr>
            </w:pPr>
            <w:r w:rsidRPr="00974DA2">
              <w:rPr>
                <w:rFonts w:ascii="Times New Roman" w:hAnsi="Times New Roman" w:cs="Times New Roman"/>
                <w:sz w:val="24"/>
                <w:szCs w:val="24"/>
                <w:lang w:val="en-US"/>
              </w:rPr>
              <w:t>1.67</w:t>
            </w:r>
          </w:p>
        </w:tc>
      </w:tr>
    </w:tbl>
    <w:p w14:paraId="020D9F66" w14:textId="77777777" w:rsidR="00A94E2C" w:rsidRPr="00974DA2" w:rsidRDefault="00A94E2C" w:rsidP="00A94E2C">
      <w:pPr>
        <w:spacing w:line="240" w:lineRule="auto"/>
        <w:jc w:val="both"/>
        <w:rPr>
          <w:rFonts w:ascii="Times New Roman" w:hAnsi="Times New Roman" w:cs="Times New Roman"/>
          <w:lang w:val="en-US"/>
        </w:rPr>
      </w:pPr>
    </w:p>
    <w:p w14:paraId="338B694C" w14:textId="10581F67" w:rsidR="00974DA2" w:rsidRPr="00974DA2" w:rsidRDefault="00974DA2">
      <w:pPr>
        <w:rPr>
          <w:rFonts w:ascii="Times New Roman" w:hAnsi="Times New Roman" w:cs="Times New Roman"/>
          <w:lang w:val="en-US"/>
        </w:rPr>
      </w:pPr>
      <w:r w:rsidRPr="00974DA2">
        <w:rPr>
          <w:rFonts w:ascii="Times New Roman" w:hAnsi="Times New Roman" w:cs="Times New Roman"/>
          <w:lang w:val="en-US"/>
        </w:rPr>
        <w:br w:type="page"/>
      </w:r>
    </w:p>
    <w:p w14:paraId="0B90DC3C" w14:textId="60329A59" w:rsidR="00DD37A7" w:rsidRPr="00974DA2" w:rsidRDefault="005F71AA" w:rsidP="00804D83">
      <w:pPr>
        <w:jc w:val="both"/>
        <w:rPr>
          <w:rFonts w:ascii="Times New Roman" w:hAnsi="Times New Roman" w:cs="Times New Roman"/>
          <w:lang w:val="en-US"/>
        </w:rPr>
      </w:pPr>
      <w:r w:rsidRPr="00974DA2">
        <w:rPr>
          <w:rFonts w:ascii="Times New Roman" w:hAnsi="Times New Roman" w:cs="Times New Roman"/>
          <w:b/>
          <w:lang w:val="en-US"/>
        </w:rPr>
        <w:lastRenderedPageBreak/>
        <w:t xml:space="preserve">Table </w:t>
      </w:r>
      <w:r w:rsidR="00974DA2" w:rsidRPr="00974DA2">
        <w:rPr>
          <w:rFonts w:ascii="Times New Roman" w:hAnsi="Times New Roman" w:cs="Times New Roman"/>
          <w:b/>
          <w:lang w:val="en-US"/>
        </w:rPr>
        <w:t>S</w:t>
      </w:r>
      <w:r w:rsidRPr="00974DA2">
        <w:rPr>
          <w:rFonts w:ascii="Times New Roman" w:hAnsi="Times New Roman" w:cs="Times New Roman"/>
          <w:b/>
          <w:lang w:val="en-US"/>
        </w:rPr>
        <w:t>3</w:t>
      </w:r>
      <w:r w:rsidRPr="00974DA2">
        <w:rPr>
          <w:rFonts w:ascii="Times New Roman" w:hAnsi="Times New Roman" w:cs="Times New Roman"/>
          <w:lang w:val="en-US"/>
        </w:rPr>
        <w:t>: Top 20 best ranked compounds of FL1 SBVS.</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541"/>
        <w:gridCol w:w="1139"/>
        <w:gridCol w:w="1191"/>
        <w:gridCol w:w="2651"/>
        <w:gridCol w:w="716"/>
      </w:tblGrid>
      <w:tr w:rsidR="00804D83" w:rsidRPr="00974DA2" w14:paraId="146A88B2" w14:textId="77777777" w:rsidTr="00DD37A7">
        <w:trPr>
          <w:trHeight w:val="300"/>
          <w:jc w:val="center"/>
        </w:trPr>
        <w:tc>
          <w:tcPr>
            <w:tcW w:w="1195" w:type="dxa"/>
            <w:shd w:val="clear" w:color="auto" w:fill="auto"/>
            <w:noWrap/>
            <w:vAlign w:val="center"/>
            <w:hideMark/>
          </w:tcPr>
          <w:p w14:paraId="4F5DAA3C"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Compound</w:t>
            </w:r>
          </w:p>
        </w:tc>
        <w:tc>
          <w:tcPr>
            <w:tcW w:w="2541" w:type="dxa"/>
            <w:shd w:val="clear" w:color="auto" w:fill="auto"/>
            <w:vAlign w:val="center"/>
          </w:tcPr>
          <w:p w14:paraId="5758A1BA"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Structure</w:t>
            </w:r>
          </w:p>
        </w:tc>
        <w:tc>
          <w:tcPr>
            <w:tcW w:w="1139" w:type="dxa"/>
            <w:shd w:val="clear" w:color="auto" w:fill="auto"/>
            <w:noWrap/>
            <w:vAlign w:val="center"/>
            <w:hideMark/>
          </w:tcPr>
          <w:p w14:paraId="7E4145EA"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H*N1</w:t>
            </w:r>
          </w:p>
        </w:tc>
        <w:tc>
          <w:tcPr>
            <w:tcW w:w="1191" w:type="dxa"/>
            <w:shd w:val="clear" w:color="auto" w:fill="auto"/>
            <w:vAlign w:val="center"/>
          </w:tcPr>
          <w:p w14:paraId="2924310C"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Compound</w:t>
            </w:r>
          </w:p>
        </w:tc>
        <w:tc>
          <w:tcPr>
            <w:tcW w:w="2651" w:type="dxa"/>
            <w:shd w:val="clear" w:color="auto" w:fill="auto"/>
            <w:vAlign w:val="center"/>
          </w:tcPr>
          <w:p w14:paraId="6C7A69C1"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Structure</w:t>
            </w:r>
          </w:p>
        </w:tc>
        <w:tc>
          <w:tcPr>
            <w:tcW w:w="716" w:type="dxa"/>
            <w:shd w:val="clear" w:color="auto" w:fill="auto"/>
            <w:vAlign w:val="center"/>
          </w:tcPr>
          <w:p w14:paraId="2F380D7F"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H*N1</w:t>
            </w:r>
          </w:p>
        </w:tc>
      </w:tr>
      <w:tr w:rsidR="00804D83" w:rsidRPr="00974DA2" w14:paraId="689138AD" w14:textId="77777777" w:rsidTr="00DD37A7">
        <w:trPr>
          <w:trHeight w:val="300"/>
          <w:jc w:val="center"/>
        </w:trPr>
        <w:tc>
          <w:tcPr>
            <w:tcW w:w="1195" w:type="dxa"/>
            <w:shd w:val="clear" w:color="auto" w:fill="auto"/>
            <w:noWrap/>
            <w:vAlign w:val="center"/>
            <w:hideMark/>
          </w:tcPr>
          <w:p w14:paraId="560ADA0C"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4</w:t>
            </w:r>
          </w:p>
        </w:tc>
        <w:tc>
          <w:tcPr>
            <w:tcW w:w="2541" w:type="dxa"/>
            <w:shd w:val="clear" w:color="auto" w:fill="auto"/>
            <w:vAlign w:val="center"/>
          </w:tcPr>
          <w:p w14:paraId="795BDFD7"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089" w:dyaOrig="1205" w14:anchorId="1280C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60.3pt" o:ole="">
                  <v:imagedata r:id="rId7" o:title=""/>
                </v:shape>
                <o:OLEObject Type="Embed" ProgID="ChemDraw.Document.6.0" ShapeID="_x0000_i1025" DrawAspect="Content" ObjectID="_1625729653" r:id="rId8"/>
              </w:object>
            </w:r>
          </w:p>
        </w:tc>
        <w:tc>
          <w:tcPr>
            <w:tcW w:w="1139" w:type="dxa"/>
            <w:shd w:val="clear" w:color="auto" w:fill="auto"/>
            <w:noWrap/>
            <w:vAlign w:val="center"/>
            <w:hideMark/>
          </w:tcPr>
          <w:p w14:paraId="54A72102"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0.686</w:t>
            </w:r>
          </w:p>
        </w:tc>
        <w:tc>
          <w:tcPr>
            <w:tcW w:w="1191" w:type="dxa"/>
            <w:shd w:val="clear" w:color="auto" w:fill="auto"/>
            <w:vAlign w:val="center"/>
          </w:tcPr>
          <w:p w14:paraId="2AAA24C4" w14:textId="77777777" w:rsidR="00804D83" w:rsidRPr="00974DA2" w:rsidRDefault="00A701EE"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20</w:t>
            </w:r>
          </w:p>
        </w:tc>
        <w:tc>
          <w:tcPr>
            <w:tcW w:w="2651" w:type="dxa"/>
            <w:shd w:val="clear" w:color="auto" w:fill="auto"/>
            <w:vAlign w:val="center"/>
          </w:tcPr>
          <w:p w14:paraId="5C514147"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2435" w:dyaOrig="1329" w14:anchorId="70B6D4F4">
                <v:shape id="_x0000_i1026" type="#_x0000_t75" style="width:121.55pt;height:65.9pt" o:ole="">
                  <v:imagedata r:id="rId9" o:title=""/>
                </v:shape>
                <o:OLEObject Type="Embed" ProgID="ChemDraw.Document.6.0" ShapeID="_x0000_i1026" DrawAspect="Content" ObjectID="_1625729654" r:id="rId10"/>
              </w:object>
            </w:r>
          </w:p>
        </w:tc>
        <w:tc>
          <w:tcPr>
            <w:tcW w:w="716" w:type="dxa"/>
            <w:shd w:val="clear" w:color="auto" w:fill="auto"/>
            <w:vAlign w:val="center"/>
          </w:tcPr>
          <w:p w14:paraId="344224F9"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0.562</w:t>
            </w:r>
          </w:p>
        </w:tc>
      </w:tr>
      <w:tr w:rsidR="00804D83" w:rsidRPr="00974DA2" w14:paraId="147C1469" w14:textId="77777777" w:rsidTr="00DD37A7">
        <w:trPr>
          <w:trHeight w:val="300"/>
          <w:jc w:val="center"/>
        </w:trPr>
        <w:tc>
          <w:tcPr>
            <w:tcW w:w="1195" w:type="dxa"/>
            <w:shd w:val="clear" w:color="auto" w:fill="auto"/>
            <w:noWrap/>
            <w:vAlign w:val="center"/>
            <w:hideMark/>
          </w:tcPr>
          <w:p w14:paraId="263824FC"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8</w:t>
            </w:r>
          </w:p>
        </w:tc>
        <w:tc>
          <w:tcPr>
            <w:tcW w:w="2541" w:type="dxa"/>
            <w:shd w:val="clear" w:color="auto" w:fill="auto"/>
            <w:vAlign w:val="center"/>
          </w:tcPr>
          <w:p w14:paraId="52EF8CBF"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47" w:dyaOrig="888" w14:anchorId="31147F44">
                <v:shape id="_x0000_i1027" type="#_x0000_t75" style="width:87.45pt;height:43.5pt" o:ole="">
                  <v:imagedata r:id="rId11" o:title=""/>
                </v:shape>
                <o:OLEObject Type="Embed" ProgID="ChemDraw.Document.6.0" ShapeID="_x0000_i1027" DrawAspect="Content" ObjectID="_1625729655" r:id="rId12"/>
              </w:object>
            </w:r>
          </w:p>
        </w:tc>
        <w:tc>
          <w:tcPr>
            <w:tcW w:w="1139" w:type="dxa"/>
            <w:shd w:val="clear" w:color="auto" w:fill="auto"/>
            <w:noWrap/>
            <w:vAlign w:val="center"/>
            <w:hideMark/>
          </w:tcPr>
          <w:p w14:paraId="4AF753E0"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0.628</w:t>
            </w:r>
          </w:p>
        </w:tc>
        <w:tc>
          <w:tcPr>
            <w:tcW w:w="1191" w:type="dxa"/>
            <w:shd w:val="clear" w:color="auto" w:fill="auto"/>
            <w:vAlign w:val="center"/>
          </w:tcPr>
          <w:p w14:paraId="0D59A613"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12</w:t>
            </w:r>
          </w:p>
        </w:tc>
        <w:tc>
          <w:tcPr>
            <w:tcW w:w="2651" w:type="dxa"/>
            <w:shd w:val="clear" w:color="auto" w:fill="auto"/>
            <w:vAlign w:val="center"/>
          </w:tcPr>
          <w:p w14:paraId="4344D762"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603" w:dyaOrig="983" w14:anchorId="7A631975">
                <v:shape id="_x0000_i1028" type="#_x0000_t75" style="width:79.5pt;height:49.55pt" o:ole="">
                  <v:imagedata r:id="rId13" o:title=""/>
                </v:shape>
                <o:OLEObject Type="Embed" ProgID="ChemDraw.Document.6.0" ShapeID="_x0000_i1028" DrawAspect="Content" ObjectID="_1625729656" r:id="rId14"/>
              </w:object>
            </w:r>
          </w:p>
        </w:tc>
        <w:tc>
          <w:tcPr>
            <w:tcW w:w="716" w:type="dxa"/>
            <w:shd w:val="clear" w:color="auto" w:fill="auto"/>
            <w:vAlign w:val="center"/>
          </w:tcPr>
          <w:p w14:paraId="43079215"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0.560</w:t>
            </w:r>
          </w:p>
        </w:tc>
      </w:tr>
      <w:tr w:rsidR="00804D83" w:rsidRPr="00974DA2" w14:paraId="7527462C" w14:textId="77777777" w:rsidTr="00DD37A7">
        <w:trPr>
          <w:trHeight w:val="300"/>
          <w:jc w:val="center"/>
        </w:trPr>
        <w:tc>
          <w:tcPr>
            <w:tcW w:w="1195" w:type="dxa"/>
            <w:shd w:val="clear" w:color="auto" w:fill="auto"/>
            <w:noWrap/>
            <w:vAlign w:val="center"/>
            <w:hideMark/>
          </w:tcPr>
          <w:p w14:paraId="7727BF62" w14:textId="77777777" w:rsidR="00804D83" w:rsidRPr="00974DA2" w:rsidRDefault="00A701EE"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19</w:t>
            </w:r>
          </w:p>
        </w:tc>
        <w:tc>
          <w:tcPr>
            <w:tcW w:w="2541" w:type="dxa"/>
            <w:shd w:val="clear" w:color="auto" w:fill="auto"/>
            <w:vAlign w:val="center"/>
          </w:tcPr>
          <w:p w14:paraId="4AE5F821"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2320" w:dyaOrig="943" w14:anchorId="46D4A1D4">
                <v:shape id="_x0000_i1029" type="#_x0000_t75" style="width:115.95pt;height:46.3pt" o:ole="">
                  <v:imagedata r:id="rId15" o:title=""/>
                </v:shape>
                <o:OLEObject Type="Embed" ProgID="ChemDraw.Document.6.0" ShapeID="_x0000_i1029" DrawAspect="Content" ObjectID="_1625729657" r:id="rId16"/>
              </w:object>
            </w:r>
          </w:p>
        </w:tc>
        <w:tc>
          <w:tcPr>
            <w:tcW w:w="1139" w:type="dxa"/>
            <w:shd w:val="clear" w:color="auto" w:fill="auto"/>
            <w:noWrap/>
            <w:vAlign w:val="center"/>
            <w:hideMark/>
          </w:tcPr>
          <w:p w14:paraId="736CE89F"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0.621</w:t>
            </w:r>
          </w:p>
        </w:tc>
        <w:tc>
          <w:tcPr>
            <w:tcW w:w="1191" w:type="dxa"/>
            <w:shd w:val="clear" w:color="auto" w:fill="auto"/>
            <w:vAlign w:val="center"/>
          </w:tcPr>
          <w:p w14:paraId="34250569"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6</w:t>
            </w:r>
          </w:p>
        </w:tc>
        <w:tc>
          <w:tcPr>
            <w:tcW w:w="2651" w:type="dxa"/>
            <w:shd w:val="clear" w:color="auto" w:fill="auto"/>
            <w:vAlign w:val="center"/>
          </w:tcPr>
          <w:p w14:paraId="0B4D6B7C"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294" w:dyaOrig="1298" w14:anchorId="66511376">
                <v:shape id="_x0000_i1030" type="#_x0000_t75" style="width:64.5pt;height:64.5pt" o:ole="">
                  <v:imagedata r:id="rId17" o:title=""/>
                </v:shape>
                <o:OLEObject Type="Embed" ProgID="ChemDraw.Document.6.0" ShapeID="_x0000_i1030" DrawAspect="Content" ObjectID="_1625729658" r:id="rId18"/>
              </w:object>
            </w:r>
          </w:p>
        </w:tc>
        <w:tc>
          <w:tcPr>
            <w:tcW w:w="716" w:type="dxa"/>
            <w:shd w:val="clear" w:color="auto" w:fill="auto"/>
            <w:vAlign w:val="center"/>
          </w:tcPr>
          <w:p w14:paraId="34211B76"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0.558</w:t>
            </w:r>
          </w:p>
        </w:tc>
      </w:tr>
      <w:tr w:rsidR="00804D83" w:rsidRPr="00974DA2" w14:paraId="5C08019D" w14:textId="77777777" w:rsidTr="00DD37A7">
        <w:trPr>
          <w:trHeight w:val="300"/>
          <w:jc w:val="center"/>
        </w:trPr>
        <w:tc>
          <w:tcPr>
            <w:tcW w:w="1195" w:type="dxa"/>
            <w:shd w:val="clear" w:color="auto" w:fill="auto"/>
            <w:noWrap/>
            <w:vAlign w:val="center"/>
            <w:hideMark/>
          </w:tcPr>
          <w:p w14:paraId="7EBBEAAF"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w:t>
            </w:r>
          </w:p>
        </w:tc>
        <w:tc>
          <w:tcPr>
            <w:tcW w:w="2541" w:type="dxa"/>
            <w:shd w:val="clear" w:color="auto" w:fill="auto"/>
            <w:vAlign w:val="center"/>
          </w:tcPr>
          <w:p w14:paraId="0A274093"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50" w:dyaOrig="866" w14:anchorId="4F6480B7">
                <v:shape id="_x0000_i1031" type="#_x0000_t75" style="width:87.45pt;height:43.5pt" o:ole="">
                  <v:imagedata r:id="rId19" o:title=""/>
                </v:shape>
                <o:OLEObject Type="Embed" ProgID="ChemDraw.Document.6.0" ShapeID="_x0000_i1031" DrawAspect="Content" ObjectID="_1625729659" r:id="rId20"/>
              </w:object>
            </w:r>
          </w:p>
        </w:tc>
        <w:tc>
          <w:tcPr>
            <w:tcW w:w="1139" w:type="dxa"/>
            <w:shd w:val="clear" w:color="auto" w:fill="auto"/>
            <w:noWrap/>
            <w:vAlign w:val="center"/>
            <w:hideMark/>
          </w:tcPr>
          <w:p w14:paraId="1EE50AC4"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0.590</w:t>
            </w:r>
          </w:p>
        </w:tc>
        <w:tc>
          <w:tcPr>
            <w:tcW w:w="1191" w:type="dxa"/>
            <w:shd w:val="clear" w:color="auto" w:fill="auto"/>
            <w:vAlign w:val="center"/>
          </w:tcPr>
          <w:p w14:paraId="53DABFFE"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11</w:t>
            </w:r>
          </w:p>
        </w:tc>
        <w:tc>
          <w:tcPr>
            <w:tcW w:w="2651" w:type="dxa"/>
            <w:shd w:val="clear" w:color="auto" w:fill="auto"/>
            <w:vAlign w:val="center"/>
          </w:tcPr>
          <w:p w14:paraId="0A04555C" w14:textId="77777777" w:rsidR="00804D83" w:rsidRPr="00974DA2" w:rsidRDefault="00D71EF9"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42" w:dyaOrig="1118" w14:anchorId="5DAAC711">
                <v:shape id="_x0000_i1032" type="#_x0000_t75" style="width:87.45pt;height:55.65pt" o:ole="">
                  <v:imagedata r:id="rId21" o:title=""/>
                </v:shape>
                <o:OLEObject Type="Embed" ProgID="ChemDraw.Document.6.0" ShapeID="_x0000_i1032" DrawAspect="Content" ObjectID="_1625729660" r:id="rId22"/>
              </w:object>
            </w:r>
          </w:p>
        </w:tc>
        <w:tc>
          <w:tcPr>
            <w:tcW w:w="716" w:type="dxa"/>
            <w:shd w:val="clear" w:color="auto" w:fill="auto"/>
            <w:vAlign w:val="center"/>
          </w:tcPr>
          <w:p w14:paraId="634B54FB"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0.557</w:t>
            </w:r>
          </w:p>
        </w:tc>
      </w:tr>
      <w:tr w:rsidR="00804D83" w:rsidRPr="00974DA2" w14:paraId="69E49146" w14:textId="77777777" w:rsidTr="00DD37A7">
        <w:trPr>
          <w:trHeight w:val="300"/>
          <w:jc w:val="center"/>
        </w:trPr>
        <w:tc>
          <w:tcPr>
            <w:tcW w:w="1195" w:type="dxa"/>
            <w:shd w:val="clear" w:color="auto" w:fill="auto"/>
            <w:noWrap/>
            <w:vAlign w:val="center"/>
            <w:hideMark/>
          </w:tcPr>
          <w:p w14:paraId="3A32DB79" w14:textId="77777777" w:rsidR="00804D83" w:rsidRPr="00974DA2" w:rsidRDefault="00A701EE"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17</w:t>
            </w:r>
          </w:p>
        </w:tc>
        <w:tc>
          <w:tcPr>
            <w:tcW w:w="2541" w:type="dxa"/>
            <w:shd w:val="clear" w:color="auto" w:fill="auto"/>
            <w:vAlign w:val="center"/>
          </w:tcPr>
          <w:p w14:paraId="4C1A78F6" w14:textId="77777777" w:rsidR="00804D83" w:rsidRPr="00974DA2" w:rsidRDefault="00804D83" w:rsidP="00E44995">
            <w:pPr>
              <w:spacing w:after="0" w:line="240" w:lineRule="auto"/>
              <w:jc w:val="center"/>
              <w:rPr>
                <w:rFonts w:ascii="Times New Roman" w:hAnsi="Times New Roman" w:cs="Times New Roman"/>
                <w:lang w:val="en-US"/>
              </w:rPr>
            </w:pPr>
          </w:p>
          <w:p w14:paraId="2E9F6490"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692" w:dyaOrig="1219" w14:anchorId="7BA3C82A">
                <v:shape id="_x0000_i1033" type="#_x0000_t75" style="width:85.55pt;height:61.7pt" o:ole="">
                  <v:imagedata r:id="rId23" o:title=""/>
                </v:shape>
                <o:OLEObject Type="Embed" ProgID="ChemDraw.Document.6.0" ShapeID="_x0000_i1033" DrawAspect="Content" ObjectID="_1625729661" r:id="rId24"/>
              </w:object>
            </w:r>
          </w:p>
        </w:tc>
        <w:tc>
          <w:tcPr>
            <w:tcW w:w="1139" w:type="dxa"/>
            <w:shd w:val="clear" w:color="auto" w:fill="auto"/>
            <w:noWrap/>
            <w:vAlign w:val="center"/>
            <w:hideMark/>
          </w:tcPr>
          <w:p w14:paraId="33E1B112"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0.578</w:t>
            </w:r>
          </w:p>
        </w:tc>
        <w:tc>
          <w:tcPr>
            <w:tcW w:w="1191" w:type="dxa"/>
            <w:shd w:val="clear" w:color="auto" w:fill="auto"/>
            <w:vAlign w:val="center"/>
          </w:tcPr>
          <w:p w14:paraId="7452C153"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7</w:t>
            </w:r>
          </w:p>
        </w:tc>
        <w:tc>
          <w:tcPr>
            <w:tcW w:w="2651" w:type="dxa"/>
            <w:shd w:val="clear" w:color="auto" w:fill="auto"/>
            <w:vAlign w:val="center"/>
          </w:tcPr>
          <w:p w14:paraId="25CF796D"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47" w:dyaOrig="868" w14:anchorId="5542F02A">
                <v:shape id="_x0000_i1034" type="#_x0000_t75" style="width:87.45pt;height:43.5pt" o:ole="">
                  <v:imagedata r:id="rId25" o:title=""/>
                </v:shape>
                <o:OLEObject Type="Embed" ProgID="ChemDraw.Document.6.0" ShapeID="_x0000_i1034" DrawAspect="Content" ObjectID="_1625729662" r:id="rId26"/>
              </w:object>
            </w:r>
          </w:p>
        </w:tc>
        <w:tc>
          <w:tcPr>
            <w:tcW w:w="716" w:type="dxa"/>
            <w:shd w:val="clear" w:color="auto" w:fill="auto"/>
            <w:vAlign w:val="center"/>
          </w:tcPr>
          <w:p w14:paraId="23721035"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0.556</w:t>
            </w:r>
          </w:p>
        </w:tc>
      </w:tr>
      <w:tr w:rsidR="00804D83" w:rsidRPr="00974DA2" w14:paraId="437C2116" w14:textId="77777777" w:rsidTr="00DD37A7">
        <w:trPr>
          <w:trHeight w:val="300"/>
          <w:jc w:val="center"/>
        </w:trPr>
        <w:tc>
          <w:tcPr>
            <w:tcW w:w="1195" w:type="dxa"/>
            <w:shd w:val="clear" w:color="auto" w:fill="auto"/>
            <w:noWrap/>
            <w:vAlign w:val="center"/>
            <w:hideMark/>
          </w:tcPr>
          <w:p w14:paraId="00A62A56" w14:textId="77777777" w:rsidR="00804D83" w:rsidRPr="00974DA2" w:rsidRDefault="00A701EE"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18</w:t>
            </w:r>
          </w:p>
        </w:tc>
        <w:tc>
          <w:tcPr>
            <w:tcW w:w="2541" w:type="dxa"/>
            <w:shd w:val="clear" w:color="auto" w:fill="auto"/>
            <w:vAlign w:val="center"/>
          </w:tcPr>
          <w:p w14:paraId="01B2DB0B"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800" w:dyaOrig="1706" w14:anchorId="04044D4F">
                <v:shape id="_x0000_i1035" type="#_x0000_t75" style="width:90.25pt;height:85.55pt" o:ole="">
                  <v:imagedata r:id="rId27" o:title=""/>
                </v:shape>
                <o:OLEObject Type="Embed" ProgID="ChemDraw.Document.6.0" ShapeID="_x0000_i1035" DrawAspect="Content" ObjectID="_1625729663" r:id="rId28"/>
              </w:object>
            </w:r>
          </w:p>
        </w:tc>
        <w:tc>
          <w:tcPr>
            <w:tcW w:w="1139" w:type="dxa"/>
            <w:shd w:val="clear" w:color="auto" w:fill="auto"/>
            <w:noWrap/>
            <w:vAlign w:val="center"/>
            <w:hideMark/>
          </w:tcPr>
          <w:p w14:paraId="4589F882"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0.577</w:t>
            </w:r>
          </w:p>
        </w:tc>
        <w:tc>
          <w:tcPr>
            <w:tcW w:w="1191" w:type="dxa"/>
            <w:shd w:val="clear" w:color="auto" w:fill="auto"/>
            <w:vAlign w:val="center"/>
          </w:tcPr>
          <w:p w14:paraId="590F6B73"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5</w:t>
            </w:r>
          </w:p>
        </w:tc>
        <w:tc>
          <w:tcPr>
            <w:tcW w:w="2651" w:type="dxa"/>
            <w:shd w:val="clear" w:color="auto" w:fill="auto"/>
            <w:vAlign w:val="center"/>
          </w:tcPr>
          <w:p w14:paraId="3F9A12AA"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514" w:dyaOrig="1075" w14:anchorId="34167F34">
                <v:shape id="_x0000_i1036" type="#_x0000_t75" style="width:76.7pt;height:54.25pt" o:ole="">
                  <v:imagedata r:id="rId29" o:title=""/>
                </v:shape>
                <o:OLEObject Type="Embed" ProgID="ChemDraw.Document.6.0" ShapeID="_x0000_i1036" DrawAspect="Content" ObjectID="_1625729664" r:id="rId30"/>
              </w:object>
            </w:r>
          </w:p>
        </w:tc>
        <w:tc>
          <w:tcPr>
            <w:tcW w:w="716" w:type="dxa"/>
            <w:shd w:val="clear" w:color="auto" w:fill="auto"/>
            <w:vAlign w:val="center"/>
          </w:tcPr>
          <w:p w14:paraId="14CACF37"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0.553</w:t>
            </w:r>
          </w:p>
        </w:tc>
      </w:tr>
      <w:tr w:rsidR="00804D83" w:rsidRPr="00974DA2" w14:paraId="781DE076" w14:textId="77777777" w:rsidTr="00DD37A7">
        <w:trPr>
          <w:trHeight w:val="300"/>
          <w:jc w:val="center"/>
        </w:trPr>
        <w:tc>
          <w:tcPr>
            <w:tcW w:w="1195" w:type="dxa"/>
            <w:shd w:val="clear" w:color="auto" w:fill="auto"/>
            <w:noWrap/>
            <w:vAlign w:val="center"/>
            <w:hideMark/>
          </w:tcPr>
          <w:p w14:paraId="0C0E1400" w14:textId="77777777" w:rsidR="00804D83" w:rsidRPr="00974DA2" w:rsidRDefault="00A701EE"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15</w:t>
            </w:r>
          </w:p>
        </w:tc>
        <w:tc>
          <w:tcPr>
            <w:tcW w:w="2541" w:type="dxa"/>
            <w:shd w:val="clear" w:color="auto" w:fill="auto"/>
            <w:vAlign w:val="center"/>
          </w:tcPr>
          <w:p w14:paraId="1321F0A9"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47" w:dyaOrig="1060" w14:anchorId="5E1ACDDF">
                <v:shape id="_x0000_i1037" type="#_x0000_t75" style="width:87.45pt;height:51.45pt" o:ole="">
                  <v:imagedata r:id="rId31" o:title=""/>
                </v:shape>
                <o:OLEObject Type="Embed" ProgID="ChemDraw.Document.6.0" ShapeID="_x0000_i1037" DrawAspect="Content" ObjectID="_1625729665" r:id="rId32"/>
              </w:object>
            </w:r>
          </w:p>
        </w:tc>
        <w:tc>
          <w:tcPr>
            <w:tcW w:w="1139" w:type="dxa"/>
            <w:shd w:val="clear" w:color="auto" w:fill="auto"/>
            <w:noWrap/>
            <w:vAlign w:val="center"/>
            <w:hideMark/>
          </w:tcPr>
          <w:p w14:paraId="181A40C3"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0.576</w:t>
            </w:r>
          </w:p>
        </w:tc>
        <w:tc>
          <w:tcPr>
            <w:tcW w:w="1191" w:type="dxa"/>
            <w:shd w:val="clear" w:color="auto" w:fill="auto"/>
            <w:vAlign w:val="center"/>
          </w:tcPr>
          <w:p w14:paraId="4233499D" w14:textId="77777777" w:rsidR="00804D83" w:rsidRPr="00974DA2" w:rsidRDefault="00E44995"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w:t>
            </w:r>
          </w:p>
        </w:tc>
        <w:tc>
          <w:tcPr>
            <w:tcW w:w="2651" w:type="dxa"/>
            <w:shd w:val="clear" w:color="auto" w:fill="auto"/>
            <w:vAlign w:val="center"/>
          </w:tcPr>
          <w:p w14:paraId="449BDE88"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094" w:dyaOrig="1073" w14:anchorId="4558D800">
                <v:shape id="_x0000_i1038" type="#_x0000_t75" style="width:55.65pt;height:54.25pt" o:ole="">
                  <v:imagedata r:id="rId33" o:title=""/>
                </v:shape>
                <o:OLEObject Type="Embed" ProgID="ChemDraw.Document.6.0" ShapeID="_x0000_i1038" DrawAspect="Content" ObjectID="_1625729666" r:id="rId34"/>
              </w:object>
            </w:r>
          </w:p>
        </w:tc>
        <w:tc>
          <w:tcPr>
            <w:tcW w:w="716" w:type="dxa"/>
            <w:shd w:val="clear" w:color="auto" w:fill="auto"/>
            <w:vAlign w:val="center"/>
          </w:tcPr>
          <w:p w14:paraId="2AB4E0B9"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0.549</w:t>
            </w:r>
          </w:p>
        </w:tc>
      </w:tr>
      <w:tr w:rsidR="00804D83" w:rsidRPr="00974DA2" w14:paraId="449B72AE" w14:textId="77777777" w:rsidTr="00DD37A7">
        <w:trPr>
          <w:trHeight w:val="300"/>
          <w:jc w:val="center"/>
        </w:trPr>
        <w:tc>
          <w:tcPr>
            <w:tcW w:w="1195" w:type="dxa"/>
            <w:shd w:val="clear" w:color="auto" w:fill="auto"/>
            <w:noWrap/>
            <w:vAlign w:val="center"/>
            <w:hideMark/>
          </w:tcPr>
          <w:p w14:paraId="2D39051B"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9</w:t>
            </w:r>
          </w:p>
        </w:tc>
        <w:tc>
          <w:tcPr>
            <w:tcW w:w="2541" w:type="dxa"/>
            <w:shd w:val="clear" w:color="auto" w:fill="auto"/>
            <w:vAlign w:val="center"/>
          </w:tcPr>
          <w:p w14:paraId="7F85A88F"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195" w:dyaOrig="1183" w14:anchorId="7C6358BB">
                <v:shape id="_x0000_i1039" type="#_x0000_t75" style="width:58.45pt;height:58.45pt" o:ole="">
                  <v:imagedata r:id="rId35" o:title=""/>
                </v:shape>
                <o:OLEObject Type="Embed" ProgID="ChemDraw.Document.6.0" ShapeID="_x0000_i1039" DrawAspect="Content" ObjectID="_1625729667" r:id="rId36"/>
              </w:object>
            </w:r>
          </w:p>
        </w:tc>
        <w:tc>
          <w:tcPr>
            <w:tcW w:w="1139" w:type="dxa"/>
            <w:shd w:val="clear" w:color="auto" w:fill="auto"/>
            <w:noWrap/>
            <w:vAlign w:val="center"/>
            <w:hideMark/>
          </w:tcPr>
          <w:p w14:paraId="45A0684A"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0.571</w:t>
            </w:r>
          </w:p>
        </w:tc>
        <w:tc>
          <w:tcPr>
            <w:tcW w:w="1191" w:type="dxa"/>
            <w:shd w:val="clear" w:color="auto" w:fill="auto"/>
            <w:vAlign w:val="center"/>
          </w:tcPr>
          <w:p w14:paraId="35CDBFEA"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10</w:t>
            </w:r>
          </w:p>
        </w:tc>
        <w:tc>
          <w:tcPr>
            <w:tcW w:w="2651" w:type="dxa"/>
            <w:shd w:val="clear" w:color="auto" w:fill="auto"/>
            <w:vAlign w:val="center"/>
          </w:tcPr>
          <w:p w14:paraId="31485677"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47" w:dyaOrig="1154" w14:anchorId="0A4FEAE2">
                <v:shape id="_x0000_i1040" type="#_x0000_t75" style="width:87.45pt;height:58.45pt" o:ole="">
                  <v:imagedata r:id="rId37" o:title=""/>
                </v:shape>
                <o:OLEObject Type="Embed" ProgID="ChemDraw.Document.6.0" ShapeID="_x0000_i1040" DrawAspect="Content" ObjectID="_1625729668" r:id="rId38"/>
              </w:object>
            </w:r>
          </w:p>
        </w:tc>
        <w:tc>
          <w:tcPr>
            <w:tcW w:w="716" w:type="dxa"/>
            <w:shd w:val="clear" w:color="auto" w:fill="auto"/>
            <w:vAlign w:val="center"/>
          </w:tcPr>
          <w:p w14:paraId="3F29E0A2"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0.548</w:t>
            </w:r>
          </w:p>
        </w:tc>
      </w:tr>
      <w:tr w:rsidR="00804D83" w:rsidRPr="00974DA2" w14:paraId="57C15A82" w14:textId="77777777" w:rsidTr="00DD37A7">
        <w:trPr>
          <w:trHeight w:val="300"/>
          <w:jc w:val="center"/>
        </w:trPr>
        <w:tc>
          <w:tcPr>
            <w:tcW w:w="1195" w:type="dxa"/>
            <w:shd w:val="clear" w:color="auto" w:fill="auto"/>
            <w:noWrap/>
            <w:vAlign w:val="center"/>
            <w:hideMark/>
          </w:tcPr>
          <w:p w14:paraId="1A8B5029" w14:textId="77777777" w:rsidR="00804D83" w:rsidRPr="00974DA2" w:rsidRDefault="00A701EE"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16</w:t>
            </w:r>
          </w:p>
        </w:tc>
        <w:tc>
          <w:tcPr>
            <w:tcW w:w="2541" w:type="dxa"/>
            <w:shd w:val="clear" w:color="auto" w:fill="auto"/>
            <w:vAlign w:val="center"/>
          </w:tcPr>
          <w:p w14:paraId="6D8EEB4A"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980" w:dyaOrig="1180" w14:anchorId="36F297C6">
                <v:shape id="_x0000_i1041" type="#_x0000_t75" style="width:100.05pt;height:58.45pt" o:ole="">
                  <v:imagedata r:id="rId39" o:title=""/>
                </v:shape>
                <o:OLEObject Type="Embed" ProgID="ChemDraw.Document.6.0" ShapeID="_x0000_i1041" DrawAspect="Content" ObjectID="_1625729669" r:id="rId40"/>
              </w:object>
            </w:r>
          </w:p>
        </w:tc>
        <w:tc>
          <w:tcPr>
            <w:tcW w:w="1139" w:type="dxa"/>
            <w:shd w:val="clear" w:color="auto" w:fill="auto"/>
            <w:noWrap/>
            <w:vAlign w:val="center"/>
            <w:hideMark/>
          </w:tcPr>
          <w:p w14:paraId="1EE57124"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0.570</w:t>
            </w:r>
          </w:p>
        </w:tc>
        <w:tc>
          <w:tcPr>
            <w:tcW w:w="1191" w:type="dxa"/>
            <w:shd w:val="clear" w:color="auto" w:fill="auto"/>
            <w:vAlign w:val="center"/>
          </w:tcPr>
          <w:p w14:paraId="63324446"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14</w:t>
            </w:r>
          </w:p>
        </w:tc>
        <w:tc>
          <w:tcPr>
            <w:tcW w:w="2651" w:type="dxa"/>
            <w:shd w:val="clear" w:color="auto" w:fill="auto"/>
            <w:vAlign w:val="center"/>
          </w:tcPr>
          <w:p w14:paraId="1A72153D"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872" w:dyaOrig="1102" w14:anchorId="13B55F33">
                <v:shape id="_x0000_i1042" type="#_x0000_t75" style="width:94.45pt;height:55.65pt" o:ole="">
                  <v:imagedata r:id="rId41" o:title=""/>
                </v:shape>
                <o:OLEObject Type="Embed" ProgID="ChemDraw.Document.6.0" ShapeID="_x0000_i1042" DrawAspect="Content" ObjectID="_1625729670" r:id="rId42"/>
              </w:object>
            </w:r>
          </w:p>
        </w:tc>
        <w:tc>
          <w:tcPr>
            <w:tcW w:w="716" w:type="dxa"/>
            <w:shd w:val="clear" w:color="auto" w:fill="auto"/>
            <w:vAlign w:val="center"/>
          </w:tcPr>
          <w:p w14:paraId="25A5768A"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0.547</w:t>
            </w:r>
          </w:p>
        </w:tc>
      </w:tr>
      <w:tr w:rsidR="00804D83" w:rsidRPr="00974DA2" w14:paraId="3C670899" w14:textId="77777777" w:rsidTr="00DD37A7">
        <w:trPr>
          <w:trHeight w:val="300"/>
          <w:jc w:val="center"/>
        </w:trPr>
        <w:tc>
          <w:tcPr>
            <w:tcW w:w="1195" w:type="dxa"/>
            <w:shd w:val="clear" w:color="auto" w:fill="auto"/>
            <w:noWrap/>
            <w:vAlign w:val="center"/>
            <w:hideMark/>
          </w:tcPr>
          <w:p w14:paraId="2FBA06EB" w14:textId="77777777" w:rsidR="00804D83" w:rsidRPr="00974DA2" w:rsidRDefault="00E44995"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w:t>
            </w:r>
          </w:p>
        </w:tc>
        <w:tc>
          <w:tcPr>
            <w:tcW w:w="2541" w:type="dxa"/>
            <w:shd w:val="clear" w:color="auto" w:fill="auto"/>
            <w:vAlign w:val="center"/>
          </w:tcPr>
          <w:p w14:paraId="0EA8291C"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171" w:dyaOrig="886" w14:anchorId="3011D9F5">
                <v:shape id="_x0000_i1043" type="#_x0000_t75" style="width:58.45pt;height:43.5pt" o:ole="">
                  <v:imagedata r:id="rId43" o:title=""/>
                </v:shape>
                <o:OLEObject Type="Embed" ProgID="ChemDraw.Document.6.0" ShapeID="_x0000_i1043" DrawAspect="Content" ObjectID="_1625729671" r:id="rId44"/>
              </w:object>
            </w:r>
          </w:p>
        </w:tc>
        <w:tc>
          <w:tcPr>
            <w:tcW w:w="1139" w:type="dxa"/>
            <w:shd w:val="clear" w:color="auto" w:fill="auto"/>
            <w:noWrap/>
            <w:vAlign w:val="center"/>
            <w:hideMark/>
          </w:tcPr>
          <w:p w14:paraId="643DD270"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0.564</w:t>
            </w:r>
          </w:p>
        </w:tc>
        <w:tc>
          <w:tcPr>
            <w:tcW w:w="1191" w:type="dxa"/>
            <w:shd w:val="clear" w:color="auto" w:fill="auto"/>
            <w:vAlign w:val="center"/>
          </w:tcPr>
          <w:p w14:paraId="32BF0687" w14:textId="77777777" w:rsidR="00804D83" w:rsidRPr="00974DA2" w:rsidRDefault="002B6BA1"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13</w:t>
            </w:r>
          </w:p>
        </w:tc>
        <w:tc>
          <w:tcPr>
            <w:tcW w:w="2651" w:type="dxa"/>
            <w:shd w:val="clear" w:color="auto" w:fill="auto"/>
            <w:vAlign w:val="center"/>
          </w:tcPr>
          <w:p w14:paraId="656A3BD6"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2032" w:dyaOrig="1089" w14:anchorId="37E348D9">
                <v:shape id="_x0000_i1044" type="#_x0000_t75" style="width:101pt;height:55.65pt" o:ole="">
                  <v:imagedata r:id="rId45" o:title=""/>
                </v:shape>
                <o:OLEObject Type="Embed" ProgID="ChemDraw.Document.6.0" ShapeID="_x0000_i1044" DrawAspect="Content" ObjectID="_1625729672" r:id="rId46"/>
              </w:object>
            </w:r>
          </w:p>
        </w:tc>
        <w:tc>
          <w:tcPr>
            <w:tcW w:w="716" w:type="dxa"/>
            <w:shd w:val="clear" w:color="auto" w:fill="auto"/>
            <w:vAlign w:val="center"/>
          </w:tcPr>
          <w:p w14:paraId="378675EE" w14:textId="77777777" w:rsidR="00804D83" w:rsidRPr="00974DA2" w:rsidRDefault="00804D83"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0.546</w:t>
            </w:r>
          </w:p>
        </w:tc>
      </w:tr>
    </w:tbl>
    <w:p w14:paraId="46F7B2D4" w14:textId="291076A3" w:rsidR="00974DA2" w:rsidRPr="00974DA2" w:rsidRDefault="00974DA2">
      <w:pPr>
        <w:rPr>
          <w:rFonts w:ascii="Times New Roman" w:hAnsi="Times New Roman" w:cs="Times New Roman"/>
          <w:lang w:val="en-US"/>
        </w:rPr>
      </w:pPr>
      <w:r w:rsidRPr="00974DA2">
        <w:rPr>
          <w:rFonts w:ascii="Times New Roman" w:hAnsi="Times New Roman" w:cs="Times New Roman"/>
          <w:lang w:val="en-US"/>
        </w:rPr>
        <w:br w:type="page"/>
      </w:r>
    </w:p>
    <w:p w14:paraId="6FD56BAC" w14:textId="7905ED80" w:rsidR="005F71AA" w:rsidRPr="00974DA2" w:rsidRDefault="005F71AA" w:rsidP="00804D83">
      <w:pPr>
        <w:jc w:val="both"/>
        <w:rPr>
          <w:rFonts w:ascii="Times New Roman" w:hAnsi="Times New Roman" w:cs="Times New Roman"/>
          <w:sz w:val="24"/>
          <w:szCs w:val="24"/>
          <w:lang w:val="en-US"/>
        </w:rPr>
      </w:pPr>
      <w:r w:rsidRPr="00974DA2">
        <w:rPr>
          <w:rFonts w:ascii="Times New Roman" w:hAnsi="Times New Roman" w:cs="Times New Roman"/>
          <w:b/>
          <w:lang w:val="en-US"/>
        </w:rPr>
        <w:lastRenderedPageBreak/>
        <w:t xml:space="preserve">Table </w:t>
      </w:r>
      <w:r w:rsidR="00974DA2" w:rsidRPr="00974DA2">
        <w:rPr>
          <w:rFonts w:ascii="Times New Roman" w:hAnsi="Times New Roman" w:cs="Times New Roman"/>
          <w:b/>
          <w:lang w:val="en-US"/>
        </w:rPr>
        <w:t>S</w:t>
      </w:r>
      <w:r w:rsidRPr="00974DA2">
        <w:rPr>
          <w:rFonts w:ascii="Times New Roman" w:hAnsi="Times New Roman" w:cs="Times New Roman"/>
          <w:b/>
          <w:lang w:val="en-US"/>
        </w:rPr>
        <w:t>4</w:t>
      </w:r>
      <w:r w:rsidRPr="00974DA2">
        <w:rPr>
          <w:rFonts w:ascii="Times New Roman" w:hAnsi="Times New Roman" w:cs="Times New Roman"/>
          <w:lang w:val="en-US"/>
        </w:rPr>
        <w:t>: Top 20 best ranked compounds of FL2 SBVS.</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2100"/>
        <w:gridCol w:w="1050"/>
        <w:gridCol w:w="1255"/>
        <w:gridCol w:w="2083"/>
        <w:gridCol w:w="945"/>
      </w:tblGrid>
      <w:tr w:rsidR="00F3357A" w:rsidRPr="00974DA2" w14:paraId="5A67C844" w14:textId="77777777" w:rsidTr="00D96476">
        <w:trPr>
          <w:jc w:val="center"/>
        </w:trPr>
        <w:tc>
          <w:tcPr>
            <w:tcW w:w="1736" w:type="dxa"/>
            <w:shd w:val="clear" w:color="auto" w:fill="auto"/>
            <w:vAlign w:val="center"/>
          </w:tcPr>
          <w:p w14:paraId="0BE94707"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 xml:space="preserve">Compound </w:t>
            </w:r>
          </w:p>
        </w:tc>
        <w:tc>
          <w:tcPr>
            <w:tcW w:w="2100" w:type="dxa"/>
            <w:shd w:val="clear" w:color="auto" w:fill="auto"/>
            <w:vAlign w:val="center"/>
          </w:tcPr>
          <w:p w14:paraId="0F56A1CD"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Structure</w:t>
            </w:r>
          </w:p>
        </w:tc>
        <w:tc>
          <w:tcPr>
            <w:tcW w:w="1050" w:type="dxa"/>
            <w:shd w:val="clear" w:color="auto" w:fill="auto"/>
            <w:vAlign w:val="center"/>
          </w:tcPr>
          <w:p w14:paraId="0989E92D"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H*N1*H</w:t>
            </w:r>
          </w:p>
        </w:tc>
        <w:tc>
          <w:tcPr>
            <w:tcW w:w="1255" w:type="dxa"/>
            <w:shd w:val="clear" w:color="auto" w:fill="auto"/>
            <w:vAlign w:val="center"/>
          </w:tcPr>
          <w:p w14:paraId="0AC32391"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 xml:space="preserve">Compound </w:t>
            </w:r>
          </w:p>
        </w:tc>
        <w:tc>
          <w:tcPr>
            <w:tcW w:w="2083" w:type="dxa"/>
            <w:shd w:val="clear" w:color="auto" w:fill="auto"/>
            <w:vAlign w:val="center"/>
          </w:tcPr>
          <w:p w14:paraId="7B381856"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Structure</w:t>
            </w:r>
          </w:p>
        </w:tc>
        <w:tc>
          <w:tcPr>
            <w:tcW w:w="945" w:type="dxa"/>
            <w:shd w:val="clear" w:color="auto" w:fill="auto"/>
            <w:vAlign w:val="center"/>
          </w:tcPr>
          <w:p w14:paraId="320A90F5"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H*N1*H</w:t>
            </w:r>
          </w:p>
        </w:tc>
      </w:tr>
      <w:tr w:rsidR="00F3357A" w:rsidRPr="00974DA2" w14:paraId="1909223D" w14:textId="77777777" w:rsidTr="00D96476">
        <w:trPr>
          <w:jc w:val="center"/>
        </w:trPr>
        <w:tc>
          <w:tcPr>
            <w:tcW w:w="1736" w:type="dxa"/>
            <w:shd w:val="clear" w:color="auto" w:fill="auto"/>
            <w:vAlign w:val="center"/>
          </w:tcPr>
          <w:p w14:paraId="5A7ABA8F"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27</w:t>
            </w:r>
          </w:p>
        </w:tc>
        <w:tc>
          <w:tcPr>
            <w:tcW w:w="2100" w:type="dxa"/>
            <w:shd w:val="clear" w:color="auto" w:fill="auto"/>
            <w:vAlign w:val="center"/>
          </w:tcPr>
          <w:p w14:paraId="3153E255"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839" w:dyaOrig="1000" w14:anchorId="256E7331">
                <v:shape id="_x0000_i1045" type="#_x0000_t75" style="width:91.65pt;height:52.35pt" o:ole="">
                  <v:imagedata r:id="rId47" o:title=""/>
                </v:shape>
                <o:OLEObject Type="Embed" ProgID="ChemDraw.Document.6.0" ShapeID="_x0000_i1045" DrawAspect="Content" ObjectID="_1625729673" r:id="rId48"/>
              </w:object>
            </w:r>
          </w:p>
        </w:tc>
        <w:tc>
          <w:tcPr>
            <w:tcW w:w="1050" w:type="dxa"/>
            <w:shd w:val="clear" w:color="auto" w:fill="auto"/>
            <w:vAlign w:val="center"/>
          </w:tcPr>
          <w:p w14:paraId="7A1E9D4F"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0.652</w:t>
            </w:r>
          </w:p>
        </w:tc>
        <w:tc>
          <w:tcPr>
            <w:tcW w:w="1255" w:type="dxa"/>
            <w:shd w:val="clear" w:color="auto" w:fill="auto"/>
            <w:vAlign w:val="center"/>
          </w:tcPr>
          <w:p w14:paraId="0385D604"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35</w:t>
            </w:r>
          </w:p>
        </w:tc>
        <w:tc>
          <w:tcPr>
            <w:tcW w:w="2083" w:type="dxa"/>
            <w:shd w:val="clear" w:color="auto" w:fill="auto"/>
            <w:vAlign w:val="center"/>
          </w:tcPr>
          <w:p w14:paraId="407003BC"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617" w:dyaOrig="960" w14:anchorId="1945E7C9">
                <v:shape id="_x0000_i1046" type="#_x0000_t75" style="width:81.35pt;height:49.55pt" o:ole="">
                  <v:imagedata r:id="rId49" o:title=""/>
                </v:shape>
                <o:OLEObject Type="Embed" ProgID="ChemDraw.Document.6.0" ShapeID="_x0000_i1046" DrawAspect="Content" ObjectID="_1625729674" r:id="rId50"/>
              </w:object>
            </w:r>
          </w:p>
        </w:tc>
        <w:tc>
          <w:tcPr>
            <w:tcW w:w="945" w:type="dxa"/>
            <w:shd w:val="clear" w:color="auto" w:fill="auto"/>
            <w:vAlign w:val="center"/>
          </w:tcPr>
          <w:p w14:paraId="244C2A8D"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0.624</w:t>
            </w:r>
          </w:p>
        </w:tc>
      </w:tr>
      <w:tr w:rsidR="00F3357A" w:rsidRPr="00974DA2" w14:paraId="6BA965F3" w14:textId="77777777" w:rsidTr="00D96476">
        <w:trPr>
          <w:jc w:val="center"/>
        </w:trPr>
        <w:tc>
          <w:tcPr>
            <w:tcW w:w="1736" w:type="dxa"/>
            <w:shd w:val="clear" w:color="auto" w:fill="auto"/>
            <w:vAlign w:val="center"/>
          </w:tcPr>
          <w:p w14:paraId="0E734EC9"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29</w:t>
            </w:r>
          </w:p>
        </w:tc>
        <w:tc>
          <w:tcPr>
            <w:tcW w:w="2100" w:type="dxa"/>
            <w:shd w:val="clear" w:color="auto" w:fill="auto"/>
            <w:vAlign w:val="center"/>
          </w:tcPr>
          <w:p w14:paraId="78A23993"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59" w:dyaOrig="669" w14:anchorId="29D9BA5A">
                <v:shape id="_x0000_i1047" type="#_x0000_t75" style="width:87.45pt;height:34.6pt" o:ole="">
                  <v:imagedata r:id="rId51" o:title=""/>
                </v:shape>
                <o:OLEObject Type="Embed" ProgID="ChemDraw.Document.6.0" ShapeID="_x0000_i1047" DrawAspect="Content" ObjectID="_1625729675" r:id="rId52"/>
              </w:object>
            </w:r>
          </w:p>
        </w:tc>
        <w:tc>
          <w:tcPr>
            <w:tcW w:w="1050" w:type="dxa"/>
            <w:shd w:val="clear" w:color="auto" w:fill="auto"/>
            <w:vAlign w:val="center"/>
          </w:tcPr>
          <w:p w14:paraId="0287C454"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0.652</w:t>
            </w:r>
          </w:p>
        </w:tc>
        <w:tc>
          <w:tcPr>
            <w:tcW w:w="1255" w:type="dxa"/>
            <w:shd w:val="clear" w:color="auto" w:fill="auto"/>
            <w:vAlign w:val="center"/>
          </w:tcPr>
          <w:p w14:paraId="2D836AD0"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26</w:t>
            </w:r>
          </w:p>
        </w:tc>
        <w:tc>
          <w:tcPr>
            <w:tcW w:w="2083" w:type="dxa"/>
            <w:shd w:val="clear" w:color="auto" w:fill="auto"/>
            <w:vAlign w:val="center"/>
          </w:tcPr>
          <w:p w14:paraId="25A56C0F"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910" w:dyaOrig="713" w14:anchorId="20CEC83E">
                <v:shape id="_x0000_i1048" type="#_x0000_t75" style="width:94.9pt;height:36pt" o:ole="">
                  <v:imagedata r:id="rId53" o:title=""/>
                </v:shape>
                <o:OLEObject Type="Embed" ProgID="ChemDraw.Document.6.0" ShapeID="_x0000_i1048" DrawAspect="Content" ObjectID="_1625729676" r:id="rId54"/>
              </w:object>
            </w:r>
          </w:p>
        </w:tc>
        <w:tc>
          <w:tcPr>
            <w:tcW w:w="945" w:type="dxa"/>
            <w:shd w:val="clear" w:color="auto" w:fill="auto"/>
            <w:vAlign w:val="center"/>
          </w:tcPr>
          <w:p w14:paraId="562F324C"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0.617</w:t>
            </w:r>
          </w:p>
        </w:tc>
      </w:tr>
      <w:tr w:rsidR="00F3357A" w:rsidRPr="00974DA2" w14:paraId="4DD52A31" w14:textId="77777777" w:rsidTr="00D96476">
        <w:trPr>
          <w:jc w:val="center"/>
        </w:trPr>
        <w:tc>
          <w:tcPr>
            <w:tcW w:w="1736" w:type="dxa"/>
            <w:shd w:val="clear" w:color="auto" w:fill="auto"/>
            <w:vAlign w:val="center"/>
          </w:tcPr>
          <w:p w14:paraId="5CB8FB09"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30</w:t>
            </w:r>
          </w:p>
        </w:tc>
        <w:tc>
          <w:tcPr>
            <w:tcW w:w="2100" w:type="dxa"/>
            <w:shd w:val="clear" w:color="auto" w:fill="auto"/>
            <w:vAlign w:val="center"/>
          </w:tcPr>
          <w:p w14:paraId="3F836781"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644" w:dyaOrig="588" w14:anchorId="37E4B92E">
                <v:shape id="_x0000_i1049" type="#_x0000_t75" style="width:85.1pt;height:28.5pt" o:ole="">
                  <v:imagedata r:id="rId55" o:title=""/>
                </v:shape>
                <o:OLEObject Type="Embed" ProgID="ChemDraw.Document.6.0" ShapeID="_x0000_i1049" DrawAspect="Content" ObjectID="_1625729677" r:id="rId56"/>
              </w:object>
            </w:r>
          </w:p>
        </w:tc>
        <w:tc>
          <w:tcPr>
            <w:tcW w:w="1050" w:type="dxa"/>
            <w:shd w:val="clear" w:color="auto" w:fill="auto"/>
            <w:vAlign w:val="center"/>
          </w:tcPr>
          <w:p w14:paraId="2F269489"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0.649</w:t>
            </w:r>
          </w:p>
        </w:tc>
        <w:tc>
          <w:tcPr>
            <w:tcW w:w="1255" w:type="dxa"/>
            <w:shd w:val="clear" w:color="auto" w:fill="auto"/>
            <w:vAlign w:val="center"/>
          </w:tcPr>
          <w:p w14:paraId="761D08FC"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34</w:t>
            </w:r>
          </w:p>
        </w:tc>
        <w:tc>
          <w:tcPr>
            <w:tcW w:w="2083" w:type="dxa"/>
            <w:shd w:val="clear" w:color="auto" w:fill="auto"/>
            <w:vAlign w:val="center"/>
          </w:tcPr>
          <w:p w14:paraId="52EE94BF"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584" w:dyaOrig="739" w14:anchorId="5CA0FE90">
                <v:shape id="_x0000_i1050" type="#_x0000_t75" style="width:79.5pt;height:37.4pt" o:ole="">
                  <v:imagedata r:id="rId57" o:title=""/>
                </v:shape>
                <o:OLEObject Type="Embed" ProgID="ChemDraw.Document.6.0" ShapeID="_x0000_i1050" DrawAspect="Content" ObjectID="_1625729678" r:id="rId58"/>
              </w:object>
            </w:r>
          </w:p>
        </w:tc>
        <w:tc>
          <w:tcPr>
            <w:tcW w:w="945" w:type="dxa"/>
            <w:shd w:val="clear" w:color="auto" w:fill="auto"/>
            <w:vAlign w:val="center"/>
          </w:tcPr>
          <w:p w14:paraId="25CD3E20"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0.614</w:t>
            </w:r>
          </w:p>
        </w:tc>
      </w:tr>
      <w:tr w:rsidR="00F3357A" w:rsidRPr="00974DA2" w14:paraId="534BFB79" w14:textId="77777777" w:rsidTr="00D96476">
        <w:trPr>
          <w:jc w:val="center"/>
        </w:trPr>
        <w:tc>
          <w:tcPr>
            <w:tcW w:w="1736" w:type="dxa"/>
            <w:shd w:val="clear" w:color="auto" w:fill="auto"/>
            <w:vAlign w:val="center"/>
          </w:tcPr>
          <w:p w14:paraId="05C0681B"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25</w:t>
            </w:r>
          </w:p>
        </w:tc>
        <w:tc>
          <w:tcPr>
            <w:tcW w:w="2100" w:type="dxa"/>
            <w:shd w:val="clear" w:color="auto" w:fill="auto"/>
            <w:vAlign w:val="center"/>
          </w:tcPr>
          <w:p w14:paraId="4166802B"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917" w:dyaOrig="670" w14:anchorId="2752C6E3">
                <v:shape id="_x0000_i1051" type="#_x0000_t75" style="width:94.9pt;height:34.15pt" o:ole="">
                  <v:imagedata r:id="rId59" o:title=""/>
                </v:shape>
                <o:OLEObject Type="Embed" ProgID="ChemDraw.Document.6.0" ShapeID="_x0000_i1051" DrawAspect="Content" ObjectID="_1625729679" r:id="rId60"/>
              </w:object>
            </w:r>
          </w:p>
        </w:tc>
        <w:tc>
          <w:tcPr>
            <w:tcW w:w="1050" w:type="dxa"/>
            <w:shd w:val="clear" w:color="auto" w:fill="auto"/>
            <w:vAlign w:val="center"/>
          </w:tcPr>
          <w:p w14:paraId="144FB97B"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0.6452</w:t>
            </w:r>
          </w:p>
        </w:tc>
        <w:tc>
          <w:tcPr>
            <w:tcW w:w="1255" w:type="dxa"/>
            <w:shd w:val="clear" w:color="auto" w:fill="auto"/>
            <w:vAlign w:val="center"/>
          </w:tcPr>
          <w:p w14:paraId="518B5E94"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21</w:t>
            </w:r>
          </w:p>
        </w:tc>
        <w:tc>
          <w:tcPr>
            <w:tcW w:w="2083" w:type="dxa"/>
            <w:shd w:val="clear" w:color="auto" w:fill="auto"/>
            <w:vAlign w:val="center"/>
          </w:tcPr>
          <w:p w14:paraId="6AB824C3"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015" w:dyaOrig="1363" w14:anchorId="2DA4AD83">
                <v:shape id="_x0000_i1052" type="#_x0000_t75" style="width:52.35pt;height:67.3pt" o:ole="">
                  <v:imagedata r:id="rId61" o:title=""/>
                </v:shape>
                <o:OLEObject Type="Embed" ProgID="ChemDraw.Document.6.0" ShapeID="_x0000_i1052" DrawAspect="Content" ObjectID="_1625729680" r:id="rId62"/>
              </w:object>
            </w:r>
          </w:p>
        </w:tc>
        <w:tc>
          <w:tcPr>
            <w:tcW w:w="945" w:type="dxa"/>
            <w:shd w:val="clear" w:color="auto" w:fill="auto"/>
            <w:vAlign w:val="center"/>
          </w:tcPr>
          <w:p w14:paraId="3567343E"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0.613</w:t>
            </w:r>
          </w:p>
        </w:tc>
      </w:tr>
      <w:tr w:rsidR="00F3357A" w:rsidRPr="00974DA2" w14:paraId="4AB96156" w14:textId="77777777" w:rsidTr="00D96476">
        <w:trPr>
          <w:jc w:val="center"/>
        </w:trPr>
        <w:tc>
          <w:tcPr>
            <w:tcW w:w="1736" w:type="dxa"/>
            <w:shd w:val="clear" w:color="auto" w:fill="auto"/>
            <w:vAlign w:val="center"/>
          </w:tcPr>
          <w:p w14:paraId="24FB3FB4"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23</w:t>
            </w:r>
          </w:p>
        </w:tc>
        <w:tc>
          <w:tcPr>
            <w:tcW w:w="2100" w:type="dxa"/>
            <w:shd w:val="clear" w:color="auto" w:fill="auto"/>
            <w:vAlign w:val="center"/>
          </w:tcPr>
          <w:p w14:paraId="55C7A1B3"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90" w:dyaOrig="835" w14:anchorId="21A1332A">
                <v:shape id="_x0000_i1053" type="#_x0000_t75" style="width:88.35pt;height:43pt" o:ole="">
                  <v:imagedata r:id="rId63" o:title=""/>
                </v:shape>
                <o:OLEObject Type="Embed" ProgID="ChemDraw.Document.6.0" ShapeID="_x0000_i1053" DrawAspect="Content" ObjectID="_1625729681" r:id="rId64"/>
              </w:object>
            </w:r>
          </w:p>
        </w:tc>
        <w:tc>
          <w:tcPr>
            <w:tcW w:w="1050" w:type="dxa"/>
            <w:shd w:val="clear" w:color="auto" w:fill="auto"/>
            <w:vAlign w:val="center"/>
          </w:tcPr>
          <w:p w14:paraId="66932A8A"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0.642</w:t>
            </w:r>
          </w:p>
        </w:tc>
        <w:tc>
          <w:tcPr>
            <w:tcW w:w="1255" w:type="dxa"/>
            <w:shd w:val="clear" w:color="auto" w:fill="auto"/>
            <w:vAlign w:val="center"/>
          </w:tcPr>
          <w:p w14:paraId="36D3DA28"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39</w:t>
            </w:r>
          </w:p>
        </w:tc>
        <w:tc>
          <w:tcPr>
            <w:tcW w:w="2083" w:type="dxa"/>
            <w:shd w:val="clear" w:color="auto" w:fill="auto"/>
            <w:vAlign w:val="center"/>
          </w:tcPr>
          <w:p w14:paraId="78650B31"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617" w:dyaOrig="710" w14:anchorId="40348B0E">
                <v:shape id="_x0000_i1054" type="#_x0000_t75" style="width:81.35pt;height:36pt" o:ole="">
                  <v:imagedata r:id="rId65" o:title=""/>
                </v:shape>
                <o:OLEObject Type="Embed" ProgID="ChemDraw.Document.6.0" ShapeID="_x0000_i1054" DrawAspect="Content" ObjectID="_1625729682" r:id="rId66"/>
              </w:object>
            </w:r>
          </w:p>
        </w:tc>
        <w:tc>
          <w:tcPr>
            <w:tcW w:w="945" w:type="dxa"/>
            <w:shd w:val="clear" w:color="auto" w:fill="auto"/>
            <w:vAlign w:val="center"/>
          </w:tcPr>
          <w:p w14:paraId="576B4EC3"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0.611</w:t>
            </w:r>
          </w:p>
        </w:tc>
      </w:tr>
      <w:tr w:rsidR="00F3357A" w:rsidRPr="00974DA2" w14:paraId="2B734337" w14:textId="77777777" w:rsidTr="00D96476">
        <w:trPr>
          <w:jc w:val="center"/>
        </w:trPr>
        <w:tc>
          <w:tcPr>
            <w:tcW w:w="1736" w:type="dxa"/>
            <w:shd w:val="clear" w:color="auto" w:fill="auto"/>
            <w:vAlign w:val="center"/>
          </w:tcPr>
          <w:p w14:paraId="44D7F98F"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33</w:t>
            </w:r>
          </w:p>
        </w:tc>
        <w:tc>
          <w:tcPr>
            <w:tcW w:w="2100" w:type="dxa"/>
            <w:shd w:val="clear" w:color="auto" w:fill="auto"/>
            <w:vAlign w:val="center"/>
          </w:tcPr>
          <w:p w14:paraId="2C8DAA35"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835" w:dyaOrig="712" w14:anchorId="3AC765CA">
                <v:shape id="_x0000_i1055" type="#_x0000_t75" style="width:93.05pt;height:34.6pt" o:ole="">
                  <v:imagedata r:id="rId67" o:title=""/>
                </v:shape>
                <o:OLEObject Type="Embed" ProgID="ChemDraw.Document.6.0" ShapeID="_x0000_i1055" DrawAspect="Content" ObjectID="_1625729683" r:id="rId68"/>
              </w:object>
            </w:r>
          </w:p>
        </w:tc>
        <w:tc>
          <w:tcPr>
            <w:tcW w:w="1050" w:type="dxa"/>
            <w:shd w:val="clear" w:color="auto" w:fill="auto"/>
            <w:vAlign w:val="center"/>
          </w:tcPr>
          <w:p w14:paraId="51C78320"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0.638</w:t>
            </w:r>
          </w:p>
        </w:tc>
        <w:tc>
          <w:tcPr>
            <w:tcW w:w="1255" w:type="dxa"/>
            <w:shd w:val="clear" w:color="auto" w:fill="auto"/>
            <w:vAlign w:val="center"/>
          </w:tcPr>
          <w:p w14:paraId="6DFE5497"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28</w:t>
            </w:r>
          </w:p>
        </w:tc>
        <w:tc>
          <w:tcPr>
            <w:tcW w:w="2083" w:type="dxa"/>
            <w:shd w:val="clear" w:color="auto" w:fill="auto"/>
            <w:vAlign w:val="center"/>
          </w:tcPr>
          <w:p w14:paraId="51000942"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838" w:dyaOrig="713" w14:anchorId="0E98B7B9">
                <v:shape id="_x0000_i1056" type="#_x0000_t75" style="width:91.65pt;height:36pt" o:ole="">
                  <v:imagedata r:id="rId69" o:title=""/>
                </v:shape>
                <o:OLEObject Type="Embed" ProgID="ChemDraw.Document.6.0" ShapeID="_x0000_i1056" DrawAspect="Content" ObjectID="_1625729684" r:id="rId70"/>
              </w:object>
            </w:r>
          </w:p>
        </w:tc>
        <w:tc>
          <w:tcPr>
            <w:tcW w:w="945" w:type="dxa"/>
            <w:shd w:val="clear" w:color="auto" w:fill="auto"/>
            <w:vAlign w:val="center"/>
          </w:tcPr>
          <w:p w14:paraId="0970121B"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0.61019</w:t>
            </w:r>
          </w:p>
        </w:tc>
      </w:tr>
      <w:tr w:rsidR="00F3357A" w:rsidRPr="00974DA2" w14:paraId="138D00A0" w14:textId="77777777" w:rsidTr="00D96476">
        <w:trPr>
          <w:jc w:val="center"/>
        </w:trPr>
        <w:tc>
          <w:tcPr>
            <w:tcW w:w="1736" w:type="dxa"/>
            <w:shd w:val="clear" w:color="auto" w:fill="auto"/>
            <w:vAlign w:val="center"/>
          </w:tcPr>
          <w:p w14:paraId="7FE671AA"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32</w:t>
            </w:r>
          </w:p>
        </w:tc>
        <w:tc>
          <w:tcPr>
            <w:tcW w:w="2100" w:type="dxa"/>
            <w:shd w:val="clear" w:color="auto" w:fill="auto"/>
            <w:vAlign w:val="center"/>
          </w:tcPr>
          <w:p w14:paraId="46A37B0C"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56" w:dyaOrig="667" w14:anchorId="13CCF6AC">
                <v:shape id="_x0000_i1057" type="#_x0000_t75" style="width:87.45pt;height:34.6pt" o:ole="">
                  <v:imagedata r:id="rId71" o:title=""/>
                </v:shape>
                <o:OLEObject Type="Embed" ProgID="ChemDraw.Document.6.0" ShapeID="_x0000_i1057" DrawAspect="Content" ObjectID="_1625729685" r:id="rId72"/>
              </w:object>
            </w:r>
          </w:p>
        </w:tc>
        <w:tc>
          <w:tcPr>
            <w:tcW w:w="1050" w:type="dxa"/>
            <w:shd w:val="clear" w:color="auto" w:fill="auto"/>
            <w:vAlign w:val="center"/>
          </w:tcPr>
          <w:p w14:paraId="08B4519B"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0.634</w:t>
            </w:r>
          </w:p>
        </w:tc>
        <w:tc>
          <w:tcPr>
            <w:tcW w:w="1255" w:type="dxa"/>
            <w:shd w:val="clear" w:color="auto" w:fill="auto"/>
            <w:vAlign w:val="center"/>
          </w:tcPr>
          <w:p w14:paraId="08AB5D69"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36</w:t>
            </w:r>
          </w:p>
        </w:tc>
        <w:tc>
          <w:tcPr>
            <w:tcW w:w="2083" w:type="dxa"/>
            <w:shd w:val="clear" w:color="auto" w:fill="auto"/>
            <w:vAlign w:val="center"/>
          </w:tcPr>
          <w:p w14:paraId="312B3E2B"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589" w:dyaOrig="866" w14:anchorId="391FDC62">
                <v:shape id="_x0000_i1058" type="#_x0000_t75" style="width:79.5pt;height:43.5pt" o:ole="">
                  <v:imagedata r:id="rId73" o:title=""/>
                </v:shape>
                <o:OLEObject Type="Embed" ProgID="ChemDraw.Document.6.0" ShapeID="_x0000_i1058" DrawAspect="Content" ObjectID="_1625729686" r:id="rId74"/>
              </w:object>
            </w:r>
          </w:p>
        </w:tc>
        <w:tc>
          <w:tcPr>
            <w:tcW w:w="945" w:type="dxa"/>
            <w:shd w:val="clear" w:color="auto" w:fill="auto"/>
            <w:vAlign w:val="center"/>
          </w:tcPr>
          <w:p w14:paraId="62FCB3DD"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0.606</w:t>
            </w:r>
          </w:p>
        </w:tc>
      </w:tr>
      <w:tr w:rsidR="00F3357A" w:rsidRPr="00974DA2" w14:paraId="04757D7F" w14:textId="77777777" w:rsidTr="00D96476">
        <w:trPr>
          <w:jc w:val="center"/>
        </w:trPr>
        <w:tc>
          <w:tcPr>
            <w:tcW w:w="1736" w:type="dxa"/>
            <w:shd w:val="clear" w:color="auto" w:fill="auto"/>
            <w:vAlign w:val="center"/>
          </w:tcPr>
          <w:p w14:paraId="235DBDB6"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31</w:t>
            </w:r>
          </w:p>
        </w:tc>
        <w:tc>
          <w:tcPr>
            <w:tcW w:w="2100" w:type="dxa"/>
            <w:shd w:val="clear" w:color="auto" w:fill="auto"/>
            <w:vAlign w:val="center"/>
          </w:tcPr>
          <w:p w14:paraId="5E43C2D0"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757" w:dyaOrig="670" w14:anchorId="16566269">
                <v:shape id="_x0000_i1059" type="#_x0000_t75" style="width:87.45pt;height:34.15pt" o:ole="">
                  <v:imagedata r:id="rId75" o:title=""/>
                </v:shape>
                <o:OLEObject Type="Embed" ProgID="ChemDraw.Document.6.0" ShapeID="_x0000_i1059" DrawAspect="Content" ObjectID="_1625729687" r:id="rId76"/>
              </w:object>
            </w:r>
          </w:p>
        </w:tc>
        <w:tc>
          <w:tcPr>
            <w:tcW w:w="1050" w:type="dxa"/>
            <w:shd w:val="clear" w:color="auto" w:fill="auto"/>
            <w:vAlign w:val="center"/>
          </w:tcPr>
          <w:p w14:paraId="68957B47"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0.6325</w:t>
            </w:r>
          </w:p>
        </w:tc>
        <w:tc>
          <w:tcPr>
            <w:tcW w:w="1255" w:type="dxa"/>
            <w:shd w:val="clear" w:color="auto" w:fill="auto"/>
            <w:vAlign w:val="center"/>
          </w:tcPr>
          <w:p w14:paraId="49A74B34" w14:textId="77777777" w:rsidR="00F3357A" w:rsidRPr="00974DA2" w:rsidRDefault="00085179" w:rsidP="00E44995">
            <w:pPr>
              <w:spacing w:after="0" w:line="240" w:lineRule="auto"/>
              <w:jc w:val="center"/>
              <w:rPr>
                <w:rFonts w:ascii="Times New Roman" w:hAnsi="Times New Roman" w:cs="Times New Roman"/>
                <w:b/>
                <w:sz w:val="20"/>
                <w:szCs w:val="20"/>
                <w:lang w:val="en-US"/>
              </w:rPr>
            </w:pPr>
            <w:r w:rsidRPr="00974DA2">
              <w:rPr>
                <w:rFonts w:ascii="Times New Roman" w:hAnsi="Times New Roman" w:cs="Times New Roman"/>
                <w:b/>
                <w:sz w:val="20"/>
                <w:szCs w:val="20"/>
                <w:lang w:val="en-US"/>
              </w:rPr>
              <w:t>38</w:t>
            </w:r>
          </w:p>
        </w:tc>
        <w:tc>
          <w:tcPr>
            <w:tcW w:w="2083" w:type="dxa"/>
            <w:shd w:val="clear" w:color="auto" w:fill="auto"/>
            <w:vAlign w:val="center"/>
          </w:tcPr>
          <w:p w14:paraId="31FCDFC2"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2006" w:dyaOrig="617" w14:anchorId="0B0A2293">
                <v:shape id="_x0000_i1060" type="#_x0000_t75" style="width:100.05pt;height:29pt" o:ole="">
                  <v:imagedata r:id="rId77" o:title=""/>
                </v:shape>
                <o:OLEObject Type="Embed" ProgID="ChemDraw.Document.6.0" ShapeID="_x0000_i1060" DrawAspect="Content" ObjectID="_1625729688" r:id="rId78"/>
              </w:object>
            </w:r>
          </w:p>
        </w:tc>
        <w:tc>
          <w:tcPr>
            <w:tcW w:w="945" w:type="dxa"/>
            <w:shd w:val="clear" w:color="auto" w:fill="auto"/>
            <w:vAlign w:val="center"/>
          </w:tcPr>
          <w:p w14:paraId="4D20F576"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0.603</w:t>
            </w:r>
          </w:p>
        </w:tc>
      </w:tr>
      <w:tr w:rsidR="00F3357A" w:rsidRPr="00974DA2" w14:paraId="099839CB" w14:textId="77777777" w:rsidTr="00D96476">
        <w:trPr>
          <w:jc w:val="center"/>
        </w:trPr>
        <w:tc>
          <w:tcPr>
            <w:tcW w:w="1736" w:type="dxa"/>
            <w:shd w:val="clear" w:color="auto" w:fill="auto"/>
            <w:vAlign w:val="center"/>
          </w:tcPr>
          <w:p w14:paraId="2A5C2B82" w14:textId="77777777" w:rsidR="00F3357A" w:rsidRPr="00974DA2" w:rsidRDefault="00E145F2" w:rsidP="00E44995">
            <w:pPr>
              <w:spacing w:after="0" w:line="240" w:lineRule="auto"/>
              <w:jc w:val="center"/>
              <w:rPr>
                <w:rFonts w:ascii="Times New Roman" w:hAnsi="Times New Roman" w:cs="Times New Roman"/>
                <w:b/>
                <w:color w:val="000000"/>
                <w:sz w:val="20"/>
                <w:szCs w:val="20"/>
                <w:lang w:val="en-US"/>
              </w:rPr>
            </w:pPr>
            <w:r w:rsidRPr="00974DA2">
              <w:rPr>
                <w:rFonts w:ascii="Times New Roman" w:hAnsi="Times New Roman" w:cs="Times New Roman"/>
                <w:b/>
                <w:color w:val="000000"/>
                <w:sz w:val="20"/>
                <w:szCs w:val="20"/>
                <w:lang w:val="en-US"/>
              </w:rPr>
              <w:t>40</w:t>
            </w:r>
          </w:p>
        </w:tc>
        <w:tc>
          <w:tcPr>
            <w:tcW w:w="2100" w:type="dxa"/>
            <w:shd w:val="clear" w:color="auto" w:fill="auto"/>
            <w:vAlign w:val="center"/>
          </w:tcPr>
          <w:p w14:paraId="2CFDE0CF"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object w:dxaOrig="1368" w:dyaOrig="628" w14:anchorId="1EDD1F5F">
                <v:shape id="_x0000_i1061" type="#_x0000_t75" style="width:67.8pt;height:30.4pt" o:ole="">
                  <v:imagedata r:id="rId79" o:title=""/>
                </v:shape>
                <o:OLEObject Type="Embed" ProgID="ChemDraw.Document.6.0" ShapeID="_x0000_i1061" DrawAspect="Content" ObjectID="_1625729689" r:id="rId80"/>
              </w:object>
            </w:r>
          </w:p>
        </w:tc>
        <w:tc>
          <w:tcPr>
            <w:tcW w:w="1050" w:type="dxa"/>
            <w:shd w:val="clear" w:color="auto" w:fill="auto"/>
            <w:vAlign w:val="center"/>
          </w:tcPr>
          <w:p w14:paraId="22A64316" w14:textId="77777777" w:rsidR="00F3357A" w:rsidRPr="00974DA2" w:rsidRDefault="00F3357A" w:rsidP="00E44995">
            <w:pPr>
              <w:spacing w:after="0" w:line="240" w:lineRule="auto"/>
              <w:jc w:val="center"/>
              <w:rPr>
                <w:rFonts w:ascii="Times New Roman" w:hAnsi="Times New Roman" w:cs="Times New Roman"/>
                <w:color w:val="000000"/>
                <w:sz w:val="20"/>
                <w:szCs w:val="20"/>
                <w:lang w:val="en-US"/>
              </w:rPr>
            </w:pPr>
            <w:r w:rsidRPr="00974DA2">
              <w:rPr>
                <w:rFonts w:ascii="Times New Roman" w:hAnsi="Times New Roman" w:cs="Times New Roman"/>
                <w:color w:val="000000"/>
                <w:sz w:val="20"/>
                <w:szCs w:val="20"/>
                <w:lang w:val="en-US"/>
              </w:rPr>
              <w:t>0.631</w:t>
            </w:r>
          </w:p>
        </w:tc>
        <w:tc>
          <w:tcPr>
            <w:tcW w:w="1255" w:type="dxa"/>
            <w:shd w:val="clear" w:color="auto" w:fill="auto"/>
            <w:vAlign w:val="center"/>
          </w:tcPr>
          <w:p w14:paraId="5F686D52" w14:textId="77777777" w:rsidR="00F3357A" w:rsidRPr="00974DA2" w:rsidRDefault="00085179" w:rsidP="00E44995">
            <w:pPr>
              <w:spacing w:after="0" w:line="240" w:lineRule="auto"/>
              <w:jc w:val="center"/>
              <w:rPr>
                <w:rFonts w:ascii="Times New Roman" w:hAnsi="Times New Roman" w:cs="Times New Roman"/>
                <w:b/>
                <w:color w:val="000000"/>
                <w:sz w:val="20"/>
                <w:szCs w:val="20"/>
                <w:lang w:val="en-US"/>
              </w:rPr>
            </w:pPr>
            <w:r w:rsidRPr="00974DA2">
              <w:rPr>
                <w:rFonts w:ascii="Times New Roman" w:hAnsi="Times New Roman" w:cs="Times New Roman"/>
                <w:b/>
                <w:color w:val="000000"/>
                <w:sz w:val="20"/>
                <w:szCs w:val="20"/>
                <w:lang w:val="en-US"/>
              </w:rPr>
              <w:t>24</w:t>
            </w:r>
          </w:p>
        </w:tc>
        <w:tc>
          <w:tcPr>
            <w:tcW w:w="2083" w:type="dxa"/>
            <w:shd w:val="clear" w:color="auto" w:fill="auto"/>
            <w:vAlign w:val="center"/>
          </w:tcPr>
          <w:p w14:paraId="4436C3D2" w14:textId="77777777" w:rsidR="00F3357A" w:rsidRPr="00974DA2" w:rsidRDefault="00F3357A" w:rsidP="00E44995">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2085" w:dyaOrig="629" w14:anchorId="24093B4E">
                <v:shape id="_x0000_i1062" type="#_x0000_t75" style="width:102.4pt;height:30.4pt" o:ole="">
                  <v:imagedata r:id="rId81" o:title=""/>
                </v:shape>
                <o:OLEObject Type="Embed" ProgID="ChemDraw.Document.6.0" ShapeID="_x0000_i1062" DrawAspect="Content" ObjectID="_1625729690" r:id="rId82"/>
              </w:object>
            </w:r>
          </w:p>
        </w:tc>
        <w:tc>
          <w:tcPr>
            <w:tcW w:w="945" w:type="dxa"/>
            <w:shd w:val="clear" w:color="auto" w:fill="auto"/>
            <w:vAlign w:val="center"/>
          </w:tcPr>
          <w:p w14:paraId="040331C0" w14:textId="77777777" w:rsidR="00F3357A" w:rsidRPr="00974DA2" w:rsidRDefault="00F3357A" w:rsidP="00E44995">
            <w:pPr>
              <w:spacing w:after="0" w:line="240" w:lineRule="auto"/>
              <w:jc w:val="center"/>
              <w:rPr>
                <w:rFonts w:ascii="Times New Roman" w:hAnsi="Times New Roman" w:cs="Times New Roman"/>
                <w:color w:val="000000"/>
                <w:sz w:val="20"/>
                <w:szCs w:val="20"/>
                <w:lang w:val="en-US"/>
              </w:rPr>
            </w:pPr>
            <w:r w:rsidRPr="00974DA2">
              <w:rPr>
                <w:rFonts w:ascii="Times New Roman" w:hAnsi="Times New Roman" w:cs="Times New Roman"/>
                <w:color w:val="000000"/>
                <w:sz w:val="20"/>
                <w:szCs w:val="20"/>
                <w:lang w:val="en-US"/>
              </w:rPr>
              <w:t>0.6027</w:t>
            </w:r>
          </w:p>
        </w:tc>
      </w:tr>
      <w:tr w:rsidR="00F3357A" w:rsidRPr="00974DA2" w14:paraId="4A361ED2" w14:textId="77777777" w:rsidTr="00D96476">
        <w:trPr>
          <w:jc w:val="center"/>
        </w:trPr>
        <w:tc>
          <w:tcPr>
            <w:tcW w:w="1736" w:type="dxa"/>
            <w:shd w:val="clear" w:color="auto" w:fill="auto"/>
            <w:vAlign w:val="center"/>
          </w:tcPr>
          <w:p w14:paraId="2FEDC636" w14:textId="77777777" w:rsidR="00F3357A" w:rsidRPr="00974DA2" w:rsidRDefault="00085179" w:rsidP="00E44995">
            <w:pPr>
              <w:spacing w:after="0" w:line="240" w:lineRule="auto"/>
              <w:jc w:val="center"/>
              <w:rPr>
                <w:rFonts w:ascii="Times New Roman" w:hAnsi="Times New Roman" w:cs="Times New Roman"/>
                <w:b/>
                <w:color w:val="000000"/>
                <w:sz w:val="20"/>
                <w:szCs w:val="20"/>
                <w:lang w:val="en-US"/>
              </w:rPr>
            </w:pPr>
            <w:r w:rsidRPr="00974DA2">
              <w:rPr>
                <w:rFonts w:ascii="Times New Roman" w:hAnsi="Times New Roman" w:cs="Times New Roman"/>
                <w:b/>
                <w:color w:val="000000"/>
                <w:sz w:val="20"/>
                <w:szCs w:val="20"/>
                <w:lang w:val="en-US"/>
              </w:rPr>
              <w:t>22</w:t>
            </w:r>
          </w:p>
        </w:tc>
        <w:tc>
          <w:tcPr>
            <w:tcW w:w="2100" w:type="dxa"/>
            <w:shd w:val="clear" w:color="auto" w:fill="auto"/>
            <w:vAlign w:val="center"/>
          </w:tcPr>
          <w:p w14:paraId="4FD9D890" w14:textId="77777777" w:rsidR="00F3357A" w:rsidRPr="00974DA2" w:rsidRDefault="00F3357A" w:rsidP="00E44995">
            <w:pPr>
              <w:spacing w:after="0" w:line="240" w:lineRule="auto"/>
              <w:jc w:val="center"/>
              <w:rPr>
                <w:rFonts w:ascii="Times New Roman" w:hAnsi="Times New Roman" w:cs="Times New Roman"/>
                <w:lang w:val="en-US"/>
              </w:rPr>
            </w:pPr>
            <w:r w:rsidRPr="00974DA2">
              <w:rPr>
                <w:rFonts w:ascii="Times New Roman" w:hAnsi="Times New Roman" w:cs="Times New Roman"/>
                <w:lang w:val="en-US"/>
              </w:rPr>
              <w:object w:dxaOrig="1291" w:dyaOrig="629" w14:anchorId="1134F73B">
                <v:shape id="_x0000_i1063" type="#_x0000_t75" style="width:64.5pt;height:30.4pt" o:ole="">
                  <v:imagedata r:id="rId83" o:title=""/>
                </v:shape>
                <o:OLEObject Type="Embed" ProgID="ChemDraw.Document.6.0" ShapeID="_x0000_i1063" DrawAspect="Content" ObjectID="_1625729691" r:id="rId84"/>
              </w:object>
            </w:r>
          </w:p>
        </w:tc>
        <w:tc>
          <w:tcPr>
            <w:tcW w:w="1050" w:type="dxa"/>
            <w:shd w:val="clear" w:color="auto" w:fill="auto"/>
            <w:vAlign w:val="center"/>
          </w:tcPr>
          <w:p w14:paraId="7355E912" w14:textId="77777777" w:rsidR="00F3357A" w:rsidRPr="00974DA2" w:rsidRDefault="00F3357A" w:rsidP="00E44995">
            <w:pPr>
              <w:spacing w:after="0" w:line="240" w:lineRule="auto"/>
              <w:jc w:val="center"/>
              <w:rPr>
                <w:rFonts w:ascii="Times New Roman" w:hAnsi="Times New Roman" w:cs="Times New Roman"/>
                <w:color w:val="000000"/>
                <w:sz w:val="20"/>
                <w:szCs w:val="20"/>
                <w:lang w:val="en-US"/>
              </w:rPr>
            </w:pPr>
            <w:r w:rsidRPr="00974DA2">
              <w:rPr>
                <w:rFonts w:ascii="Times New Roman" w:hAnsi="Times New Roman" w:cs="Times New Roman"/>
                <w:color w:val="000000"/>
                <w:sz w:val="20"/>
                <w:szCs w:val="20"/>
                <w:lang w:val="en-US"/>
              </w:rPr>
              <w:t>0.630</w:t>
            </w:r>
          </w:p>
        </w:tc>
        <w:tc>
          <w:tcPr>
            <w:tcW w:w="1255" w:type="dxa"/>
            <w:shd w:val="clear" w:color="auto" w:fill="auto"/>
            <w:vAlign w:val="center"/>
          </w:tcPr>
          <w:p w14:paraId="41DB52CC" w14:textId="77777777" w:rsidR="00F3357A" w:rsidRPr="00974DA2" w:rsidRDefault="00085179" w:rsidP="00E44995">
            <w:pPr>
              <w:spacing w:after="0" w:line="240" w:lineRule="auto"/>
              <w:jc w:val="center"/>
              <w:rPr>
                <w:rFonts w:ascii="Times New Roman" w:hAnsi="Times New Roman" w:cs="Times New Roman"/>
                <w:b/>
                <w:color w:val="000000"/>
                <w:sz w:val="20"/>
                <w:szCs w:val="20"/>
                <w:lang w:val="en-US"/>
              </w:rPr>
            </w:pPr>
            <w:r w:rsidRPr="00974DA2">
              <w:rPr>
                <w:rFonts w:ascii="Times New Roman" w:hAnsi="Times New Roman" w:cs="Times New Roman"/>
                <w:b/>
                <w:color w:val="000000"/>
                <w:sz w:val="20"/>
                <w:szCs w:val="20"/>
                <w:lang w:val="en-US"/>
              </w:rPr>
              <w:t>37</w:t>
            </w:r>
          </w:p>
        </w:tc>
        <w:tc>
          <w:tcPr>
            <w:tcW w:w="2083" w:type="dxa"/>
            <w:shd w:val="clear" w:color="auto" w:fill="auto"/>
            <w:vAlign w:val="center"/>
          </w:tcPr>
          <w:p w14:paraId="16042E4F" w14:textId="77777777" w:rsidR="00F3357A" w:rsidRPr="00974DA2" w:rsidRDefault="00F3357A" w:rsidP="00E44995">
            <w:pPr>
              <w:spacing w:after="0" w:line="480" w:lineRule="auto"/>
              <w:jc w:val="center"/>
              <w:rPr>
                <w:rFonts w:ascii="Times New Roman" w:hAnsi="Times New Roman" w:cs="Times New Roman"/>
                <w:sz w:val="20"/>
                <w:szCs w:val="20"/>
                <w:lang w:val="en-US"/>
              </w:rPr>
            </w:pPr>
            <w:r w:rsidRPr="00974DA2">
              <w:rPr>
                <w:rFonts w:ascii="Times New Roman" w:hAnsi="Times New Roman" w:cs="Times New Roman"/>
                <w:lang w:val="en-US"/>
              </w:rPr>
              <w:object w:dxaOrig="1586" w:dyaOrig="561" w14:anchorId="37FD4862">
                <v:shape id="_x0000_i1064" type="#_x0000_t75" style="width:79.5pt;height:28.5pt" o:ole="">
                  <v:imagedata r:id="rId85" o:title=""/>
                </v:shape>
                <o:OLEObject Type="Embed" ProgID="ChemDraw.Document.6.0" ShapeID="_x0000_i1064" DrawAspect="Content" ObjectID="_1625729692" r:id="rId86"/>
              </w:object>
            </w:r>
          </w:p>
        </w:tc>
        <w:tc>
          <w:tcPr>
            <w:tcW w:w="945" w:type="dxa"/>
            <w:shd w:val="clear" w:color="auto" w:fill="auto"/>
            <w:vAlign w:val="center"/>
          </w:tcPr>
          <w:p w14:paraId="39714A24" w14:textId="77777777" w:rsidR="00F3357A" w:rsidRPr="00974DA2" w:rsidRDefault="00F3357A" w:rsidP="00E44995">
            <w:pPr>
              <w:spacing w:after="0" w:line="240" w:lineRule="auto"/>
              <w:jc w:val="center"/>
              <w:rPr>
                <w:rFonts w:ascii="Times New Roman" w:hAnsi="Times New Roman" w:cs="Times New Roman"/>
                <w:color w:val="000000"/>
                <w:sz w:val="20"/>
                <w:szCs w:val="20"/>
                <w:lang w:val="en-US"/>
              </w:rPr>
            </w:pPr>
            <w:r w:rsidRPr="00974DA2">
              <w:rPr>
                <w:rFonts w:ascii="Times New Roman" w:hAnsi="Times New Roman" w:cs="Times New Roman"/>
                <w:color w:val="000000"/>
                <w:sz w:val="20"/>
                <w:szCs w:val="20"/>
                <w:lang w:val="en-US"/>
              </w:rPr>
              <w:t>0.601</w:t>
            </w:r>
          </w:p>
        </w:tc>
      </w:tr>
    </w:tbl>
    <w:p w14:paraId="0E273840" w14:textId="77777777" w:rsidR="005F71AA" w:rsidRPr="00974DA2" w:rsidRDefault="005F71AA" w:rsidP="003950D7">
      <w:pPr>
        <w:jc w:val="both"/>
        <w:rPr>
          <w:rFonts w:ascii="Times New Roman" w:hAnsi="Times New Roman" w:cs="Times New Roman"/>
          <w:lang w:val="en-US"/>
        </w:rPr>
      </w:pPr>
    </w:p>
    <w:p w14:paraId="3591E598" w14:textId="77777777" w:rsidR="00F17A5D" w:rsidRPr="00974DA2" w:rsidRDefault="00F17A5D" w:rsidP="003950D7">
      <w:pPr>
        <w:jc w:val="both"/>
        <w:rPr>
          <w:rFonts w:ascii="Times New Roman" w:hAnsi="Times New Roman" w:cs="Times New Roman"/>
          <w:lang w:val="en-US"/>
        </w:rPr>
        <w:sectPr w:rsidR="00F17A5D" w:rsidRPr="00974DA2">
          <w:pgSz w:w="11906" w:h="16838"/>
          <w:pgMar w:top="1417" w:right="1701" w:bottom="1417" w:left="1701" w:header="708" w:footer="708" w:gutter="0"/>
          <w:cols w:space="708"/>
          <w:docGrid w:linePitch="360"/>
        </w:sectPr>
      </w:pPr>
    </w:p>
    <w:p w14:paraId="6BD92943" w14:textId="501B1A30" w:rsidR="00F17A5D" w:rsidRPr="00974DA2" w:rsidRDefault="00F17A5D" w:rsidP="00F17A5D">
      <w:pPr>
        <w:spacing w:line="360" w:lineRule="auto"/>
        <w:jc w:val="both"/>
        <w:rPr>
          <w:rFonts w:ascii="Times New Roman" w:hAnsi="Times New Roman" w:cs="Times New Roman"/>
          <w:sz w:val="24"/>
          <w:szCs w:val="24"/>
          <w:lang w:val="en-US"/>
        </w:rPr>
      </w:pPr>
      <w:r w:rsidRPr="00974DA2">
        <w:rPr>
          <w:rFonts w:ascii="Times New Roman" w:hAnsi="Times New Roman" w:cs="Times New Roman"/>
          <w:b/>
          <w:szCs w:val="24"/>
          <w:lang w:val="en-US"/>
        </w:rPr>
        <w:lastRenderedPageBreak/>
        <w:t>Table</w:t>
      </w:r>
      <w:r w:rsidR="00AF09A0">
        <w:rPr>
          <w:rFonts w:ascii="Times New Roman" w:hAnsi="Times New Roman" w:cs="Times New Roman"/>
          <w:b/>
          <w:szCs w:val="24"/>
          <w:lang w:val="en-US"/>
        </w:rPr>
        <w:t xml:space="preserve"> S</w:t>
      </w:r>
      <w:r w:rsidR="004B2E33" w:rsidRPr="00974DA2">
        <w:rPr>
          <w:rFonts w:ascii="Times New Roman" w:hAnsi="Times New Roman" w:cs="Times New Roman"/>
          <w:b/>
          <w:szCs w:val="24"/>
          <w:lang w:val="en-US"/>
        </w:rPr>
        <w:t>5</w:t>
      </w:r>
      <w:r w:rsidR="00FC229E" w:rsidRPr="00974DA2">
        <w:rPr>
          <w:rFonts w:ascii="Times New Roman" w:hAnsi="Times New Roman" w:cs="Times New Roman"/>
          <w:szCs w:val="24"/>
          <w:lang w:val="en-US"/>
        </w:rPr>
        <w:t xml:space="preserve">: </w:t>
      </w:r>
      <w:proofErr w:type="spellStart"/>
      <w:r w:rsidR="00FC229E" w:rsidRPr="00974DA2">
        <w:rPr>
          <w:rFonts w:ascii="Times New Roman" w:hAnsi="Times New Roman" w:cs="Times New Roman"/>
          <w:szCs w:val="24"/>
          <w:lang w:val="en-US"/>
        </w:rPr>
        <w:t>ChemScore</w:t>
      </w:r>
      <w:proofErr w:type="spellEnd"/>
      <w:r w:rsidR="00FC229E" w:rsidRPr="00974DA2">
        <w:rPr>
          <w:rFonts w:ascii="Times New Roman" w:hAnsi="Times New Roman" w:cs="Times New Roman"/>
          <w:szCs w:val="24"/>
          <w:lang w:val="en-US"/>
        </w:rPr>
        <w:t xml:space="preserve"> fitness function values and</w:t>
      </w:r>
      <w:r w:rsidRPr="00974DA2">
        <w:rPr>
          <w:rFonts w:ascii="Times New Roman" w:hAnsi="Times New Roman" w:cs="Times New Roman"/>
          <w:szCs w:val="24"/>
          <w:lang w:val="en-US"/>
        </w:rPr>
        <w:t xml:space="preserve"> obtained for the selected fragments. </w:t>
      </w: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951"/>
        <w:gridCol w:w="992"/>
        <w:gridCol w:w="993"/>
        <w:gridCol w:w="928"/>
        <w:gridCol w:w="971"/>
        <w:gridCol w:w="1001"/>
        <w:gridCol w:w="983"/>
        <w:gridCol w:w="983"/>
        <w:gridCol w:w="28"/>
      </w:tblGrid>
      <w:tr w:rsidR="00F17A5D" w:rsidRPr="00974DA2" w14:paraId="2544F4A1" w14:textId="77777777" w:rsidTr="00BF3738">
        <w:trPr>
          <w:jc w:val="center"/>
        </w:trPr>
        <w:tc>
          <w:tcPr>
            <w:tcW w:w="704" w:type="dxa"/>
            <w:vMerge w:val="restart"/>
            <w:tcBorders>
              <w:bottom w:val="single" w:sz="4" w:space="0" w:color="auto"/>
            </w:tcBorders>
            <w:shd w:val="clear" w:color="auto" w:fill="auto"/>
            <w:vAlign w:val="center"/>
          </w:tcPr>
          <w:p w14:paraId="0510F072" w14:textId="77777777" w:rsidR="00F17A5D" w:rsidRPr="00974DA2" w:rsidRDefault="00F17A5D" w:rsidP="004B2E33">
            <w:pPr>
              <w:spacing w:after="0" w:line="360" w:lineRule="auto"/>
              <w:jc w:val="center"/>
              <w:rPr>
                <w:rFonts w:ascii="Times New Roman" w:hAnsi="Times New Roman" w:cs="Times New Roman"/>
                <w:sz w:val="18"/>
                <w:szCs w:val="20"/>
                <w:lang w:val="en-US"/>
              </w:rPr>
            </w:pPr>
          </w:p>
        </w:tc>
        <w:tc>
          <w:tcPr>
            <w:tcW w:w="2268" w:type="dxa"/>
            <w:vMerge w:val="restart"/>
            <w:vAlign w:val="center"/>
          </w:tcPr>
          <w:p w14:paraId="75E4F7B0"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t>Structure</w:t>
            </w:r>
          </w:p>
        </w:tc>
        <w:tc>
          <w:tcPr>
            <w:tcW w:w="3864" w:type="dxa"/>
            <w:gridSpan w:val="4"/>
            <w:shd w:val="clear" w:color="auto" w:fill="auto"/>
            <w:vAlign w:val="center"/>
          </w:tcPr>
          <w:p w14:paraId="6BFF1691" w14:textId="77777777" w:rsidR="00F17A5D" w:rsidRPr="00974DA2" w:rsidRDefault="00F17A5D" w:rsidP="004B2E33">
            <w:pPr>
              <w:spacing w:after="0" w:line="360" w:lineRule="auto"/>
              <w:jc w:val="center"/>
              <w:rPr>
                <w:rFonts w:ascii="Times New Roman" w:hAnsi="Times New Roman" w:cs="Times New Roman"/>
                <w:sz w:val="18"/>
                <w:szCs w:val="20"/>
                <w:lang w:val="en-US"/>
              </w:rPr>
            </w:pPr>
            <w:proofErr w:type="spellStart"/>
            <w:r w:rsidRPr="00974DA2">
              <w:rPr>
                <w:rFonts w:ascii="Times New Roman" w:hAnsi="Times New Roman" w:cs="Times New Roman"/>
                <w:sz w:val="18"/>
                <w:szCs w:val="20"/>
                <w:lang w:val="en-US"/>
              </w:rPr>
              <w:t>ChemScore</w:t>
            </w:r>
            <w:proofErr w:type="spellEnd"/>
            <w:r w:rsidRPr="00974DA2">
              <w:rPr>
                <w:rFonts w:ascii="Times New Roman" w:hAnsi="Times New Roman" w:cs="Times New Roman"/>
                <w:sz w:val="18"/>
                <w:szCs w:val="20"/>
                <w:lang w:val="en-US"/>
              </w:rPr>
              <w:t xml:space="preserve"> Fitness Function (CSFF)</w:t>
            </w:r>
          </w:p>
        </w:tc>
        <w:tc>
          <w:tcPr>
            <w:tcW w:w="3966" w:type="dxa"/>
            <w:gridSpan w:val="5"/>
          </w:tcPr>
          <w:p w14:paraId="3411ADCA"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t>AD4.2 Binding energy</w:t>
            </w:r>
          </w:p>
        </w:tc>
      </w:tr>
      <w:tr w:rsidR="00F17A5D" w:rsidRPr="00E37009" w14:paraId="15721F5D" w14:textId="77777777" w:rsidTr="00E37009">
        <w:trPr>
          <w:gridAfter w:val="1"/>
          <w:wAfter w:w="28" w:type="dxa"/>
          <w:jc w:val="center"/>
        </w:trPr>
        <w:tc>
          <w:tcPr>
            <w:tcW w:w="704" w:type="dxa"/>
            <w:vMerge/>
            <w:tcBorders>
              <w:bottom w:val="single" w:sz="4" w:space="0" w:color="auto"/>
            </w:tcBorders>
            <w:shd w:val="clear" w:color="auto" w:fill="auto"/>
            <w:vAlign w:val="center"/>
          </w:tcPr>
          <w:p w14:paraId="61697A96" w14:textId="77777777" w:rsidR="00F17A5D" w:rsidRPr="00974DA2" w:rsidRDefault="00F17A5D" w:rsidP="004B2E33">
            <w:pPr>
              <w:spacing w:after="0" w:line="360" w:lineRule="auto"/>
              <w:jc w:val="center"/>
              <w:rPr>
                <w:rFonts w:ascii="Times New Roman" w:hAnsi="Times New Roman" w:cs="Times New Roman"/>
                <w:sz w:val="18"/>
                <w:szCs w:val="20"/>
                <w:lang w:val="en-US"/>
              </w:rPr>
            </w:pPr>
          </w:p>
        </w:tc>
        <w:tc>
          <w:tcPr>
            <w:tcW w:w="2268" w:type="dxa"/>
            <w:vMerge/>
            <w:vAlign w:val="center"/>
          </w:tcPr>
          <w:p w14:paraId="2690ABE1" w14:textId="77777777" w:rsidR="00F17A5D" w:rsidRPr="00974DA2" w:rsidRDefault="00F17A5D" w:rsidP="004B2E33">
            <w:pPr>
              <w:spacing w:after="0" w:line="360" w:lineRule="auto"/>
              <w:jc w:val="center"/>
              <w:rPr>
                <w:rFonts w:ascii="Times New Roman" w:hAnsi="Times New Roman" w:cs="Times New Roman"/>
                <w:sz w:val="18"/>
                <w:szCs w:val="20"/>
                <w:lang w:val="en-US"/>
              </w:rPr>
            </w:pPr>
          </w:p>
        </w:tc>
        <w:tc>
          <w:tcPr>
            <w:tcW w:w="951" w:type="dxa"/>
            <w:shd w:val="clear" w:color="auto" w:fill="auto"/>
            <w:vAlign w:val="center"/>
          </w:tcPr>
          <w:p w14:paraId="171E92FC"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t>HDAC6</w:t>
            </w:r>
          </w:p>
        </w:tc>
        <w:tc>
          <w:tcPr>
            <w:tcW w:w="992" w:type="dxa"/>
            <w:shd w:val="clear" w:color="auto" w:fill="auto"/>
            <w:vAlign w:val="center"/>
          </w:tcPr>
          <w:p w14:paraId="0AF98286"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t>HDAC1</w:t>
            </w:r>
          </w:p>
        </w:tc>
        <w:tc>
          <w:tcPr>
            <w:tcW w:w="993" w:type="dxa"/>
            <w:shd w:val="clear" w:color="auto" w:fill="auto"/>
            <w:vAlign w:val="center"/>
          </w:tcPr>
          <w:p w14:paraId="21111244"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t>HDAC4</w:t>
            </w:r>
          </w:p>
        </w:tc>
        <w:tc>
          <w:tcPr>
            <w:tcW w:w="928" w:type="dxa"/>
            <w:shd w:val="clear" w:color="auto" w:fill="auto"/>
            <w:vAlign w:val="center"/>
          </w:tcPr>
          <w:p w14:paraId="26F68E66"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t>HDAC8</w:t>
            </w:r>
          </w:p>
        </w:tc>
        <w:tc>
          <w:tcPr>
            <w:tcW w:w="971" w:type="dxa"/>
            <w:shd w:val="clear" w:color="auto" w:fill="auto"/>
            <w:vAlign w:val="center"/>
          </w:tcPr>
          <w:p w14:paraId="5BC1B4C5" w14:textId="77777777" w:rsidR="00F17A5D" w:rsidRPr="00E37009" w:rsidRDefault="00F17A5D" w:rsidP="004B2E33">
            <w:pPr>
              <w:spacing w:after="0" w:line="360" w:lineRule="auto"/>
              <w:jc w:val="center"/>
              <w:rPr>
                <w:rFonts w:ascii="Times New Roman" w:hAnsi="Times New Roman" w:cs="Times New Roman"/>
                <w:sz w:val="18"/>
                <w:szCs w:val="20"/>
                <w:lang w:val="en-US"/>
              </w:rPr>
            </w:pPr>
            <w:r w:rsidRPr="00E37009">
              <w:rPr>
                <w:rFonts w:ascii="Times New Roman" w:hAnsi="Times New Roman" w:cs="Times New Roman"/>
                <w:sz w:val="18"/>
                <w:szCs w:val="20"/>
                <w:lang w:val="en-US"/>
              </w:rPr>
              <w:t>HDAC6</w:t>
            </w:r>
          </w:p>
        </w:tc>
        <w:tc>
          <w:tcPr>
            <w:tcW w:w="1001" w:type="dxa"/>
            <w:shd w:val="clear" w:color="auto" w:fill="auto"/>
            <w:vAlign w:val="center"/>
          </w:tcPr>
          <w:p w14:paraId="3140E1FA" w14:textId="77777777" w:rsidR="00F17A5D" w:rsidRPr="00E37009" w:rsidRDefault="00F17A5D" w:rsidP="004B2E33">
            <w:pPr>
              <w:spacing w:after="0" w:line="360" w:lineRule="auto"/>
              <w:jc w:val="center"/>
              <w:rPr>
                <w:rFonts w:ascii="Times New Roman" w:hAnsi="Times New Roman" w:cs="Times New Roman"/>
                <w:sz w:val="18"/>
                <w:szCs w:val="20"/>
                <w:lang w:val="en-US"/>
              </w:rPr>
            </w:pPr>
            <w:r w:rsidRPr="00E37009">
              <w:rPr>
                <w:rFonts w:ascii="Times New Roman" w:hAnsi="Times New Roman" w:cs="Times New Roman"/>
                <w:sz w:val="18"/>
                <w:szCs w:val="20"/>
                <w:lang w:val="en-US"/>
              </w:rPr>
              <w:t>HDAC1</w:t>
            </w:r>
          </w:p>
        </w:tc>
        <w:tc>
          <w:tcPr>
            <w:tcW w:w="983" w:type="dxa"/>
            <w:shd w:val="clear" w:color="auto" w:fill="auto"/>
            <w:vAlign w:val="center"/>
          </w:tcPr>
          <w:p w14:paraId="212A09B1" w14:textId="77777777" w:rsidR="00F17A5D" w:rsidRPr="00E37009" w:rsidRDefault="00F17A5D" w:rsidP="004B2E33">
            <w:pPr>
              <w:spacing w:after="0" w:line="360" w:lineRule="auto"/>
              <w:jc w:val="center"/>
              <w:rPr>
                <w:rFonts w:ascii="Times New Roman" w:hAnsi="Times New Roman" w:cs="Times New Roman"/>
                <w:sz w:val="18"/>
                <w:szCs w:val="20"/>
                <w:lang w:val="en-US"/>
              </w:rPr>
            </w:pPr>
            <w:r w:rsidRPr="00E37009">
              <w:rPr>
                <w:rFonts w:ascii="Times New Roman" w:hAnsi="Times New Roman" w:cs="Times New Roman"/>
                <w:sz w:val="18"/>
                <w:szCs w:val="20"/>
                <w:lang w:val="en-US"/>
              </w:rPr>
              <w:t>HDAC4</w:t>
            </w:r>
          </w:p>
        </w:tc>
        <w:tc>
          <w:tcPr>
            <w:tcW w:w="983" w:type="dxa"/>
            <w:shd w:val="clear" w:color="auto" w:fill="auto"/>
            <w:vAlign w:val="center"/>
          </w:tcPr>
          <w:p w14:paraId="64C284EB" w14:textId="77777777" w:rsidR="00F17A5D" w:rsidRPr="00E37009" w:rsidRDefault="00F17A5D" w:rsidP="004B2E33">
            <w:pPr>
              <w:spacing w:after="0" w:line="360" w:lineRule="auto"/>
              <w:jc w:val="center"/>
              <w:rPr>
                <w:rFonts w:ascii="Times New Roman" w:hAnsi="Times New Roman" w:cs="Times New Roman"/>
                <w:sz w:val="18"/>
                <w:szCs w:val="20"/>
                <w:lang w:val="en-US"/>
              </w:rPr>
            </w:pPr>
            <w:r w:rsidRPr="00E37009">
              <w:rPr>
                <w:rFonts w:ascii="Times New Roman" w:hAnsi="Times New Roman" w:cs="Times New Roman"/>
                <w:sz w:val="18"/>
                <w:szCs w:val="20"/>
                <w:lang w:val="en-US"/>
              </w:rPr>
              <w:t>HDAC8</w:t>
            </w:r>
          </w:p>
        </w:tc>
      </w:tr>
      <w:tr w:rsidR="00F17A5D" w:rsidRPr="00E37009" w14:paraId="2412F4BE" w14:textId="77777777" w:rsidTr="00974DA2">
        <w:trPr>
          <w:gridAfter w:val="1"/>
          <w:wAfter w:w="28" w:type="dxa"/>
          <w:jc w:val="center"/>
        </w:trPr>
        <w:tc>
          <w:tcPr>
            <w:tcW w:w="704" w:type="dxa"/>
            <w:tcBorders>
              <w:top w:val="single" w:sz="4" w:space="0" w:color="auto"/>
            </w:tcBorders>
            <w:shd w:val="clear" w:color="auto" w:fill="auto"/>
            <w:vAlign w:val="center"/>
          </w:tcPr>
          <w:p w14:paraId="5629ED27"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w:t>
            </w:r>
          </w:p>
        </w:tc>
        <w:tc>
          <w:tcPr>
            <w:tcW w:w="2268" w:type="dxa"/>
            <w:vAlign w:val="center"/>
          </w:tcPr>
          <w:p w14:paraId="217BDE1E"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174" w:dyaOrig="885" w14:anchorId="42E1608C">
                <v:shape id="_x0000_i1065" type="#_x0000_t75" style="width:58.45pt;height:43.95pt" o:ole="">
                  <v:imagedata r:id="rId87" o:title=""/>
                </v:shape>
                <o:OLEObject Type="Embed" ProgID="ChemDraw.Document.6.0" ShapeID="_x0000_i1065" DrawAspect="Content" ObjectID="_1625729693" r:id="rId88"/>
              </w:object>
            </w:r>
          </w:p>
        </w:tc>
        <w:tc>
          <w:tcPr>
            <w:tcW w:w="951" w:type="dxa"/>
            <w:shd w:val="clear" w:color="auto" w:fill="auto"/>
            <w:vAlign w:val="center"/>
          </w:tcPr>
          <w:p w14:paraId="0FE20984" w14:textId="77777777" w:rsidR="00F17A5D" w:rsidRDefault="00F17A5D" w:rsidP="00974DA2">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28</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4898</w:t>
            </w:r>
          </w:p>
          <w:p w14:paraId="5D88E590" w14:textId="5B077994" w:rsidR="00704373" w:rsidRPr="00974DA2" w:rsidRDefault="00704373" w:rsidP="00974DA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NC</w:t>
            </w:r>
          </w:p>
        </w:tc>
        <w:tc>
          <w:tcPr>
            <w:tcW w:w="992" w:type="dxa"/>
            <w:shd w:val="clear" w:color="auto" w:fill="auto"/>
            <w:vAlign w:val="center"/>
          </w:tcPr>
          <w:p w14:paraId="67DBA658"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25.8847</w:t>
            </w:r>
          </w:p>
        </w:tc>
        <w:tc>
          <w:tcPr>
            <w:tcW w:w="993" w:type="dxa"/>
            <w:shd w:val="clear" w:color="auto" w:fill="auto"/>
            <w:vAlign w:val="center"/>
          </w:tcPr>
          <w:p w14:paraId="7089606C"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22.9649</w:t>
            </w:r>
          </w:p>
        </w:tc>
        <w:tc>
          <w:tcPr>
            <w:tcW w:w="928" w:type="dxa"/>
            <w:shd w:val="clear" w:color="auto" w:fill="auto"/>
            <w:vAlign w:val="center"/>
          </w:tcPr>
          <w:p w14:paraId="614502FF"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23.8009</w:t>
            </w:r>
          </w:p>
        </w:tc>
        <w:tc>
          <w:tcPr>
            <w:tcW w:w="971" w:type="dxa"/>
            <w:shd w:val="clear" w:color="auto" w:fill="auto"/>
            <w:vAlign w:val="center"/>
          </w:tcPr>
          <w:p w14:paraId="2F90E2E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-8,77</w:t>
            </w:r>
          </w:p>
        </w:tc>
        <w:tc>
          <w:tcPr>
            <w:tcW w:w="1001" w:type="dxa"/>
            <w:shd w:val="clear" w:color="auto" w:fill="auto"/>
            <w:vAlign w:val="center"/>
          </w:tcPr>
          <w:p w14:paraId="645D91D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-8,54</w:t>
            </w:r>
          </w:p>
        </w:tc>
        <w:tc>
          <w:tcPr>
            <w:tcW w:w="983" w:type="dxa"/>
            <w:shd w:val="clear" w:color="auto" w:fill="auto"/>
            <w:vAlign w:val="center"/>
          </w:tcPr>
          <w:p w14:paraId="74B0710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-8,42</w:t>
            </w:r>
          </w:p>
        </w:tc>
        <w:tc>
          <w:tcPr>
            <w:tcW w:w="983" w:type="dxa"/>
            <w:shd w:val="clear" w:color="auto" w:fill="auto"/>
            <w:vAlign w:val="center"/>
          </w:tcPr>
          <w:p w14:paraId="2FECA21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-8,26</w:t>
            </w:r>
          </w:p>
        </w:tc>
      </w:tr>
      <w:tr w:rsidR="00F17A5D" w:rsidRPr="00E37009" w14:paraId="207347C0" w14:textId="77777777" w:rsidTr="00974DA2">
        <w:trPr>
          <w:gridAfter w:val="1"/>
          <w:wAfter w:w="28" w:type="dxa"/>
          <w:jc w:val="center"/>
        </w:trPr>
        <w:tc>
          <w:tcPr>
            <w:tcW w:w="704" w:type="dxa"/>
            <w:shd w:val="clear" w:color="auto" w:fill="auto"/>
            <w:vAlign w:val="center"/>
          </w:tcPr>
          <w:p w14:paraId="0643F332"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w:t>
            </w:r>
          </w:p>
        </w:tc>
        <w:tc>
          <w:tcPr>
            <w:tcW w:w="2268" w:type="dxa"/>
            <w:vAlign w:val="center"/>
          </w:tcPr>
          <w:p w14:paraId="77D5744A"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094" w:dyaOrig="1073" w14:anchorId="5B41B9A4">
                <v:shape id="_x0000_i1066" type="#_x0000_t75" style="width:55.65pt;height:55.65pt" o:ole="">
                  <v:imagedata r:id="rId33" o:title=""/>
                </v:shape>
                <o:OLEObject Type="Embed" ProgID="ChemDraw.Document.6.0" ShapeID="_x0000_i1066" DrawAspect="Content" ObjectID="_1625729694" r:id="rId89"/>
              </w:object>
            </w:r>
          </w:p>
        </w:tc>
        <w:tc>
          <w:tcPr>
            <w:tcW w:w="951" w:type="dxa"/>
            <w:shd w:val="clear" w:color="auto" w:fill="auto"/>
            <w:vAlign w:val="center"/>
          </w:tcPr>
          <w:p w14:paraId="6F064D60" w14:textId="77777777" w:rsidR="00F17A5D" w:rsidRDefault="00AD2FCF" w:rsidP="00974DA2">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24.</w:t>
            </w:r>
            <w:r w:rsidR="00F17A5D" w:rsidRPr="00974DA2">
              <w:rPr>
                <w:rFonts w:ascii="Times New Roman" w:hAnsi="Times New Roman" w:cs="Times New Roman"/>
                <w:sz w:val="20"/>
                <w:szCs w:val="20"/>
                <w:lang w:val="en-US"/>
              </w:rPr>
              <w:t>9111</w:t>
            </w:r>
          </w:p>
          <w:p w14:paraId="40E95BFB" w14:textId="45C8F354" w:rsidR="00704373" w:rsidRPr="00974DA2" w:rsidRDefault="00704373" w:rsidP="00974DA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NC</w:t>
            </w:r>
          </w:p>
        </w:tc>
        <w:tc>
          <w:tcPr>
            <w:tcW w:w="992" w:type="dxa"/>
            <w:shd w:val="clear" w:color="auto" w:fill="auto"/>
            <w:vAlign w:val="center"/>
          </w:tcPr>
          <w:p w14:paraId="537A8B0B"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23.1529</w:t>
            </w:r>
          </w:p>
        </w:tc>
        <w:tc>
          <w:tcPr>
            <w:tcW w:w="993" w:type="dxa"/>
            <w:shd w:val="clear" w:color="auto" w:fill="auto"/>
            <w:vAlign w:val="center"/>
          </w:tcPr>
          <w:p w14:paraId="1F34FD30"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20.4474</w:t>
            </w:r>
          </w:p>
        </w:tc>
        <w:tc>
          <w:tcPr>
            <w:tcW w:w="928" w:type="dxa"/>
            <w:shd w:val="clear" w:color="auto" w:fill="auto"/>
            <w:vAlign w:val="center"/>
          </w:tcPr>
          <w:p w14:paraId="4EE1EC42"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19.2576</w:t>
            </w:r>
          </w:p>
        </w:tc>
        <w:tc>
          <w:tcPr>
            <w:tcW w:w="971" w:type="dxa"/>
            <w:shd w:val="clear" w:color="auto" w:fill="auto"/>
            <w:vAlign w:val="center"/>
          </w:tcPr>
          <w:p w14:paraId="4C31874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-8,64</w:t>
            </w:r>
          </w:p>
        </w:tc>
        <w:tc>
          <w:tcPr>
            <w:tcW w:w="1001" w:type="dxa"/>
            <w:shd w:val="clear" w:color="auto" w:fill="auto"/>
            <w:vAlign w:val="center"/>
          </w:tcPr>
          <w:p w14:paraId="23208152"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-8,32</w:t>
            </w:r>
          </w:p>
        </w:tc>
        <w:tc>
          <w:tcPr>
            <w:tcW w:w="983" w:type="dxa"/>
            <w:shd w:val="clear" w:color="auto" w:fill="auto"/>
            <w:vAlign w:val="center"/>
          </w:tcPr>
          <w:p w14:paraId="310DF34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-8,32</w:t>
            </w:r>
          </w:p>
        </w:tc>
        <w:tc>
          <w:tcPr>
            <w:tcW w:w="983" w:type="dxa"/>
            <w:shd w:val="clear" w:color="auto" w:fill="auto"/>
            <w:vAlign w:val="center"/>
          </w:tcPr>
          <w:p w14:paraId="7F3B492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-8,17</w:t>
            </w:r>
          </w:p>
        </w:tc>
      </w:tr>
      <w:tr w:rsidR="00F17A5D" w:rsidRPr="00E37009" w14:paraId="2713FBBE" w14:textId="77777777" w:rsidTr="00974DA2">
        <w:trPr>
          <w:gridAfter w:val="1"/>
          <w:wAfter w:w="28" w:type="dxa"/>
          <w:jc w:val="center"/>
        </w:trPr>
        <w:tc>
          <w:tcPr>
            <w:tcW w:w="704" w:type="dxa"/>
            <w:shd w:val="clear" w:color="auto" w:fill="FFFFFF"/>
            <w:vAlign w:val="center"/>
          </w:tcPr>
          <w:p w14:paraId="019442BB"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w:t>
            </w:r>
          </w:p>
        </w:tc>
        <w:tc>
          <w:tcPr>
            <w:tcW w:w="2268" w:type="dxa"/>
            <w:vAlign w:val="center"/>
          </w:tcPr>
          <w:p w14:paraId="2FD0B954"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48" w:dyaOrig="866" w14:anchorId="037BC02B">
                <v:shape id="_x0000_i1067" type="#_x0000_t75" style="width:87.45pt;height:43.5pt" o:ole="">
                  <v:imagedata r:id="rId90" o:title=""/>
                </v:shape>
                <o:OLEObject Type="Embed" ProgID="ChemDraw.Document.6.0" ShapeID="_x0000_i1067" DrawAspect="Content" ObjectID="_1625729695" r:id="rId91"/>
              </w:object>
            </w:r>
          </w:p>
        </w:tc>
        <w:tc>
          <w:tcPr>
            <w:tcW w:w="951" w:type="dxa"/>
            <w:shd w:val="clear" w:color="auto" w:fill="FFFFFF" w:themeFill="background1"/>
            <w:vAlign w:val="center"/>
          </w:tcPr>
          <w:p w14:paraId="7562AA99" w14:textId="750777FD" w:rsidR="00F17A5D" w:rsidRPr="00974DA2" w:rsidRDefault="00AD2FCF"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36.</w:t>
            </w:r>
            <w:r w:rsidR="00F17A5D" w:rsidRPr="00974DA2">
              <w:rPr>
                <w:rFonts w:ascii="Times New Roman" w:hAnsi="Times New Roman" w:cs="Times New Roman"/>
                <w:sz w:val="20"/>
                <w:szCs w:val="20"/>
                <w:lang w:val="en-US"/>
              </w:rPr>
              <w:t>4746</w:t>
            </w:r>
          </w:p>
        </w:tc>
        <w:tc>
          <w:tcPr>
            <w:tcW w:w="992" w:type="dxa"/>
            <w:shd w:val="clear" w:color="auto" w:fill="FFFFFF" w:themeFill="background1"/>
            <w:vAlign w:val="center"/>
          </w:tcPr>
          <w:p w14:paraId="6537A82D" w14:textId="7E14E0AC"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29</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9944</w:t>
            </w:r>
          </w:p>
        </w:tc>
        <w:tc>
          <w:tcPr>
            <w:tcW w:w="993" w:type="dxa"/>
            <w:shd w:val="clear" w:color="auto" w:fill="FFFFFF" w:themeFill="background1"/>
            <w:vAlign w:val="center"/>
          </w:tcPr>
          <w:p w14:paraId="233BC0DC"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30.2654</w:t>
            </w:r>
          </w:p>
        </w:tc>
        <w:tc>
          <w:tcPr>
            <w:tcW w:w="928" w:type="dxa"/>
            <w:shd w:val="clear" w:color="auto" w:fill="FFFFFF" w:themeFill="background1"/>
            <w:vAlign w:val="center"/>
          </w:tcPr>
          <w:p w14:paraId="46626AB9" w14:textId="3EA4BF72"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34</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8795</w:t>
            </w:r>
          </w:p>
        </w:tc>
        <w:tc>
          <w:tcPr>
            <w:tcW w:w="971" w:type="dxa"/>
            <w:shd w:val="clear" w:color="auto" w:fill="auto"/>
            <w:vAlign w:val="center"/>
          </w:tcPr>
          <w:p w14:paraId="48A51AE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-4,26</w:t>
            </w:r>
          </w:p>
        </w:tc>
        <w:tc>
          <w:tcPr>
            <w:tcW w:w="1001" w:type="dxa"/>
            <w:shd w:val="clear" w:color="auto" w:fill="auto"/>
            <w:vAlign w:val="center"/>
          </w:tcPr>
          <w:p w14:paraId="010574F3" w14:textId="15726839" w:rsidR="00F17A5D" w:rsidRPr="00E37009" w:rsidRDefault="00D34E31"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-4,77</w:t>
            </w:r>
          </w:p>
        </w:tc>
        <w:tc>
          <w:tcPr>
            <w:tcW w:w="983" w:type="dxa"/>
            <w:shd w:val="clear" w:color="auto" w:fill="auto"/>
            <w:vAlign w:val="center"/>
          </w:tcPr>
          <w:p w14:paraId="496432C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-5,10</w:t>
            </w:r>
          </w:p>
        </w:tc>
        <w:tc>
          <w:tcPr>
            <w:tcW w:w="983" w:type="dxa"/>
            <w:shd w:val="clear" w:color="auto" w:fill="auto"/>
            <w:vAlign w:val="center"/>
          </w:tcPr>
          <w:p w14:paraId="23FC74A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5,11</w:t>
            </w:r>
          </w:p>
        </w:tc>
      </w:tr>
      <w:tr w:rsidR="00F17A5D" w:rsidRPr="00E37009" w14:paraId="63932268" w14:textId="77777777" w:rsidTr="00974DA2">
        <w:trPr>
          <w:gridAfter w:val="1"/>
          <w:wAfter w:w="28" w:type="dxa"/>
          <w:jc w:val="center"/>
        </w:trPr>
        <w:tc>
          <w:tcPr>
            <w:tcW w:w="704" w:type="dxa"/>
            <w:shd w:val="clear" w:color="auto" w:fill="auto"/>
            <w:vAlign w:val="center"/>
          </w:tcPr>
          <w:p w14:paraId="44AD7008"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4</w:t>
            </w:r>
          </w:p>
        </w:tc>
        <w:tc>
          <w:tcPr>
            <w:tcW w:w="2268" w:type="dxa"/>
            <w:vAlign w:val="center"/>
          </w:tcPr>
          <w:p w14:paraId="4CAFABBC"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090" w:dyaOrig="1205" w14:anchorId="3D87E133">
                <v:shape id="_x0000_i1068" type="#_x0000_t75" style="width:55.65pt;height:60.3pt" o:ole="">
                  <v:imagedata r:id="rId92" o:title=""/>
                </v:shape>
                <o:OLEObject Type="Embed" ProgID="ChemDraw.Document.6.0" ShapeID="_x0000_i1068" DrawAspect="Content" ObjectID="_1625729696" r:id="rId93"/>
              </w:object>
            </w:r>
          </w:p>
        </w:tc>
        <w:tc>
          <w:tcPr>
            <w:tcW w:w="951" w:type="dxa"/>
            <w:shd w:val="clear" w:color="auto" w:fill="FFFFFF" w:themeFill="background1"/>
            <w:vAlign w:val="center"/>
          </w:tcPr>
          <w:p w14:paraId="0A5C3A6B" w14:textId="41A61C7A"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3</w:t>
            </w:r>
            <w:r w:rsidR="00AD2FCF" w:rsidRPr="00974DA2">
              <w:rPr>
                <w:rFonts w:ascii="Times New Roman" w:hAnsi="Times New Roman" w:cs="Times New Roman"/>
                <w:sz w:val="20"/>
                <w:szCs w:val="20"/>
                <w:lang w:val="en-US"/>
              </w:rPr>
              <w:t>1.</w:t>
            </w:r>
            <w:r w:rsidRPr="00974DA2">
              <w:rPr>
                <w:rFonts w:ascii="Times New Roman" w:hAnsi="Times New Roman" w:cs="Times New Roman"/>
                <w:sz w:val="20"/>
                <w:szCs w:val="20"/>
                <w:lang w:val="en-US"/>
              </w:rPr>
              <w:t>1332</w:t>
            </w:r>
          </w:p>
        </w:tc>
        <w:tc>
          <w:tcPr>
            <w:tcW w:w="992" w:type="dxa"/>
            <w:shd w:val="clear" w:color="auto" w:fill="FFFFFF" w:themeFill="background1"/>
            <w:vAlign w:val="center"/>
          </w:tcPr>
          <w:p w14:paraId="0F39DCA9" w14:textId="604A91DE" w:rsidR="00F17A5D" w:rsidRPr="00974DA2" w:rsidRDefault="00AD2FCF"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25.</w:t>
            </w:r>
            <w:r w:rsidR="00F17A5D" w:rsidRPr="00974DA2">
              <w:rPr>
                <w:rFonts w:ascii="Times New Roman" w:hAnsi="Times New Roman" w:cs="Times New Roman"/>
                <w:sz w:val="20"/>
                <w:szCs w:val="20"/>
                <w:lang w:val="en-US"/>
              </w:rPr>
              <w:t>4694</w:t>
            </w:r>
          </w:p>
        </w:tc>
        <w:tc>
          <w:tcPr>
            <w:tcW w:w="993" w:type="dxa"/>
            <w:shd w:val="clear" w:color="auto" w:fill="FFFFFF" w:themeFill="background1"/>
            <w:vAlign w:val="center"/>
          </w:tcPr>
          <w:p w14:paraId="39D3054E" w14:textId="24D5BF0B" w:rsidR="00F17A5D" w:rsidRPr="00D34E31" w:rsidRDefault="00AD2FCF"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30.</w:t>
            </w:r>
            <w:r w:rsidR="00F17A5D" w:rsidRPr="00D34E31">
              <w:rPr>
                <w:rFonts w:ascii="Times New Roman" w:hAnsi="Times New Roman" w:cs="Times New Roman"/>
                <w:sz w:val="20"/>
                <w:szCs w:val="20"/>
                <w:lang w:val="en-US"/>
              </w:rPr>
              <w:t>3946</w:t>
            </w:r>
          </w:p>
        </w:tc>
        <w:tc>
          <w:tcPr>
            <w:tcW w:w="928" w:type="dxa"/>
            <w:shd w:val="clear" w:color="auto" w:fill="FFFFFF" w:themeFill="background1"/>
            <w:vAlign w:val="center"/>
          </w:tcPr>
          <w:p w14:paraId="6F7F46DE" w14:textId="35E7A625"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28</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4444</w:t>
            </w:r>
          </w:p>
        </w:tc>
        <w:tc>
          <w:tcPr>
            <w:tcW w:w="971" w:type="dxa"/>
            <w:shd w:val="clear" w:color="auto" w:fill="auto"/>
            <w:vAlign w:val="center"/>
          </w:tcPr>
          <w:p w14:paraId="00CEA212"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-3,82</w:t>
            </w:r>
          </w:p>
        </w:tc>
        <w:tc>
          <w:tcPr>
            <w:tcW w:w="1001" w:type="dxa"/>
            <w:shd w:val="clear" w:color="auto" w:fill="auto"/>
            <w:vAlign w:val="center"/>
          </w:tcPr>
          <w:p w14:paraId="122C43EA" w14:textId="0E9AD1BA" w:rsidR="00F17A5D" w:rsidRPr="00E37009" w:rsidRDefault="00E37009" w:rsidP="00957BEE">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-4,54</w:t>
            </w:r>
          </w:p>
        </w:tc>
        <w:tc>
          <w:tcPr>
            <w:tcW w:w="983" w:type="dxa"/>
            <w:shd w:val="clear" w:color="auto" w:fill="auto"/>
            <w:vAlign w:val="center"/>
          </w:tcPr>
          <w:p w14:paraId="4736246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-4,65</w:t>
            </w:r>
          </w:p>
        </w:tc>
        <w:tc>
          <w:tcPr>
            <w:tcW w:w="983" w:type="dxa"/>
            <w:shd w:val="clear" w:color="auto" w:fill="auto"/>
            <w:vAlign w:val="center"/>
          </w:tcPr>
          <w:p w14:paraId="031F51D6" w14:textId="3F1A0989"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w:t>
            </w:r>
            <w:r w:rsidR="00E37009">
              <w:rPr>
                <w:rFonts w:ascii="Times New Roman" w:hAnsi="Times New Roman" w:cs="Times New Roman"/>
                <w:sz w:val="20"/>
                <w:szCs w:val="20"/>
                <w:lang w:val="en-US"/>
              </w:rPr>
              <w:t>,84</w:t>
            </w:r>
          </w:p>
        </w:tc>
      </w:tr>
      <w:tr w:rsidR="00F17A5D" w:rsidRPr="00E37009" w14:paraId="3C85AE6C" w14:textId="77777777" w:rsidTr="00974DA2">
        <w:trPr>
          <w:gridAfter w:val="1"/>
          <w:wAfter w:w="28" w:type="dxa"/>
          <w:jc w:val="center"/>
        </w:trPr>
        <w:tc>
          <w:tcPr>
            <w:tcW w:w="704" w:type="dxa"/>
            <w:shd w:val="clear" w:color="auto" w:fill="auto"/>
            <w:vAlign w:val="center"/>
          </w:tcPr>
          <w:p w14:paraId="1E9BDB4F"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5</w:t>
            </w:r>
          </w:p>
        </w:tc>
        <w:tc>
          <w:tcPr>
            <w:tcW w:w="2268" w:type="dxa"/>
            <w:vAlign w:val="center"/>
          </w:tcPr>
          <w:p w14:paraId="5C3922EA" w14:textId="6DEDEC49"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515" w:dyaOrig="1075" w14:anchorId="20D7487B">
                <v:shape id="_x0000_i1069" type="#_x0000_t75" style="width:58.45pt;height:44.9pt" o:ole="">
                  <v:imagedata r:id="rId94" o:title=""/>
                </v:shape>
                <o:OLEObject Type="Embed" ProgID="ChemDraw.Document.6.0" ShapeID="_x0000_i1069" DrawAspect="Content" ObjectID="_1625729697" r:id="rId95"/>
              </w:object>
            </w:r>
          </w:p>
        </w:tc>
        <w:tc>
          <w:tcPr>
            <w:tcW w:w="951" w:type="dxa"/>
            <w:shd w:val="clear" w:color="auto" w:fill="auto"/>
            <w:vAlign w:val="center"/>
          </w:tcPr>
          <w:p w14:paraId="16FD5436" w14:textId="5DA9A909"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26</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874</w:t>
            </w:r>
          </w:p>
        </w:tc>
        <w:tc>
          <w:tcPr>
            <w:tcW w:w="992" w:type="dxa"/>
            <w:shd w:val="clear" w:color="auto" w:fill="auto"/>
            <w:vAlign w:val="center"/>
          </w:tcPr>
          <w:p w14:paraId="0F944FFF"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23.4472</w:t>
            </w:r>
          </w:p>
        </w:tc>
        <w:tc>
          <w:tcPr>
            <w:tcW w:w="993" w:type="dxa"/>
            <w:shd w:val="clear" w:color="auto" w:fill="auto"/>
            <w:vAlign w:val="center"/>
          </w:tcPr>
          <w:p w14:paraId="47CD9BD7"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29.3</w:t>
            </w:r>
          </w:p>
        </w:tc>
        <w:tc>
          <w:tcPr>
            <w:tcW w:w="928" w:type="dxa"/>
            <w:shd w:val="clear" w:color="auto" w:fill="auto"/>
            <w:vAlign w:val="center"/>
          </w:tcPr>
          <w:p w14:paraId="35E05568" w14:textId="77777777" w:rsidR="00F17A5D" w:rsidRPr="00D34E31" w:rsidRDefault="00F17A5D" w:rsidP="004B2E33">
            <w:pPr>
              <w:spacing w:after="0" w:line="240" w:lineRule="auto"/>
              <w:jc w:val="center"/>
              <w:rPr>
                <w:rFonts w:ascii="Times New Roman" w:hAnsi="Times New Roman" w:cs="Times New Roman"/>
                <w:sz w:val="20"/>
                <w:szCs w:val="20"/>
                <w:lang w:val="en-US"/>
              </w:rPr>
            </w:pPr>
            <w:r w:rsidRPr="00D34E31">
              <w:rPr>
                <w:rFonts w:ascii="Times New Roman" w:hAnsi="Times New Roman" w:cs="Times New Roman"/>
                <w:sz w:val="20"/>
                <w:szCs w:val="20"/>
                <w:lang w:val="en-US"/>
              </w:rPr>
              <w:t>25.3496</w:t>
            </w:r>
          </w:p>
        </w:tc>
        <w:tc>
          <w:tcPr>
            <w:tcW w:w="971" w:type="dxa"/>
            <w:shd w:val="clear" w:color="auto" w:fill="auto"/>
            <w:vAlign w:val="center"/>
          </w:tcPr>
          <w:p w14:paraId="7A39498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-4,15</w:t>
            </w:r>
          </w:p>
        </w:tc>
        <w:tc>
          <w:tcPr>
            <w:tcW w:w="1001" w:type="dxa"/>
            <w:shd w:val="clear" w:color="auto" w:fill="auto"/>
            <w:vAlign w:val="center"/>
          </w:tcPr>
          <w:p w14:paraId="02C5A1B9" w14:textId="6492ADEC"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w:t>
            </w:r>
            <w:r w:rsidR="00E37009">
              <w:rPr>
                <w:rFonts w:ascii="Times New Roman" w:hAnsi="Times New Roman" w:cs="Times New Roman"/>
                <w:sz w:val="20"/>
                <w:szCs w:val="20"/>
                <w:lang w:val="en-US"/>
              </w:rPr>
              <w:t>0</w:t>
            </w:r>
          </w:p>
        </w:tc>
        <w:tc>
          <w:tcPr>
            <w:tcW w:w="983" w:type="dxa"/>
            <w:shd w:val="clear" w:color="auto" w:fill="auto"/>
            <w:vAlign w:val="center"/>
          </w:tcPr>
          <w:p w14:paraId="72D9F12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-5,18</w:t>
            </w:r>
          </w:p>
        </w:tc>
        <w:tc>
          <w:tcPr>
            <w:tcW w:w="983" w:type="dxa"/>
            <w:shd w:val="clear" w:color="auto" w:fill="auto"/>
            <w:vAlign w:val="center"/>
          </w:tcPr>
          <w:p w14:paraId="2E06235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-3,89</w:t>
            </w:r>
          </w:p>
        </w:tc>
      </w:tr>
      <w:tr w:rsidR="00F17A5D" w:rsidRPr="00E37009" w14:paraId="753245B4" w14:textId="77777777" w:rsidTr="00974DA2">
        <w:trPr>
          <w:gridAfter w:val="1"/>
          <w:wAfter w:w="28" w:type="dxa"/>
          <w:jc w:val="center"/>
        </w:trPr>
        <w:tc>
          <w:tcPr>
            <w:tcW w:w="704" w:type="dxa"/>
            <w:shd w:val="clear" w:color="auto" w:fill="auto"/>
            <w:vAlign w:val="center"/>
          </w:tcPr>
          <w:p w14:paraId="6F813076"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6</w:t>
            </w:r>
          </w:p>
        </w:tc>
        <w:tc>
          <w:tcPr>
            <w:tcW w:w="2268" w:type="dxa"/>
            <w:vAlign w:val="center"/>
          </w:tcPr>
          <w:p w14:paraId="4A2D06CB" w14:textId="08A52811"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293" w:dyaOrig="1298" w14:anchorId="7E04602F">
                <v:shape id="_x0000_i1070" type="#_x0000_t75" style="width:49.55pt;height:49.55pt" o:ole="">
                  <v:imagedata r:id="rId96" o:title=""/>
                </v:shape>
                <o:OLEObject Type="Embed" ProgID="ChemDraw.Document.6.0" ShapeID="_x0000_i1070" DrawAspect="Content" ObjectID="_1625729698" r:id="rId97"/>
              </w:object>
            </w:r>
          </w:p>
        </w:tc>
        <w:tc>
          <w:tcPr>
            <w:tcW w:w="951" w:type="dxa"/>
            <w:shd w:val="clear" w:color="auto" w:fill="auto"/>
            <w:vAlign w:val="center"/>
          </w:tcPr>
          <w:p w14:paraId="2ECC7CB9" w14:textId="77777777" w:rsidR="00F17A5D" w:rsidRDefault="00F17A5D" w:rsidP="00974DA2">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27</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7006</w:t>
            </w:r>
          </w:p>
          <w:p w14:paraId="5A85174D" w14:textId="3419F62F" w:rsidR="00704373" w:rsidRPr="00974DA2" w:rsidRDefault="00704373" w:rsidP="00974DA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NC</w:t>
            </w:r>
          </w:p>
        </w:tc>
        <w:tc>
          <w:tcPr>
            <w:tcW w:w="992" w:type="dxa"/>
            <w:shd w:val="clear" w:color="auto" w:fill="auto"/>
            <w:vAlign w:val="center"/>
          </w:tcPr>
          <w:p w14:paraId="3EDBCF25" w14:textId="77777777" w:rsidR="00F17A5D" w:rsidRPr="00704373" w:rsidRDefault="00F17A5D" w:rsidP="004B2E33">
            <w:pPr>
              <w:spacing w:after="0" w:line="240" w:lineRule="auto"/>
              <w:jc w:val="center"/>
              <w:rPr>
                <w:rFonts w:ascii="Times New Roman" w:hAnsi="Times New Roman" w:cs="Times New Roman"/>
                <w:sz w:val="20"/>
                <w:szCs w:val="20"/>
                <w:lang w:val="en-US"/>
              </w:rPr>
            </w:pPr>
            <w:r w:rsidRPr="00704373">
              <w:rPr>
                <w:rFonts w:ascii="Times New Roman" w:hAnsi="Times New Roman" w:cs="Times New Roman"/>
                <w:sz w:val="20"/>
                <w:szCs w:val="20"/>
                <w:lang w:val="en-US"/>
              </w:rPr>
              <w:t>26.4165</w:t>
            </w:r>
          </w:p>
        </w:tc>
        <w:tc>
          <w:tcPr>
            <w:tcW w:w="993" w:type="dxa"/>
            <w:shd w:val="clear" w:color="auto" w:fill="auto"/>
            <w:vAlign w:val="center"/>
          </w:tcPr>
          <w:p w14:paraId="11A6A70B" w14:textId="77777777" w:rsidR="00F17A5D" w:rsidRPr="00704373" w:rsidRDefault="00F17A5D" w:rsidP="004B2E33">
            <w:pPr>
              <w:spacing w:after="0" w:line="240" w:lineRule="auto"/>
              <w:jc w:val="center"/>
              <w:rPr>
                <w:rFonts w:ascii="Times New Roman" w:hAnsi="Times New Roman" w:cs="Times New Roman"/>
                <w:sz w:val="20"/>
                <w:szCs w:val="20"/>
                <w:lang w:val="en-US"/>
              </w:rPr>
            </w:pPr>
            <w:r w:rsidRPr="00704373">
              <w:rPr>
                <w:rFonts w:ascii="Times New Roman" w:hAnsi="Times New Roman" w:cs="Times New Roman"/>
                <w:sz w:val="20"/>
                <w:szCs w:val="20"/>
                <w:lang w:val="en-US"/>
              </w:rPr>
              <w:t>26.5247</w:t>
            </w:r>
          </w:p>
        </w:tc>
        <w:tc>
          <w:tcPr>
            <w:tcW w:w="928" w:type="dxa"/>
            <w:shd w:val="clear" w:color="auto" w:fill="auto"/>
            <w:vAlign w:val="center"/>
          </w:tcPr>
          <w:p w14:paraId="41631A5A" w14:textId="77777777" w:rsidR="00F17A5D" w:rsidRPr="00704373" w:rsidRDefault="00F17A5D" w:rsidP="004B2E33">
            <w:pPr>
              <w:spacing w:after="0" w:line="240" w:lineRule="auto"/>
              <w:jc w:val="center"/>
              <w:rPr>
                <w:rFonts w:ascii="Times New Roman" w:hAnsi="Times New Roman" w:cs="Times New Roman"/>
                <w:sz w:val="20"/>
                <w:szCs w:val="20"/>
                <w:lang w:val="en-US"/>
              </w:rPr>
            </w:pPr>
            <w:r w:rsidRPr="00704373">
              <w:rPr>
                <w:rFonts w:ascii="Times New Roman" w:hAnsi="Times New Roman" w:cs="Times New Roman"/>
                <w:sz w:val="20"/>
                <w:szCs w:val="20"/>
                <w:lang w:val="en-US"/>
              </w:rPr>
              <w:t>26.7527</w:t>
            </w:r>
          </w:p>
        </w:tc>
        <w:tc>
          <w:tcPr>
            <w:tcW w:w="971" w:type="dxa"/>
            <w:shd w:val="clear" w:color="auto" w:fill="auto"/>
            <w:vAlign w:val="center"/>
          </w:tcPr>
          <w:p w14:paraId="11F6C1DE" w14:textId="4B20D1DC" w:rsidR="00F17A5D" w:rsidRPr="00E37009" w:rsidRDefault="00E37009" w:rsidP="00957BEE">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-10,59</w:t>
            </w:r>
          </w:p>
        </w:tc>
        <w:tc>
          <w:tcPr>
            <w:tcW w:w="1001" w:type="dxa"/>
            <w:shd w:val="clear" w:color="auto" w:fill="auto"/>
            <w:vAlign w:val="center"/>
          </w:tcPr>
          <w:p w14:paraId="42782CF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-10.98</w:t>
            </w:r>
          </w:p>
        </w:tc>
        <w:tc>
          <w:tcPr>
            <w:tcW w:w="983" w:type="dxa"/>
            <w:shd w:val="clear" w:color="auto" w:fill="auto"/>
            <w:vAlign w:val="center"/>
          </w:tcPr>
          <w:p w14:paraId="1761552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-10,53</w:t>
            </w:r>
          </w:p>
        </w:tc>
        <w:tc>
          <w:tcPr>
            <w:tcW w:w="983" w:type="dxa"/>
            <w:shd w:val="clear" w:color="auto" w:fill="auto"/>
            <w:vAlign w:val="center"/>
          </w:tcPr>
          <w:p w14:paraId="0C0D4C3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-10,95</w:t>
            </w:r>
          </w:p>
        </w:tc>
      </w:tr>
      <w:tr w:rsidR="00F17A5D" w:rsidRPr="00E37009" w14:paraId="4E835E28" w14:textId="77777777" w:rsidTr="00974DA2">
        <w:trPr>
          <w:gridAfter w:val="1"/>
          <w:wAfter w:w="28" w:type="dxa"/>
          <w:jc w:val="center"/>
        </w:trPr>
        <w:tc>
          <w:tcPr>
            <w:tcW w:w="704" w:type="dxa"/>
            <w:shd w:val="clear" w:color="auto" w:fill="auto"/>
            <w:vAlign w:val="center"/>
          </w:tcPr>
          <w:p w14:paraId="24A8F52A"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lastRenderedPageBreak/>
              <w:t>7</w:t>
            </w:r>
          </w:p>
        </w:tc>
        <w:tc>
          <w:tcPr>
            <w:tcW w:w="2268" w:type="dxa"/>
            <w:vAlign w:val="center"/>
          </w:tcPr>
          <w:p w14:paraId="00D21FF5"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47" w:dyaOrig="866" w14:anchorId="08EAF28C">
                <v:shape id="_x0000_i1071" type="#_x0000_t75" style="width:87.45pt;height:43.5pt" o:ole="">
                  <v:imagedata r:id="rId98" o:title=""/>
                </v:shape>
                <o:OLEObject Type="Embed" ProgID="ChemDraw.Document.6.0" ShapeID="_x0000_i1071" DrawAspect="Content" ObjectID="_1625729699" r:id="rId99"/>
              </w:object>
            </w:r>
          </w:p>
        </w:tc>
        <w:tc>
          <w:tcPr>
            <w:tcW w:w="951" w:type="dxa"/>
            <w:shd w:val="clear" w:color="auto" w:fill="auto"/>
            <w:vAlign w:val="center"/>
          </w:tcPr>
          <w:p w14:paraId="1820A95D" w14:textId="3407433A"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36</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5756</w:t>
            </w:r>
          </w:p>
        </w:tc>
        <w:tc>
          <w:tcPr>
            <w:tcW w:w="992" w:type="dxa"/>
            <w:shd w:val="clear" w:color="auto" w:fill="auto"/>
            <w:vAlign w:val="center"/>
          </w:tcPr>
          <w:p w14:paraId="380E0078" w14:textId="57C917E5"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31</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0949</w:t>
            </w:r>
          </w:p>
        </w:tc>
        <w:tc>
          <w:tcPr>
            <w:tcW w:w="993" w:type="dxa"/>
            <w:shd w:val="clear" w:color="auto" w:fill="auto"/>
            <w:vAlign w:val="center"/>
          </w:tcPr>
          <w:p w14:paraId="0C34DCF7"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29.5388</w:t>
            </w:r>
          </w:p>
        </w:tc>
        <w:tc>
          <w:tcPr>
            <w:tcW w:w="928" w:type="dxa"/>
            <w:shd w:val="clear" w:color="auto" w:fill="auto"/>
            <w:vAlign w:val="center"/>
          </w:tcPr>
          <w:p w14:paraId="630DB7F6"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36.8017</w:t>
            </w:r>
          </w:p>
        </w:tc>
        <w:tc>
          <w:tcPr>
            <w:tcW w:w="971" w:type="dxa"/>
            <w:shd w:val="clear" w:color="auto" w:fill="auto"/>
            <w:vAlign w:val="center"/>
          </w:tcPr>
          <w:p w14:paraId="2057361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-4,55</w:t>
            </w:r>
          </w:p>
        </w:tc>
        <w:tc>
          <w:tcPr>
            <w:tcW w:w="1001" w:type="dxa"/>
            <w:shd w:val="clear" w:color="auto" w:fill="auto"/>
            <w:vAlign w:val="center"/>
          </w:tcPr>
          <w:p w14:paraId="4CC3663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-5,24</w:t>
            </w:r>
          </w:p>
        </w:tc>
        <w:tc>
          <w:tcPr>
            <w:tcW w:w="983" w:type="dxa"/>
            <w:shd w:val="clear" w:color="auto" w:fill="auto"/>
            <w:vAlign w:val="center"/>
          </w:tcPr>
          <w:p w14:paraId="7F349BC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-5,36</w:t>
            </w:r>
          </w:p>
        </w:tc>
        <w:tc>
          <w:tcPr>
            <w:tcW w:w="983" w:type="dxa"/>
            <w:shd w:val="clear" w:color="auto" w:fill="auto"/>
            <w:vAlign w:val="center"/>
          </w:tcPr>
          <w:p w14:paraId="2049E92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-4,14</w:t>
            </w:r>
          </w:p>
        </w:tc>
      </w:tr>
      <w:tr w:rsidR="00F17A5D" w:rsidRPr="00E37009" w14:paraId="2A61BEA1" w14:textId="77777777" w:rsidTr="00974DA2">
        <w:trPr>
          <w:gridAfter w:val="1"/>
          <w:wAfter w:w="28" w:type="dxa"/>
          <w:jc w:val="center"/>
        </w:trPr>
        <w:tc>
          <w:tcPr>
            <w:tcW w:w="704" w:type="dxa"/>
            <w:shd w:val="clear" w:color="auto" w:fill="auto"/>
            <w:vAlign w:val="center"/>
          </w:tcPr>
          <w:p w14:paraId="20BFF335"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8</w:t>
            </w:r>
          </w:p>
        </w:tc>
        <w:tc>
          <w:tcPr>
            <w:tcW w:w="2268" w:type="dxa"/>
            <w:vAlign w:val="center"/>
          </w:tcPr>
          <w:p w14:paraId="7EE20773"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47" w:dyaOrig="888" w14:anchorId="3867A7EC">
                <v:shape id="_x0000_i1072" type="#_x0000_t75" style="width:87.45pt;height:43.5pt" o:ole="">
                  <v:imagedata r:id="rId100" o:title=""/>
                </v:shape>
                <o:OLEObject Type="Embed" ProgID="ChemDraw.Document.6.0" ShapeID="_x0000_i1072" DrawAspect="Content" ObjectID="_1625729700" r:id="rId101"/>
              </w:object>
            </w:r>
          </w:p>
        </w:tc>
        <w:tc>
          <w:tcPr>
            <w:tcW w:w="951" w:type="dxa"/>
            <w:shd w:val="clear" w:color="auto" w:fill="auto"/>
            <w:vAlign w:val="center"/>
          </w:tcPr>
          <w:p w14:paraId="4044C6C1" w14:textId="06541F63"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28</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6316</w:t>
            </w:r>
          </w:p>
        </w:tc>
        <w:tc>
          <w:tcPr>
            <w:tcW w:w="992" w:type="dxa"/>
            <w:shd w:val="clear" w:color="auto" w:fill="auto"/>
            <w:vAlign w:val="center"/>
          </w:tcPr>
          <w:p w14:paraId="2989BD3F"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24.1322</w:t>
            </w:r>
          </w:p>
        </w:tc>
        <w:tc>
          <w:tcPr>
            <w:tcW w:w="993" w:type="dxa"/>
            <w:shd w:val="clear" w:color="auto" w:fill="auto"/>
            <w:vAlign w:val="center"/>
          </w:tcPr>
          <w:p w14:paraId="242DD947"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32.0201</w:t>
            </w:r>
          </w:p>
        </w:tc>
        <w:tc>
          <w:tcPr>
            <w:tcW w:w="928" w:type="dxa"/>
            <w:shd w:val="clear" w:color="auto" w:fill="auto"/>
            <w:vAlign w:val="center"/>
          </w:tcPr>
          <w:p w14:paraId="0DF545E6"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26.884</w:t>
            </w:r>
          </w:p>
        </w:tc>
        <w:tc>
          <w:tcPr>
            <w:tcW w:w="971" w:type="dxa"/>
            <w:shd w:val="clear" w:color="auto" w:fill="auto"/>
            <w:vAlign w:val="center"/>
          </w:tcPr>
          <w:p w14:paraId="1587388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-4,53</w:t>
            </w:r>
          </w:p>
        </w:tc>
        <w:tc>
          <w:tcPr>
            <w:tcW w:w="1001" w:type="dxa"/>
            <w:shd w:val="clear" w:color="auto" w:fill="auto"/>
            <w:vAlign w:val="center"/>
          </w:tcPr>
          <w:p w14:paraId="7F8FB6A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-4,70</w:t>
            </w:r>
          </w:p>
        </w:tc>
        <w:tc>
          <w:tcPr>
            <w:tcW w:w="983" w:type="dxa"/>
            <w:shd w:val="clear" w:color="auto" w:fill="auto"/>
            <w:vAlign w:val="center"/>
          </w:tcPr>
          <w:p w14:paraId="475F264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-5,23</w:t>
            </w:r>
          </w:p>
        </w:tc>
        <w:tc>
          <w:tcPr>
            <w:tcW w:w="983" w:type="dxa"/>
            <w:shd w:val="clear" w:color="auto" w:fill="auto"/>
            <w:vAlign w:val="center"/>
          </w:tcPr>
          <w:p w14:paraId="284CEE6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-4,16</w:t>
            </w:r>
          </w:p>
        </w:tc>
      </w:tr>
      <w:tr w:rsidR="00F17A5D" w:rsidRPr="00E37009" w14:paraId="148EE541" w14:textId="77777777" w:rsidTr="00974DA2">
        <w:trPr>
          <w:gridAfter w:val="1"/>
          <w:wAfter w:w="28" w:type="dxa"/>
          <w:jc w:val="center"/>
        </w:trPr>
        <w:tc>
          <w:tcPr>
            <w:tcW w:w="704" w:type="dxa"/>
            <w:shd w:val="clear" w:color="auto" w:fill="auto"/>
            <w:vAlign w:val="center"/>
          </w:tcPr>
          <w:p w14:paraId="02DAF398"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9</w:t>
            </w:r>
          </w:p>
        </w:tc>
        <w:tc>
          <w:tcPr>
            <w:tcW w:w="2268" w:type="dxa"/>
            <w:vAlign w:val="center"/>
          </w:tcPr>
          <w:p w14:paraId="24BFBE2D" w14:textId="41585932"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195" w:dyaOrig="1183" w14:anchorId="7BA1D203">
                <v:shape id="_x0000_i1073" type="#_x0000_t75" style="width:49.1pt;height:49.1pt" o:ole="">
                  <v:imagedata r:id="rId102" o:title=""/>
                </v:shape>
                <o:OLEObject Type="Embed" ProgID="ChemDraw.Document.6.0" ShapeID="_x0000_i1073" DrawAspect="Content" ObjectID="_1625729701" r:id="rId103"/>
              </w:object>
            </w:r>
          </w:p>
        </w:tc>
        <w:tc>
          <w:tcPr>
            <w:tcW w:w="951" w:type="dxa"/>
            <w:shd w:val="clear" w:color="auto" w:fill="auto"/>
            <w:vAlign w:val="center"/>
          </w:tcPr>
          <w:p w14:paraId="6AEF816A" w14:textId="3C3915AF"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26</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9698</w:t>
            </w:r>
          </w:p>
        </w:tc>
        <w:tc>
          <w:tcPr>
            <w:tcW w:w="992" w:type="dxa"/>
            <w:shd w:val="clear" w:color="auto" w:fill="auto"/>
            <w:vAlign w:val="center"/>
          </w:tcPr>
          <w:p w14:paraId="0144B1C7"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21.7664</w:t>
            </w:r>
          </w:p>
        </w:tc>
        <w:tc>
          <w:tcPr>
            <w:tcW w:w="993" w:type="dxa"/>
            <w:shd w:val="clear" w:color="auto" w:fill="auto"/>
            <w:vAlign w:val="center"/>
          </w:tcPr>
          <w:p w14:paraId="4364D2EB"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30.3481</w:t>
            </w:r>
          </w:p>
        </w:tc>
        <w:tc>
          <w:tcPr>
            <w:tcW w:w="928" w:type="dxa"/>
            <w:shd w:val="clear" w:color="auto" w:fill="auto"/>
            <w:vAlign w:val="center"/>
          </w:tcPr>
          <w:p w14:paraId="0DFC60FC"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24.874</w:t>
            </w:r>
          </w:p>
        </w:tc>
        <w:tc>
          <w:tcPr>
            <w:tcW w:w="971" w:type="dxa"/>
            <w:shd w:val="clear" w:color="auto" w:fill="auto"/>
            <w:vAlign w:val="center"/>
          </w:tcPr>
          <w:p w14:paraId="262159C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-4.61</w:t>
            </w:r>
          </w:p>
        </w:tc>
        <w:tc>
          <w:tcPr>
            <w:tcW w:w="1001" w:type="dxa"/>
            <w:shd w:val="clear" w:color="auto" w:fill="auto"/>
            <w:vAlign w:val="center"/>
          </w:tcPr>
          <w:p w14:paraId="687EAE1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-5,41</w:t>
            </w:r>
          </w:p>
        </w:tc>
        <w:tc>
          <w:tcPr>
            <w:tcW w:w="983" w:type="dxa"/>
            <w:shd w:val="clear" w:color="auto" w:fill="auto"/>
            <w:vAlign w:val="center"/>
          </w:tcPr>
          <w:p w14:paraId="5EE89C8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-5,32</w:t>
            </w:r>
          </w:p>
        </w:tc>
        <w:tc>
          <w:tcPr>
            <w:tcW w:w="983" w:type="dxa"/>
            <w:shd w:val="clear" w:color="auto" w:fill="auto"/>
            <w:vAlign w:val="center"/>
          </w:tcPr>
          <w:p w14:paraId="1CCA363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-5,05</w:t>
            </w:r>
          </w:p>
        </w:tc>
      </w:tr>
      <w:tr w:rsidR="00F17A5D" w:rsidRPr="00E37009" w14:paraId="5C1CE288" w14:textId="77777777" w:rsidTr="00974DA2">
        <w:trPr>
          <w:gridAfter w:val="1"/>
          <w:wAfter w:w="28" w:type="dxa"/>
          <w:jc w:val="center"/>
        </w:trPr>
        <w:tc>
          <w:tcPr>
            <w:tcW w:w="704" w:type="dxa"/>
            <w:shd w:val="clear" w:color="auto" w:fill="auto"/>
            <w:vAlign w:val="center"/>
          </w:tcPr>
          <w:p w14:paraId="48FD9919"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10</w:t>
            </w:r>
          </w:p>
        </w:tc>
        <w:tc>
          <w:tcPr>
            <w:tcW w:w="2268" w:type="dxa"/>
            <w:vAlign w:val="center"/>
          </w:tcPr>
          <w:p w14:paraId="43E72D8C" w14:textId="6665A798"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47" w:dyaOrig="1154" w14:anchorId="0A02AFA9">
                <v:shape id="_x0000_i1074" type="#_x0000_t75" style="width:72.45pt;height:49.55pt" o:ole="">
                  <v:imagedata r:id="rId104" o:title=""/>
                </v:shape>
                <o:OLEObject Type="Embed" ProgID="ChemDraw.Document.6.0" ShapeID="_x0000_i1074" DrawAspect="Content" ObjectID="_1625729702" r:id="rId105"/>
              </w:object>
            </w:r>
          </w:p>
        </w:tc>
        <w:tc>
          <w:tcPr>
            <w:tcW w:w="951" w:type="dxa"/>
            <w:shd w:val="clear" w:color="auto" w:fill="auto"/>
            <w:vAlign w:val="center"/>
          </w:tcPr>
          <w:p w14:paraId="16CB290E" w14:textId="5BD80AAC"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25</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1263</w:t>
            </w:r>
          </w:p>
        </w:tc>
        <w:tc>
          <w:tcPr>
            <w:tcW w:w="992" w:type="dxa"/>
            <w:shd w:val="clear" w:color="auto" w:fill="auto"/>
            <w:vAlign w:val="center"/>
          </w:tcPr>
          <w:p w14:paraId="0AF2C5B9"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18.3045</w:t>
            </w:r>
          </w:p>
        </w:tc>
        <w:tc>
          <w:tcPr>
            <w:tcW w:w="993" w:type="dxa"/>
            <w:shd w:val="clear" w:color="auto" w:fill="auto"/>
            <w:vAlign w:val="center"/>
          </w:tcPr>
          <w:p w14:paraId="1E97F033"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27.7834</w:t>
            </w:r>
          </w:p>
        </w:tc>
        <w:tc>
          <w:tcPr>
            <w:tcW w:w="928" w:type="dxa"/>
            <w:shd w:val="clear" w:color="auto" w:fill="auto"/>
            <w:vAlign w:val="center"/>
          </w:tcPr>
          <w:p w14:paraId="45E68B86"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17.9162</w:t>
            </w:r>
          </w:p>
        </w:tc>
        <w:tc>
          <w:tcPr>
            <w:tcW w:w="971" w:type="dxa"/>
            <w:shd w:val="clear" w:color="auto" w:fill="auto"/>
            <w:vAlign w:val="center"/>
          </w:tcPr>
          <w:p w14:paraId="388379F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-4,43</w:t>
            </w:r>
          </w:p>
        </w:tc>
        <w:tc>
          <w:tcPr>
            <w:tcW w:w="1001" w:type="dxa"/>
            <w:shd w:val="clear" w:color="auto" w:fill="auto"/>
            <w:vAlign w:val="center"/>
          </w:tcPr>
          <w:p w14:paraId="26EA838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-5,23</w:t>
            </w:r>
          </w:p>
        </w:tc>
        <w:tc>
          <w:tcPr>
            <w:tcW w:w="983" w:type="dxa"/>
            <w:shd w:val="clear" w:color="auto" w:fill="auto"/>
            <w:vAlign w:val="center"/>
          </w:tcPr>
          <w:p w14:paraId="0DC4652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-5,07</w:t>
            </w:r>
          </w:p>
        </w:tc>
        <w:tc>
          <w:tcPr>
            <w:tcW w:w="983" w:type="dxa"/>
            <w:shd w:val="clear" w:color="auto" w:fill="auto"/>
            <w:vAlign w:val="center"/>
          </w:tcPr>
          <w:p w14:paraId="426948D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-4,73</w:t>
            </w:r>
          </w:p>
        </w:tc>
      </w:tr>
      <w:tr w:rsidR="00F17A5D" w:rsidRPr="00E37009" w14:paraId="0DE03D2F" w14:textId="77777777" w:rsidTr="00974DA2">
        <w:trPr>
          <w:gridAfter w:val="1"/>
          <w:wAfter w:w="28" w:type="dxa"/>
          <w:jc w:val="center"/>
        </w:trPr>
        <w:tc>
          <w:tcPr>
            <w:tcW w:w="704" w:type="dxa"/>
            <w:shd w:val="clear" w:color="auto" w:fill="auto"/>
            <w:vAlign w:val="center"/>
          </w:tcPr>
          <w:p w14:paraId="5B2B679A"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11</w:t>
            </w:r>
          </w:p>
        </w:tc>
        <w:tc>
          <w:tcPr>
            <w:tcW w:w="2268" w:type="dxa"/>
            <w:vAlign w:val="center"/>
          </w:tcPr>
          <w:p w14:paraId="2B3263E0" w14:textId="4CDC234B"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45" w:dyaOrig="1118" w14:anchorId="24198F88">
                <v:shape id="_x0000_i1075" type="#_x0000_t75" style="width:70.6pt;height:44.9pt" o:ole="">
                  <v:imagedata r:id="rId106" o:title=""/>
                </v:shape>
                <o:OLEObject Type="Embed" ProgID="ChemDraw.Document.6.0" ShapeID="_x0000_i1075" DrawAspect="Content" ObjectID="_1625729703" r:id="rId107"/>
              </w:object>
            </w:r>
          </w:p>
        </w:tc>
        <w:tc>
          <w:tcPr>
            <w:tcW w:w="951" w:type="dxa"/>
            <w:shd w:val="clear" w:color="auto" w:fill="auto"/>
            <w:vAlign w:val="center"/>
          </w:tcPr>
          <w:p w14:paraId="472E558D" w14:textId="47E8A48C"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24</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0346</w:t>
            </w:r>
          </w:p>
        </w:tc>
        <w:tc>
          <w:tcPr>
            <w:tcW w:w="992" w:type="dxa"/>
            <w:shd w:val="clear" w:color="auto" w:fill="auto"/>
            <w:vAlign w:val="center"/>
          </w:tcPr>
          <w:p w14:paraId="5794DF82"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22.1933</w:t>
            </w:r>
          </w:p>
        </w:tc>
        <w:tc>
          <w:tcPr>
            <w:tcW w:w="993" w:type="dxa"/>
            <w:shd w:val="clear" w:color="auto" w:fill="auto"/>
            <w:vAlign w:val="center"/>
          </w:tcPr>
          <w:p w14:paraId="054F5D8A"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31.3893</w:t>
            </w:r>
          </w:p>
        </w:tc>
        <w:tc>
          <w:tcPr>
            <w:tcW w:w="928" w:type="dxa"/>
            <w:shd w:val="clear" w:color="auto" w:fill="auto"/>
            <w:vAlign w:val="center"/>
          </w:tcPr>
          <w:p w14:paraId="50C42C68"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25.5807</w:t>
            </w:r>
          </w:p>
        </w:tc>
        <w:tc>
          <w:tcPr>
            <w:tcW w:w="971" w:type="dxa"/>
            <w:shd w:val="clear" w:color="auto" w:fill="auto"/>
            <w:vAlign w:val="center"/>
          </w:tcPr>
          <w:p w14:paraId="10E8713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-4,66</w:t>
            </w:r>
          </w:p>
        </w:tc>
        <w:tc>
          <w:tcPr>
            <w:tcW w:w="1001" w:type="dxa"/>
            <w:shd w:val="clear" w:color="auto" w:fill="auto"/>
            <w:vAlign w:val="center"/>
          </w:tcPr>
          <w:p w14:paraId="404D1AB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-4,98</w:t>
            </w:r>
          </w:p>
        </w:tc>
        <w:tc>
          <w:tcPr>
            <w:tcW w:w="983" w:type="dxa"/>
            <w:shd w:val="clear" w:color="auto" w:fill="auto"/>
            <w:vAlign w:val="center"/>
          </w:tcPr>
          <w:p w14:paraId="6907758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-5,08</w:t>
            </w:r>
          </w:p>
        </w:tc>
        <w:tc>
          <w:tcPr>
            <w:tcW w:w="983" w:type="dxa"/>
            <w:shd w:val="clear" w:color="auto" w:fill="auto"/>
            <w:vAlign w:val="center"/>
          </w:tcPr>
          <w:p w14:paraId="5E340CE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-4,33</w:t>
            </w:r>
          </w:p>
        </w:tc>
      </w:tr>
      <w:tr w:rsidR="00F17A5D" w:rsidRPr="00E37009" w14:paraId="4E56D568" w14:textId="77777777" w:rsidTr="00974DA2">
        <w:trPr>
          <w:gridAfter w:val="1"/>
          <w:wAfter w:w="28" w:type="dxa"/>
          <w:jc w:val="center"/>
        </w:trPr>
        <w:tc>
          <w:tcPr>
            <w:tcW w:w="704" w:type="dxa"/>
            <w:shd w:val="clear" w:color="auto" w:fill="auto"/>
            <w:vAlign w:val="center"/>
          </w:tcPr>
          <w:p w14:paraId="6E97F52F"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12</w:t>
            </w:r>
          </w:p>
        </w:tc>
        <w:tc>
          <w:tcPr>
            <w:tcW w:w="2268" w:type="dxa"/>
            <w:vAlign w:val="center"/>
          </w:tcPr>
          <w:p w14:paraId="56A6065B" w14:textId="00E63F4F"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603" w:dyaOrig="984" w14:anchorId="03A42389">
                <v:shape id="_x0000_i1076" type="#_x0000_t75" style="width:64.05pt;height:40.7pt" o:ole="">
                  <v:imagedata r:id="rId108" o:title=""/>
                </v:shape>
                <o:OLEObject Type="Embed" ProgID="ChemDraw.Document.6.0" ShapeID="_x0000_i1076" DrawAspect="Content" ObjectID="_1625729704" r:id="rId109"/>
              </w:object>
            </w:r>
          </w:p>
        </w:tc>
        <w:tc>
          <w:tcPr>
            <w:tcW w:w="951" w:type="dxa"/>
            <w:shd w:val="clear" w:color="auto" w:fill="auto"/>
            <w:vAlign w:val="center"/>
          </w:tcPr>
          <w:p w14:paraId="3A4EBBAF" w14:textId="0CA6C3B9"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27</w:t>
            </w:r>
            <w:r w:rsidR="00AD2FCF" w:rsidRPr="00974DA2">
              <w:rPr>
                <w:rFonts w:ascii="Times New Roman" w:hAnsi="Times New Roman" w:cs="Times New Roman"/>
                <w:sz w:val="20"/>
                <w:szCs w:val="20"/>
                <w:lang w:val="en-US"/>
              </w:rPr>
              <w:t>.</w:t>
            </w:r>
            <w:r w:rsidRPr="00974DA2">
              <w:rPr>
                <w:rFonts w:ascii="Times New Roman" w:hAnsi="Times New Roman" w:cs="Times New Roman"/>
                <w:sz w:val="20"/>
                <w:szCs w:val="20"/>
                <w:lang w:val="en-US"/>
              </w:rPr>
              <w:t>5129</w:t>
            </w:r>
          </w:p>
          <w:p w14:paraId="7982EE41" w14:textId="77777777" w:rsidR="00F17A5D" w:rsidRPr="00974DA2" w:rsidRDefault="00F17A5D" w:rsidP="004B2E33">
            <w:pPr>
              <w:spacing w:after="0" w:line="240" w:lineRule="auto"/>
              <w:jc w:val="center"/>
              <w:rPr>
                <w:rFonts w:ascii="Times New Roman" w:hAnsi="Times New Roman" w:cs="Times New Roman"/>
                <w:sz w:val="20"/>
                <w:szCs w:val="20"/>
                <w:lang w:val="en-US"/>
              </w:rPr>
            </w:pPr>
            <w:r w:rsidRPr="00974DA2">
              <w:rPr>
                <w:rFonts w:ascii="Times New Roman" w:hAnsi="Times New Roman" w:cs="Times New Roman"/>
                <w:sz w:val="20"/>
                <w:szCs w:val="20"/>
                <w:lang w:val="en-US"/>
              </w:rPr>
              <w:t>NC</w:t>
            </w:r>
          </w:p>
        </w:tc>
        <w:tc>
          <w:tcPr>
            <w:tcW w:w="992" w:type="dxa"/>
            <w:shd w:val="clear" w:color="auto" w:fill="auto"/>
            <w:vAlign w:val="center"/>
          </w:tcPr>
          <w:p w14:paraId="2EFB30F8"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26.2177</w:t>
            </w:r>
          </w:p>
        </w:tc>
        <w:tc>
          <w:tcPr>
            <w:tcW w:w="993" w:type="dxa"/>
            <w:shd w:val="clear" w:color="auto" w:fill="auto"/>
            <w:vAlign w:val="center"/>
          </w:tcPr>
          <w:p w14:paraId="75926F96"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33.1004</w:t>
            </w:r>
          </w:p>
        </w:tc>
        <w:tc>
          <w:tcPr>
            <w:tcW w:w="928" w:type="dxa"/>
            <w:shd w:val="clear" w:color="auto" w:fill="auto"/>
            <w:vAlign w:val="center"/>
          </w:tcPr>
          <w:p w14:paraId="0DCFB100" w14:textId="77777777" w:rsidR="00F17A5D" w:rsidRPr="00E37009" w:rsidRDefault="00F17A5D" w:rsidP="004B2E33">
            <w:pPr>
              <w:spacing w:after="0" w:line="240" w:lineRule="auto"/>
              <w:jc w:val="center"/>
              <w:rPr>
                <w:rFonts w:ascii="Times New Roman" w:hAnsi="Times New Roman" w:cs="Times New Roman"/>
                <w:color w:val="000000"/>
                <w:sz w:val="20"/>
                <w:szCs w:val="20"/>
                <w:lang w:val="en-US"/>
              </w:rPr>
            </w:pPr>
            <w:r w:rsidRPr="00E37009">
              <w:rPr>
                <w:rFonts w:ascii="Times New Roman" w:hAnsi="Times New Roman" w:cs="Times New Roman"/>
                <w:color w:val="000000"/>
                <w:sz w:val="20"/>
                <w:szCs w:val="20"/>
                <w:lang w:val="en-US"/>
              </w:rPr>
              <w:t>25.563</w:t>
            </w:r>
          </w:p>
        </w:tc>
        <w:tc>
          <w:tcPr>
            <w:tcW w:w="971" w:type="dxa"/>
            <w:shd w:val="clear" w:color="auto" w:fill="auto"/>
            <w:vAlign w:val="center"/>
          </w:tcPr>
          <w:p w14:paraId="73C608D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-5,97</w:t>
            </w:r>
          </w:p>
        </w:tc>
        <w:tc>
          <w:tcPr>
            <w:tcW w:w="1001" w:type="dxa"/>
            <w:shd w:val="clear" w:color="auto" w:fill="auto"/>
            <w:vAlign w:val="center"/>
          </w:tcPr>
          <w:p w14:paraId="0F4F0B8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-5,87</w:t>
            </w:r>
          </w:p>
        </w:tc>
        <w:tc>
          <w:tcPr>
            <w:tcW w:w="983" w:type="dxa"/>
            <w:shd w:val="clear" w:color="auto" w:fill="auto"/>
            <w:vAlign w:val="center"/>
          </w:tcPr>
          <w:p w14:paraId="6679529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-8,55</w:t>
            </w:r>
          </w:p>
        </w:tc>
        <w:tc>
          <w:tcPr>
            <w:tcW w:w="983" w:type="dxa"/>
            <w:shd w:val="clear" w:color="auto" w:fill="auto"/>
            <w:vAlign w:val="center"/>
          </w:tcPr>
          <w:p w14:paraId="5761646F" w14:textId="5E87F4CE"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-7</w:t>
            </w:r>
            <w:r w:rsidR="00E37009">
              <w:rPr>
                <w:rFonts w:ascii="Times New Roman" w:hAnsi="Times New Roman" w:cs="Times New Roman"/>
                <w:sz w:val="20"/>
                <w:szCs w:val="20"/>
                <w:lang w:val="en-US"/>
              </w:rPr>
              <w:t>,47</w:t>
            </w:r>
          </w:p>
        </w:tc>
      </w:tr>
      <w:tr w:rsidR="00F17A5D" w:rsidRPr="00E37009" w14:paraId="292ADD36" w14:textId="77777777" w:rsidTr="00974DA2">
        <w:trPr>
          <w:gridAfter w:val="1"/>
          <w:wAfter w:w="28" w:type="dxa"/>
          <w:jc w:val="center"/>
        </w:trPr>
        <w:tc>
          <w:tcPr>
            <w:tcW w:w="704" w:type="dxa"/>
            <w:shd w:val="clear" w:color="auto" w:fill="auto"/>
            <w:vAlign w:val="center"/>
          </w:tcPr>
          <w:p w14:paraId="7445E3E0"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13</w:t>
            </w:r>
          </w:p>
        </w:tc>
        <w:tc>
          <w:tcPr>
            <w:tcW w:w="2268" w:type="dxa"/>
            <w:vAlign w:val="center"/>
          </w:tcPr>
          <w:p w14:paraId="3843F433" w14:textId="47CA3FC8"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2033" w:dyaOrig="1090" w14:anchorId="4AF3EB0D">
                <v:shape id="_x0000_i1077" type="#_x0000_t75" style="width:82.75pt;height:44.9pt" o:ole="">
                  <v:imagedata r:id="rId110" o:title=""/>
                </v:shape>
                <o:OLEObject Type="Embed" ProgID="ChemDraw.Document.6.0" ShapeID="_x0000_i1077" DrawAspect="Content" ObjectID="_1625729705" r:id="rId111"/>
              </w:object>
            </w:r>
          </w:p>
        </w:tc>
        <w:tc>
          <w:tcPr>
            <w:tcW w:w="951" w:type="dxa"/>
            <w:shd w:val="clear" w:color="auto" w:fill="FFFFFF" w:themeFill="background1"/>
            <w:vAlign w:val="center"/>
          </w:tcPr>
          <w:p w14:paraId="21FC0AB1" w14:textId="03655B02"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0564</w:t>
            </w:r>
          </w:p>
        </w:tc>
        <w:tc>
          <w:tcPr>
            <w:tcW w:w="992" w:type="dxa"/>
            <w:shd w:val="clear" w:color="auto" w:fill="FFFFFF" w:themeFill="background1"/>
            <w:vAlign w:val="center"/>
          </w:tcPr>
          <w:p w14:paraId="5D32EAB0" w14:textId="406E911D"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4713</w:t>
            </w:r>
          </w:p>
        </w:tc>
        <w:tc>
          <w:tcPr>
            <w:tcW w:w="993" w:type="dxa"/>
            <w:shd w:val="clear" w:color="auto" w:fill="FFFFFF" w:themeFill="background1"/>
            <w:vAlign w:val="center"/>
          </w:tcPr>
          <w:p w14:paraId="0562393C" w14:textId="663B652E"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2428</w:t>
            </w:r>
          </w:p>
        </w:tc>
        <w:tc>
          <w:tcPr>
            <w:tcW w:w="928" w:type="dxa"/>
            <w:shd w:val="clear" w:color="auto" w:fill="FFFFFF" w:themeFill="background1"/>
            <w:vAlign w:val="center"/>
          </w:tcPr>
          <w:p w14:paraId="243A575D" w14:textId="5CEE1544"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5287</w:t>
            </w:r>
          </w:p>
        </w:tc>
        <w:tc>
          <w:tcPr>
            <w:tcW w:w="971" w:type="dxa"/>
            <w:shd w:val="clear" w:color="auto" w:fill="auto"/>
            <w:vAlign w:val="center"/>
          </w:tcPr>
          <w:p w14:paraId="6D3656D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-5,25</w:t>
            </w:r>
          </w:p>
        </w:tc>
        <w:tc>
          <w:tcPr>
            <w:tcW w:w="1001" w:type="dxa"/>
            <w:shd w:val="clear" w:color="auto" w:fill="auto"/>
            <w:vAlign w:val="center"/>
          </w:tcPr>
          <w:p w14:paraId="58AE379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-5,57</w:t>
            </w:r>
          </w:p>
        </w:tc>
        <w:tc>
          <w:tcPr>
            <w:tcW w:w="983" w:type="dxa"/>
            <w:shd w:val="clear" w:color="auto" w:fill="auto"/>
            <w:vAlign w:val="center"/>
          </w:tcPr>
          <w:p w14:paraId="2E9792C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-5,59</w:t>
            </w:r>
          </w:p>
        </w:tc>
        <w:tc>
          <w:tcPr>
            <w:tcW w:w="983" w:type="dxa"/>
            <w:shd w:val="clear" w:color="auto" w:fill="auto"/>
            <w:vAlign w:val="center"/>
          </w:tcPr>
          <w:p w14:paraId="07E64D2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-5,04</w:t>
            </w:r>
          </w:p>
        </w:tc>
      </w:tr>
      <w:tr w:rsidR="00F17A5D" w:rsidRPr="00E37009" w14:paraId="1254DE8A" w14:textId="77777777" w:rsidTr="00974DA2">
        <w:trPr>
          <w:gridAfter w:val="1"/>
          <w:wAfter w:w="28" w:type="dxa"/>
          <w:jc w:val="center"/>
        </w:trPr>
        <w:tc>
          <w:tcPr>
            <w:tcW w:w="704" w:type="dxa"/>
            <w:shd w:val="clear" w:color="auto" w:fill="auto"/>
            <w:vAlign w:val="center"/>
          </w:tcPr>
          <w:p w14:paraId="6C7526BF"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14</w:t>
            </w:r>
          </w:p>
        </w:tc>
        <w:tc>
          <w:tcPr>
            <w:tcW w:w="2268" w:type="dxa"/>
            <w:vAlign w:val="center"/>
          </w:tcPr>
          <w:p w14:paraId="655C6E30" w14:textId="05469DFB"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872" w:dyaOrig="1102" w14:anchorId="0A8D38FA">
                <v:shape id="_x0000_i1078" type="#_x0000_t75" style="width:76.7pt;height:43.5pt" o:ole="">
                  <v:imagedata r:id="rId41" o:title=""/>
                </v:shape>
                <o:OLEObject Type="Embed" ProgID="ChemDraw.Document.6.0" ShapeID="_x0000_i1078" DrawAspect="Content" ObjectID="_1625729706" r:id="rId112"/>
              </w:object>
            </w:r>
          </w:p>
        </w:tc>
        <w:tc>
          <w:tcPr>
            <w:tcW w:w="951" w:type="dxa"/>
            <w:shd w:val="clear" w:color="auto" w:fill="auto"/>
            <w:vAlign w:val="center"/>
          </w:tcPr>
          <w:p w14:paraId="25FC0A92" w14:textId="48DB5D98"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20</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2314</w:t>
            </w:r>
          </w:p>
          <w:p w14:paraId="512E426D"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NC</w:t>
            </w:r>
          </w:p>
        </w:tc>
        <w:tc>
          <w:tcPr>
            <w:tcW w:w="992" w:type="dxa"/>
            <w:shd w:val="clear" w:color="auto" w:fill="auto"/>
            <w:vAlign w:val="center"/>
          </w:tcPr>
          <w:p w14:paraId="76B7430F"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17.7689</w:t>
            </w:r>
          </w:p>
        </w:tc>
        <w:tc>
          <w:tcPr>
            <w:tcW w:w="993" w:type="dxa"/>
            <w:shd w:val="clear" w:color="auto" w:fill="auto"/>
            <w:vAlign w:val="center"/>
          </w:tcPr>
          <w:p w14:paraId="6F949321"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27.9519</w:t>
            </w:r>
          </w:p>
        </w:tc>
        <w:tc>
          <w:tcPr>
            <w:tcW w:w="928" w:type="dxa"/>
            <w:shd w:val="clear" w:color="auto" w:fill="auto"/>
            <w:vAlign w:val="center"/>
          </w:tcPr>
          <w:p w14:paraId="31DD3C6B"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20.3135</w:t>
            </w:r>
          </w:p>
        </w:tc>
        <w:tc>
          <w:tcPr>
            <w:tcW w:w="971" w:type="dxa"/>
            <w:shd w:val="clear" w:color="auto" w:fill="auto"/>
            <w:vAlign w:val="center"/>
          </w:tcPr>
          <w:p w14:paraId="0F63B03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-5,39</w:t>
            </w:r>
          </w:p>
        </w:tc>
        <w:tc>
          <w:tcPr>
            <w:tcW w:w="1001" w:type="dxa"/>
            <w:shd w:val="clear" w:color="auto" w:fill="auto"/>
            <w:vAlign w:val="center"/>
          </w:tcPr>
          <w:p w14:paraId="7E6BCB3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-5,15</w:t>
            </w:r>
          </w:p>
        </w:tc>
        <w:tc>
          <w:tcPr>
            <w:tcW w:w="983" w:type="dxa"/>
            <w:shd w:val="clear" w:color="auto" w:fill="auto"/>
            <w:vAlign w:val="center"/>
          </w:tcPr>
          <w:p w14:paraId="085F5D9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-5,51</w:t>
            </w:r>
          </w:p>
        </w:tc>
        <w:tc>
          <w:tcPr>
            <w:tcW w:w="983" w:type="dxa"/>
            <w:shd w:val="clear" w:color="auto" w:fill="auto"/>
            <w:vAlign w:val="center"/>
          </w:tcPr>
          <w:p w14:paraId="4D961949" w14:textId="18BD89F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w:t>
            </w:r>
            <w:r w:rsidR="00E37009">
              <w:rPr>
                <w:rFonts w:ascii="Times New Roman" w:hAnsi="Times New Roman" w:cs="Times New Roman"/>
                <w:sz w:val="20"/>
                <w:szCs w:val="20"/>
                <w:lang w:val="en-US"/>
              </w:rPr>
              <w:t>,06</w:t>
            </w:r>
          </w:p>
        </w:tc>
      </w:tr>
      <w:tr w:rsidR="00F17A5D" w:rsidRPr="00E37009" w14:paraId="77044A00" w14:textId="77777777" w:rsidTr="00E37009">
        <w:trPr>
          <w:gridAfter w:val="1"/>
          <w:wAfter w:w="28" w:type="dxa"/>
          <w:jc w:val="center"/>
        </w:trPr>
        <w:tc>
          <w:tcPr>
            <w:tcW w:w="704" w:type="dxa"/>
            <w:shd w:val="clear" w:color="auto" w:fill="auto"/>
            <w:vAlign w:val="center"/>
          </w:tcPr>
          <w:p w14:paraId="5CE9FF84"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lastRenderedPageBreak/>
              <w:t>15</w:t>
            </w:r>
          </w:p>
        </w:tc>
        <w:tc>
          <w:tcPr>
            <w:tcW w:w="2268" w:type="dxa"/>
            <w:vAlign w:val="center"/>
          </w:tcPr>
          <w:p w14:paraId="17FC4B50" w14:textId="5FE66033"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47" w:dyaOrig="1060" w14:anchorId="66CF8DD5">
                <v:shape id="_x0000_i1079" type="#_x0000_t75" style="width:74.8pt;height:46.3pt" o:ole="">
                  <v:imagedata r:id="rId31" o:title=""/>
                </v:shape>
                <o:OLEObject Type="Embed" ProgID="ChemDraw.Document.6.0" ShapeID="_x0000_i1079" DrawAspect="Content" ObjectID="_1625729707" r:id="rId113"/>
              </w:object>
            </w:r>
          </w:p>
        </w:tc>
        <w:tc>
          <w:tcPr>
            <w:tcW w:w="951" w:type="dxa"/>
            <w:shd w:val="clear" w:color="auto" w:fill="auto"/>
            <w:vAlign w:val="center"/>
          </w:tcPr>
          <w:p w14:paraId="44E2062B" w14:textId="4C780B5C"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4989</w:t>
            </w:r>
          </w:p>
          <w:p w14:paraId="2E136BC0"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NC</w:t>
            </w:r>
          </w:p>
        </w:tc>
        <w:tc>
          <w:tcPr>
            <w:tcW w:w="992" w:type="dxa"/>
            <w:shd w:val="clear" w:color="auto" w:fill="auto"/>
            <w:vAlign w:val="center"/>
          </w:tcPr>
          <w:p w14:paraId="3A196D3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31.3672</w:t>
            </w:r>
          </w:p>
        </w:tc>
        <w:tc>
          <w:tcPr>
            <w:tcW w:w="993" w:type="dxa"/>
            <w:shd w:val="clear" w:color="auto" w:fill="auto"/>
            <w:vAlign w:val="center"/>
          </w:tcPr>
          <w:p w14:paraId="7C7F5687"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28.8355</w:t>
            </w:r>
          </w:p>
        </w:tc>
        <w:tc>
          <w:tcPr>
            <w:tcW w:w="928" w:type="dxa"/>
            <w:shd w:val="clear" w:color="auto" w:fill="auto"/>
            <w:vAlign w:val="center"/>
          </w:tcPr>
          <w:p w14:paraId="3C2775CD"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35.3856</w:t>
            </w:r>
          </w:p>
        </w:tc>
        <w:tc>
          <w:tcPr>
            <w:tcW w:w="971" w:type="dxa"/>
            <w:shd w:val="clear" w:color="auto" w:fill="auto"/>
            <w:vAlign w:val="center"/>
          </w:tcPr>
          <w:p w14:paraId="50DEFD9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-4,71</w:t>
            </w:r>
          </w:p>
        </w:tc>
        <w:tc>
          <w:tcPr>
            <w:tcW w:w="1001" w:type="dxa"/>
            <w:shd w:val="clear" w:color="auto" w:fill="auto"/>
            <w:vAlign w:val="center"/>
          </w:tcPr>
          <w:p w14:paraId="15B31B3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-5,55</w:t>
            </w:r>
          </w:p>
        </w:tc>
        <w:tc>
          <w:tcPr>
            <w:tcW w:w="983" w:type="dxa"/>
            <w:shd w:val="clear" w:color="auto" w:fill="auto"/>
            <w:vAlign w:val="center"/>
          </w:tcPr>
          <w:p w14:paraId="1328D26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-5,41</w:t>
            </w:r>
          </w:p>
        </w:tc>
        <w:tc>
          <w:tcPr>
            <w:tcW w:w="983" w:type="dxa"/>
            <w:shd w:val="clear" w:color="auto" w:fill="auto"/>
            <w:vAlign w:val="center"/>
          </w:tcPr>
          <w:p w14:paraId="201C415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-4,87</w:t>
            </w:r>
          </w:p>
        </w:tc>
      </w:tr>
      <w:tr w:rsidR="00F17A5D" w:rsidRPr="00E37009" w14:paraId="2BE8B36F" w14:textId="77777777" w:rsidTr="00E37009">
        <w:trPr>
          <w:gridAfter w:val="1"/>
          <w:wAfter w:w="28" w:type="dxa"/>
          <w:jc w:val="center"/>
        </w:trPr>
        <w:tc>
          <w:tcPr>
            <w:tcW w:w="704" w:type="dxa"/>
            <w:shd w:val="clear" w:color="auto" w:fill="auto"/>
            <w:vAlign w:val="center"/>
          </w:tcPr>
          <w:p w14:paraId="7A97CB32"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16</w:t>
            </w:r>
          </w:p>
        </w:tc>
        <w:tc>
          <w:tcPr>
            <w:tcW w:w="2268" w:type="dxa"/>
            <w:vAlign w:val="center"/>
          </w:tcPr>
          <w:p w14:paraId="2C5B3E44" w14:textId="7FE7B7EA"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980" w:dyaOrig="1180" w14:anchorId="43811B5D">
                <v:shape id="_x0000_i1080" type="#_x0000_t75" style="width:77.6pt;height:46.3pt" o:ole="">
                  <v:imagedata r:id="rId39" o:title=""/>
                </v:shape>
                <o:OLEObject Type="Embed" ProgID="ChemDraw.Document.6.0" ShapeID="_x0000_i1080" DrawAspect="Content" ObjectID="_1625729708" r:id="rId114"/>
              </w:object>
            </w:r>
          </w:p>
        </w:tc>
        <w:tc>
          <w:tcPr>
            <w:tcW w:w="951" w:type="dxa"/>
            <w:shd w:val="clear" w:color="auto" w:fill="FFFFFF" w:themeFill="background1"/>
            <w:vAlign w:val="center"/>
          </w:tcPr>
          <w:p w14:paraId="43708F58" w14:textId="4A74D20F"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8812</w:t>
            </w:r>
          </w:p>
        </w:tc>
        <w:tc>
          <w:tcPr>
            <w:tcW w:w="992" w:type="dxa"/>
            <w:shd w:val="clear" w:color="auto" w:fill="FFFFFF" w:themeFill="background1"/>
            <w:vAlign w:val="center"/>
          </w:tcPr>
          <w:p w14:paraId="5037F83D" w14:textId="10C4D748"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9679</w:t>
            </w:r>
          </w:p>
          <w:p w14:paraId="0E3B0AC3"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I.P.</w:t>
            </w:r>
          </w:p>
        </w:tc>
        <w:tc>
          <w:tcPr>
            <w:tcW w:w="993" w:type="dxa"/>
            <w:shd w:val="clear" w:color="auto" w:fill="FFFFFF" w:themeFill="background1"/>
            <w:vAlign w:val="center"/>
          </w:tcPr>
          <w:p w14:paraId="0A18A313"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30.3291</w:t>
            </w:r>
          </w:p>
        </w:tc>
        <w:tc>
          <w:tcPr>
            <w:tcW w:w="928" w:type="dxa"/>
            <w:shd w:val="clear" w:color="auto" w:fill="FFFFFF" w:themeFill="background1"/>
            <w:vAlign w:val="center"/>
          </w:tcPr>
          <w:p w14:paraId="6E34C746" w14:textId="562FC8C3"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3168</w:t>
            </w:r>
          </w:p>
          <w:p w14:paraId="79CDAB2F" w14:textId="1390CC22" w:rsidR="00F17A5D" w:rsidRPr="00E37009" w:rsidRDefault="00D92F05"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NC</w:t>
            </w:r>
          </w:p>
        </w:tc>
        <w:tc>
          <w:tcPr>
            <w:tcW w:w="971" w:type="dxa"/>
            <w:shd w:val="clear" w:color="auto" w:fill="auto"/>
            <w:vAlign w:val="center"/>
          </w:tcPr>
          <w:p w14:paraId="622D137F"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-5,46</w:t>
            </w:r>
          </w:p>
        </w:tc>
        <w:tc>
          <w:tcPr>
            <w:tcW w:w="1001" w:type="dxa"/>
            <w:shd w:val="clear" w:color="auto" w:fill="auto"/>
            <w:vAlign w:val="center"/>
          </w:tcPr>
          <w:p w14:paraId="7651DED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-6,04</w:t>
            </w:r>
          </w:p>
        </w:tc>
        <w:tc>
          <w:tcPr>
            <w:tcW w:w="983" w:type="dxa"/>
            <w:shd w:val="clear" w:color="auto" w:fill="auto"/>
            <w:vAlign w:val="center"/>
          </w:tcPr>
          <w:p w14:paraId="3DDF4AB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-5,94</w:t>
            </w:r>
          </w:p>
        </w:tc>
        <w:tc>
          <w:tcPr>
            <w:tcW w:w="983" w:type="dxa"/>
            <w:shd w:val="clear" w:color="auto" w:fill="auto"/>
            <w:vAlign w:val="center"/>
          </w:tcPr>
          <w:p w14:paraId="3A42B36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-4,72</w:t>
            </w:r>
          </w:p>
        </w:tc>
      </w:tr>
      <w:tr w:rsidR="00F17A5D" w:rsidRPr="00E37009" w14:paraId="52F23F31" w14:textId="77777777" w:rsidTr="00E37009">
        <w:trPr>
          <w:gridAfter w:val="1"/>
          <w:wAfter w:w="28" w:type="dxa"/>
          <w:jc w:val="center"/>
        </w:trPr>
        <w:tc>
          <w:tcPr>
            <w:tcW w:w="704" w:type="dxa"/>
            <w:shd w:val="clear" w:color="auto" w:fill="auto"/>
            <w:vAlign w:val="center"/>
          </w:tcPr>
          <w:p w14:paraId="19387455"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17</w:t>
            </w:r>
          </w:p>
        </w:tc>
        <w:tc>
          <w:tcPr>
            <w:tcW w:w="2268" w:type="dxa"/>
            <w:vAlign w:val="center"/>
          </w:tcPr>
          <w:p w14:paraId="25D38D8A" w14:textId="2679A106"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692" w:dyaOrig="1219" w14:anchorId="4B03A9B5">
                <v:shape id="_x0000_i1081" type="#_x0000_t75" style="width:70.6pt;height:52.35pt" o:ole="">
                  <v:imagedata r:id="rId23" o:title=""/>
                </v:shape>
                <o:OLEObject Type="Embed" ProgID="ChemDraw.Document.6.0" ShapeID="_x0000_i1081" DrawAspect="Content" ObjectID="_1625729709" r:id="rId115"/>
              </w:object>
            </w:r>
          </w:p>
        </w:tc>
        <w:tc>
          <w:tcPr>
            <w:tcW w:w="951" w:type="dxa"/>
            <w:shd w:val="clear" w:color="auto" w:fill="auto"/>
            <w:vAlign w:val="center"/>
          </w:tcPr>
          <w:p w14:paraId="3FE9A480" w14:textId="656692EE"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18</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3583</w:t>
            </w:r>
          </w:p>
        </w:tc>
        <w:tc>
          <w:tcPr>
            <w:tcW w:w="992" w:type="dxa"/>
            <w:shd w:val="clear" w:color="auto" w:fill="auto"/>
            <w:vAlign w:val="center"/>
          </w:tcPr>
          <w:p w14:paraId="01589347"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26.9367</w:t>
            </w:r>
          </w:p>
        </w:tc>
        <w:tc>
          <w:tcPr>
            <w:tcW w:w="993" w:type="dxa"/>
            <w:shd w:val="clear" w:color="auto" w:fill="auto"/>
            <w:vAlign w:val="center"/>
          </w:tcPr>
          <w:p w14:paraId="3E16B6ED"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31.5964</w:t>
            </w:r>
          </w:p>
        </w:tc>
        <w:tc>
          <w:tcPr>
            <w:tcW w:w="928" w:type="dxa"/>
            <w:shd w:val="clear" w:color="auto" w:fill="auto"/>
            <w:vAlign w:val="center"/>
          </w:tcPr>
          <w:p w14:paraId="08747B6B"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24.9839</w:t>
            </w:r>
          </w:p>
        </w:tc>
        <w:tc>
          <w:tcPr>
            <w:tcW w:w="971" w:type="dxa"/>
            <w:shd w:val="clear" w:color="auto" w:fill="auto"/>
            <w:vAlign w:val="center"/>
          </w:tcPr>
          <w:p w14:paraId="77AF643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-5,68</w:t>
            </w:r>
          </w:p>
        </w:tc>
        <w:tc>
          <w:tcPr>
            <w:tcW w:w="1001" w:type="dxa"/>
            <w:shd w:val="clear" w:color="auto" w:fill="auto"/>
            <w:vAlign w:val="center"/>
          </w:tcPr>
          <w:p w14:paraId="1EA4F34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-6,90</w:t>
            </w:r>
          </w:p>
        </w:tc>
        <w:tc>
          <w:tcPr>
            <w:tcW w:w="983" w:type="dxa"/>
            <w:shd w:val="clear" w:color="auto" w:fill="auto"/>
            <w:vAlign w:val="center"/>
          </w:tcPr>
          <w:p w14:paraId="39163F3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-5,67</w:t>
            </w:r>
          </w:p>
        </w:tc>
        <w:tc>
          <w:tcPr>
            <w:tcW w:w="983" w:type="dxa"/>
            <w:shd w:val="clear" w:color="auto" w:fill="auto"/>
            <w:vAlign w:val="center"/>
          </w:tcPr>
          <w:p w14:paraId="2583F8F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-5,73</w:t>
            </w:r>
          </w:p>
        </w:tc>
      </w:tr>
      <w:tr w:rsidR="00F17A5D" w:rsidRPr="00E37009" w14:paraId="647CBB11" w14:textId="77777777" w:rsidTr="00E37009">
        <w:trPr>
          <w:gridAfter w:val="1"/>
          <w:wAfter w:w="28" w:type="dxa"/>
          <w:jc w:val="center"/>
        </w:trPr>
        <w:tc>
          <w:tcPr>
            <w:tcW w:w="704" w:type="dxa"/>
            <w:shd w:val="clear" w:color="auto" w:fill="auto"/>
            <w:vAlign w:val="center"/>
          </w:tcPr>
          <w:p w14:paraId="326F2E7E"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18</w:t>
            </w:r>
          </w:p>
        </w:tc>
        <w:tc>
          <w:tcPr>
            <w:tcW w:w="2268" w:type="dxa"/>
            <w:vAlign w:val="center"/>
          </w:tcPr>
          <w:p w14:paraId="6E575CA1" w14:textId="16B85F38"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800" w:dyaOrig="1706" w14:anchorId="6692664F">
                <v:shape id="_x0000_i1082" type="#_x0000_t75" style="width:67.3pt;height:64.5pt" o:ole="">
                  <v:imagedata r:id="rId27" o:title=""/>
                </v:shape>
                <o:OLEObject Type="Embed" ProgID="ChemDraw.Document.6.0" ShapeID="_x0000_i1082" DrawAspect="Content" ObjectID="_1625729710" r:id="rId116"/>
              </w:object>
            </w:r>
          </w:p>
        </w:tc>
        <w:tc>
          <w:tcPr>
            <w:tcW w:w="951" w:type="dxa"/>
            <w:shd w:val="clear" w:color="auto" w:fill="auto"/>
            <w:vAlign w:val="center"/>
          </w:tcPr>
          <w:p w14:paraId="288989EC" w14:textId="755B005E"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7814</w:t>
            </w:r>
          </w:p>
        </w:tc>
        <w:tc>
          <w:tcPr>
            <w:tcW w:w="992" w:type="dxa"/>
            <w:shd w:val="clear" w:color="auto" w:fill="auto"/>
            <w:vAlign w:val="center"/>
          </w:tcPr>
          <w:p w14:paraId="3F7CD8E8" w14:textId="4BF33484"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7632</w:t>
            </w:r>
          </w:p>
        </w:tc>
        <w:tc>
          <w:tcPr>
            <w:tcW w:w="993" w:type="dxa"/>
            <w:shd w:val="clear" w:color="auto" w:fill="auto"/>
            <w:vAlign w:val="center"/>
          </w:tcPr>
          <w:p w14:paraId="339A22A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38.0532</w:t>
            </w:r>
          </w:p>
        </w:tc>
        <w:tc>
          <w:tcPr>
            <w:tcW w:w="928" w:type="dxa"/>
            <w:shd w:val="clear" w:color="auto" w:fill="auto"/>
            <w:vAlign w:val="center"/>
          </w:tcPr>
          <w:p w14:paraId="3B2F7F56" w14:textId="47DC3E95"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8265</w:t>
            </w:r>
          </w:p>
        </w:tc>
        <w:tc>
          <w:tcPr>
            <w:tcW w:w="971" w:type="dxa"/>
            <w:shd w:val="clear" w:color="auto" w:fill="auto"/>
            <w:vAlign w:val="center"/>
          </w:tcPr>
          <w:p w14:paraId="2834E1F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-5,22</w:t>
            </w:r>
          </w:p>
        </w:tc>
        <w:tc>
          <w:tcPr>
            <w:tcW w:w="1001" w:type="dxa"/>
            <w:shd w:val="clear" w:color="auto" w:fill="auto"/>
            <w:vAlign w:val="center"/>
          </w:tcPr>
          <w:p w14:paraId="0FCD3412"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-6,32</w:t>
            </w:r>
          </w:p>
        </w:tc>
        <w:tc>
          <w:tcPr>
            <w:tcW w:w="983" w:type="dxa"/>
            <w:shd w:val="clear" w:color="auto" w:fill="auto"/>
            <w:vAlign w:val="center"/>
          </w:tcPr>
          <w:p w14:paraId="4E5355A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-6,69</w:t>
            </w:r>
          </w:p>
        </w:tc>
        <w:tc>
          <w:tcPr>
            <w:tcW w:w="983" w:type="dxa"/>
            <w:shd w:val="clear" w:color="auto" w:fill="auto"/>
            <w:vAlign w:val="center"/>
          </w:tcPr>
          <w:p w14:paraId="6E08D91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-5,01</w:t>
            </w:r>
          </w:p>
        </w:tc>
      </w:tr>
      <w:tr w:rsidR="00F17A5D" w:rsidRPr="00E37009" w14:paraId="712D4E8F" w14:textId="77777777" w:rsidTr="00E37009">
        <w:trPr>
          <w:gridAfter w:val="1"/>
          <w:wAfter w:w="28" w:type="dxa"/>
          <w:jc w:val="center"/>
        </w:trPr>
        <w:tc>
          <w:tcPr>
            <w:tcW w:w="704" w:type="dxa"/>
            <w:shd w:val="clear" w:color="auto" w:fill="auto"/>
            <w:vAlign w:val="center"/>
          </w:tcPr>
          <w:p w14:paraId="20215D1C"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19</w:t>
            </w:r>
          </w:p>
        </w:tc>
        <w:tc>
          <w:tcPr>
            <w:tcW w:w="2268" w:type="dxa"/>
            <w:vAlign w:val="center"/>
          </w:tcPr>
          <w:p w14:paraId="3AFDBE29" w14:textId="6BFF5B1C" w:rsidR="00F17A5D" w:rsidRPr="00974DA2" w:rsidRDefault="00F17A5D" w:rsidP="00F17A5D">
            <w:pPr>
              <w:spacing w:after="0" w:line="360" w:lineRule="auto"/>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2320" w:dyaOrig="943" w14:anchorId="196BD193">
                <v:shape id="_x0000_i1083" type="#_x0000_t75" style="width:87.45pt;height:35.55pt" o:ole="">
                  <v:imagedata r:id="rId15" o:title=""/>
                </v:shape>
                <o:OLEObject Type="Embed" ProgID="ChemDraw.Document.6.0" ShapeID="_x0000_i1083" DrawAspect="Content" ObjectID="_1625729711" r:id="rId117"/>
              </w:object>
            </w:r>
          </w:p>
        </w:tc>
        <w:tc>
          <w:tcPr>
            <w:tcW w:w="951" w:type="dxa"/>
            <w:shd w:val="clear" w:color="auto" w:fill="auto"/>
            <w:vAlign w:val="center"/>
          </w:tcPr>
          <w:p w14:paraId="3374ED35" w14:textId="79BE473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5787</w:t>
            </w:r>
          </w:p>
          <w:p w14:paraId="27BCDA9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I.P.</w:t>
            </w:r>
          </w:p>
        </w:tc>
        <w:tc>
          <w:tcPr>
            <w:tcW w:w="992" w:type="dxa"/>
            <w:shd w:val="clear" w:color="auto" w:fill="auto"/>
            <w:vAlign w:val="center"/>
          </w:tcPr>
          <w:p w14:paraId="131A2ED1"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34.3652</w:t>
            </w:r>
          </w:p>
        </w:tc>
        <w:tc>
          <w:tcPr>
            <w:tcW w:w="993" w:type="dxa"/>
            <w:shd w:val="clear" w:color="auto" w:fill="auto"/>
            <w:vAlign w:val="center"/>
          </w:tcPr>
          <w:p w14:paraId="6E82D39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35.7917</w:t>
            </w:r>
          </w:p>
        </w:tc>
        <w:tc>
          <w:tcPr>
            <w:tcW w:w="928" w:type="dxa"/>
            <w:shd w:val="clear" w:color="auto" w:fill="auto"/>
            <w:vAlign w:val="center"/>
          </w:tcPr>
          <w:p w14:paraId="2BFCA65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28.8893</w:t>
            </w:r>
          </w:p>
        </w:tc>
        <w:tc>
          <w:tcPr>
            <w:tcW w:w="971" w:type="dxa"/>
            <w:shd w:val="clear" w:color="auto" w:fill="auto"/>
            <w:vAlign w:val="center"/>
          </w:tcPr>
          <w:p w14:paraId="16855682"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-6,05</w:t>
            </w:r>
          </w:p>
        </w:tc>
        <w:tc>
          <w:tcPr>
            <w:tcW w:w="1001" w:type="dxa"/>
            <w:shd w:val="clear" w:color="auto" w:fill="auto"/>
            <w:vAlign w:val="center"/>
          </w:tcPr>
          <w:p w14:paraId="14546DF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-6,83</w:t>
            </w:r>
          </w:p>
        </w:tc>
        <w:tc>
          <w:tcPr>
            <w:tcW w:w="983" w:type="dxa"/>
            <w:shd w:val="clear" w:color="auto" w:fill="auto"/>
            <w:vAlign w:val="center"/>
          </w:tcPr>
          <w:p w14:paraId="060BE4D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-6,04</w:t>
            </w:r>
          </w:p>
        </w:tc>
        <w:tc>
          <w:tcPr>
            <w:tcW w:w="983" w:type="dxa"/>
            <w:shd w:val="clear" w:color="auto" w:fill="auto"/>
            <w:vAlign w:val="center"/>
          </w:tcPr>
          <w:p w14:paraId="1157D25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-5,89</w:t>
            </w:r>
          </w:p>
        </w:tc>
      </w:tr>
      <w:tr w:rsidR="00F17A5D" w:rsidRPr="00E37009" w14:paraId="56B886DB" w14:textId="77777777" w:rsidTr="00E37009">
        <w:trPr>
          <w:gridAfter w:val="1"/>
          <w:wAfter w:w="28" w:type="dxa"/>
          <w:jc w:val="center"/>
        </w:trPr>
        <w:tc>
          <w:tcPr>
            <w:tcW w:w="704" w:type="dxa"/>
            <w:shd w:val="clear" w:color="auto" w:fill="auto"/>
            <w:vAlign w:val="center"/>
          </w:tcPr>
          <w:p w14:paraId="722BC6EC"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20</w:t>
            </w:r>
          </w:p>
        </w:tc>
        <w:tc>
          <w:tcPr>
            <w:tcW w:w="2268" w:type="dxa"/>
            <w:vAlign w:val="center"/>
          </w:tcPr>
          <w:p w14:paraId="147B390F" w14:textId="32BEE548"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2435" w:dyaOrig="1329" w14:anchorId="5853A4F4">
                <v:shape id="_x0000_i1084" type="#_x0000_t75" style="width:1in;height:40.2pt" o:ole="">
                  <v:imagedata r:id="rId9" o:title=""/>
                </v:shape>
                <o:OLEObject Type="Embed" ProgID="ChemDraw.Document.6.0" ShapeID="_x0000_i1084" DrawAspect="Content" ObjectID="_1625729712" r:id="rId118"/>
              </w:object>
            </w:r>
          </w:p>
        </w:tc>
        <w:tc>
          <w:tcPr>
            <w:tcW w:w="951" w:type="dxa"/>
            <w:shd w:val="clear" w:color="auto" w:fill="auto"/>
            <w:vAlign w:val="center"/>
          </w:tcPr>
          <w:p w14:paraId="5648A886" w14:textId="236E3AC9"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9226</w:t>
            </w:r>
          </w:p>
        </w:tc>
        <w:tc>
          <w:tcPr>
            <w:tcW w:w="992" w:type="dxa"/>
            <w:shd w:val="clear" w:color="auto" w:fill="auto"/>
            <w:vAlign w:val="center"/>
          </w:tcPr>
          <w:p w14:paraId="3C75FFBC"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18.391</w:t>
            </w:r>
          </w:p>
        </w:tc>
        <w:tc>
          <w:tcPr>
            <w:tcW w:w="993" w:type="dxa"/>
            <w:shd w:val="clear" w:color="auto" w:fill="auto"/>
            <w:vAlign w:val="center"/>
          </w:tcPr>
          <w:p w14:paraId="15E0AE16"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24.9745</w:t>
            </w:r>
          </w:p>
        </w:tc>
        <w:tc>
          <w:tcPr>
            <w:tcW w:w="928" w:type="dxa"/>
            <w:shd w:val="clear" w:color="auto" w:fill="auto"/>
            <w:vAlign w:val="center"/>
          </w:tcPr>
          <w:p w14:paraId="67832CD9"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22.6788</w:t>
            </w:r>
          </w:p>
        </w:tc>
        <w:tc>
          <w:tcPr>
            <w:tcW w:w="971" w:type="dxa"/>
            <w:shd w:val="clear" w:color="auto" w:fill="auto"/>
            <w:vAlign w:val="center"/>
          </w:tcPr>
          <w:p w14:paraId="2E5C7D2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-10,29</w:t>
            </w:r>
          </w:p>
        </w:tc>
        <w:tc>
          <w:tcPr>
            <w:tcW w:w="1001" w:type="dxa"/>
            <w:shd w:val="clear" w:color="auto" w:fill="auto"/>
            <w:vAlign w:val="center"/>
          </w:tcPr>
          <w:p w14:paraId="2D398EA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-7,92</w:t>
            </w:r>
          </w:p>
        </w:tc>
        <w:tc>
          <w:tcPr>
            <w:tcW w:w="983" w:type="dxa"/>
            <w:shd w:val="clear" w:color="auto" w:fill="auto"/>
            <w:vAlign w:val="center"/>
          </w:tcPr>
          <w:p w14:paraId="1422FFA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-9,99</w:t>
            </w:r>
          </w:p>
        </w:tc>
        <w:tc>
          <w:tcPr>
            <w:tcW w:w="983" w:type="dxa"/>
            <w:shd w:val="clear" w:color="auto" w:fill="auto"/>
            <w:vAlign w:val="center"/>
          </w:tcPr>
          <w:p w14:paraId="1DB57E3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-8,43</w:t>
            </w:r>
          </w:p>
        </w:tc>
      </w:tr>
      <w:tr w:rsidR="00F17A5D" w:rsidRPr="00E37009" w14:paraId="21772B62" w14:textId="77777777" w:rsidTr="00E37009">
        <w:trPr>
          <w:gridAfter w:val="1"/>
          <w:wAfter w:w="28" w:type="dxa"/>
          <w:jc w:val="center"/>
        </w:trPr>
        <w:tc>
          <w:tcPr>
            <w:tcW w:w="704" w:type="dxa"/>
            <w:shd w:val="clear" w:color="auto" w:fill="auto"/>
            <w:vAlign w:val="center"/>
          </w:tcPr>
          <w:p w14:paraId="001A6F35"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21</w:t>
            </w:r>
          </w:p>
        </w:tc>
        <w:tc>
          <w:tcPr>
            <w:tcW w:w="2268" w:type="dxa"/>
            <w:vAlign w:val="center"/>
          </w:tcPr>
          <w:p w14:paraId="1128EA19" w14:textId="140B4D8C"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015" w:dyaOrig="1363" w14:anchorId="1BEC1975">
                <v:shape id="_x0000_i1085" type="#_x0000_t75" style="width:38.8pt;height:50.95pt" o:ole="">
                  <v:imagedata r:id="rId61" o:title=""/>
                </v:shape>
                <o:OLEObject Type="Embed" ProgID="ChemDraw.Document.6.0" ShapeID="_x0000_i1085" DrawAspect="Content" ObjectID="_1625729713" r:id="rId119"/>
              </w:object>
            </w:r>
          </w:p>
        </w:tc>
        <w:tc>
          <w:tcPr>
            <w:tcW w:w="951" w:type="dxa"/>
            <w:shd w:val="clear" w:color="auto" w:fill="auto"/>
            <w:vAlign w:val="center"/>
          </w:tcPr>
          <w:p w14:paraId="69A96A24" w14:textId="4FC43073"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5607</w:t>
            </w:r>
          </w:p>
          <w:p w14:paraId="2359E3F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NC</w:t>
            </w:r>
          </w:p>
        </w:tc>
        <w:tc>
          <w:tcPr>
            <w:tcW w:w="992" w:type="dxa"/>
            <w:shd w:val="clear" w:color="auto" w:fill="auto"/>
            <w:vAlign w:val="center"/>
          </w:tcPr>
          <w:p w14:paraId="4A8B549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23.2955</w:t>
            </w:r>
          </w:p>
        </w:tc>
        <w:tc>
          <w:tcPr>
            <w:tcW w:w="993" w:type="dxa"/>
            <w:shd w:val="clear" w:color="auto" w:fill="auto"/>
            <w:vAlign w:val="center"/>
          </w:tcPr>
          <w:p w14:paraId="5E3836B6"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23.4662</w:t>
            </w:r>
          </w:p>
        </w:tc>
        <w:tc>
          <w:tcPr>
            <w:tcW w:w="928" w:type="dxa"/>
            <w:shd w:val="clear" w:color="auto" w:fill="auto"/>
            <w:vAlign w:val="center"/>
          </w:tcPr>
          <w:p w14:paraId="2D97BD8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24.0005</w:t>
            </w:r>
          </w:p>
        </w:tc>
        <w:tc>
          <w:tcPr>
            <w:tcW w:w="971" w:type="dxa"/>
            <w:shd w:val="clear" w:color="auto" w:fill="auto"/>
            <w:vAlign w:val="center"/>
          </w:tcPr>
          <w:p w14:paraId="314DF27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-6,13</w:t>
            </w:r>
          </w:p>
        </w:tc>
        <w:tc>
          <w:tcPr>
            <w:tcW w:w="1001" w:type="dxa"/>
            <w:shd w:val="clear" w:color="auto" w:fill="auto"/>
            <w:vAlign w:val="center"/>
          </w:tcPr>
          <w:p w14:paraId="165B17E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-5,50</w:t>
            </w:r>
          </w:p>
        </w:tc>
        <w:tc>
          <w:tcPr>
            <w:tcW w:w="983" w:type="dxa"/>
            <w:shd w:val="clear" w:color="auto" w:fill="auto"/>
            <w:vAlign w:val="center"/>
          </w:tcPr>
          <w:p w14:paraId="3FB0782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-4,77</w:t>
            </w:r>
          </w:p>
        </w:tc>
        <w:tc>
          <w:tcPr>
            <w:tcW w:w="983" w:type="dxa"/>
            <w:shd w:val="clear" w:color="auto" w:fill="auto"/>
            <w:vAlign w:val="center"/>
          </w:tcPr>
          <w:p w14:paraId="6FFEEA8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-5,03</w:t>
            </w:r>
          </w:p>
        </w:tc>
      </w:tr>
      <w:tr w:rsidR="00F17A5D" w:rsidRPr="00E37009" w14:paraId="3FB57770" w14:textId="77777777" w:rsidTr="00E37009">
        <w:trPr>
          <w:gridAfter w:val="1"/>
          <w:wAfter w:w="28" w:type="dxa"/>
          <w:jc w:val="center"/>
        </w:trPr>
        <w:tc>
          <w:tcPr>
            <w:tcW w:w="704" w:type="dxa"/>
            <w:shd w:val="clear" w:color="auto" w:fill="auto"/>
            <w:vAlign w:val="center"/>
          </w:tcPr>
          <w:p w14:paraId="73C8243E"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22</w:t>
            </w:r>
          </w:p>
        </w:tc>
        <w:tc>
          <w:tcPr>
            <w:tcW w:w="2268" w:type="dxa"/>
            <w:vAlign w:val="center"/>
          </w:tcPr>
          <w:p w14:paraId="60234FF7"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291" w:dyaOrig="629" w14:anchorId="4B9957CC">
                <v:shape id="_x0000_i1086" type="#_x0000_t75" style="width:64.5pt;height:31.3pt" o:ole="">
                  <v:imagedata r:id="rId83" o:title=""/>
                </v:shape>
                <o:OLEObject Type="Embed" ProgID="ChemDraw.Document.6.0" ShapeID="_x0000_i1086" DrawAspect="Content" ObjectID="_1625729714" r:id="rId120"/>
              </w:object>
            </w:r>
          </w:p>
        </w:tc>
        <w:tc>
          <w:tcPr>
            <w:tcW w:w="951" w:type="dxa"/>
            <w:shd w:val="clear" w:color="auto" w:fill="auto"/>
            <w:vAlign w:val="center"/>
          </w:tcPr>
          <w:p w14:paraId="45BF90DF" w14:textId="3822081C"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2003</w:t>
            </w:r>
          </w:p>
        </w:tc>
        <w:tc>
          <w:tcPr>
            <w:tcW w:w="992" w:type="dxa"/>
            <w:shd w:val="clear" w:color="auto" w:fill="auto"/>
            <w:vAlign w:val="center"/>
          </w:tcPr>
          <w:p w14:paraId="61258231"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24.3939</w:t>
            </w:r>
          </w:p>
        </w:tc>
        <w:tc>
          <w:tcPr>
            <w:tcW w:w="993" w:type="dxa"/>
            <w:shd w:val="clear" w:color="auto" w:fill="auto"/>
            <w:vAlign w:val="center"/>
          </w:tcPr>
          <w:p w14:paraId="77008111"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26.7005</w:t>
            </w:r>
          </w:p>
        </w:tc>
        <w:tc>
          <w:tcPr>
            <w:tcW w:w="928" w:type="dxa"/>
            <w:shd w:val="clear" w:color="auto" w:fill="auto"/>
            <w:vAlign w:val="center"/>
          </w:tcPr>
          <w:p w14:paraId="69645F43"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29.7439</w:t>
            </w:r>
          </w:p>
        </w:tc>
        <w:tc>
          <w:tcPr>
            <w:tcW w:w="971" w:type="dxa"/>
            <w:shd w:val="clear" w:color="auto" w:fill="auto"/>
            <w:vAlign w:val="center"/>
          </w:tcPr>
          <w:p w14:paraId="4AA7715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-3,15</w:t>
            </w:r>
          </w:p>
        </w:tc>
        <w:tc>
          <w:tcPr>
            <w:tcW w:w="1001" w:type="dxa"/>
            <w:shd w:val="clear" w:color="auto" w:fill="auto"/>
            <w:vAlign w:val="center"/>
          </w:tcPr>
          <w:p w14:paraId="14B50FC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-3,02</w:t>
            </w:r>
          </w:p>
        </w:tc>
        <w:tc>
          <w:tcPr>
            <w:tcW w:w="983" w:type="dxa"/>
            <w:shd w:val="clear" w:color="auto" w:fill="auto"/>
            <w:vAlign w:val="center"/>
          </w:tcPr>
          <w:p w14:paraId="012BC72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-3,90</w:t>
            </w:r>
          </w:p>
        </w:tc>
        <w:tc>
          <w:tcPr>
            <w:tcW w:w="983" w:type="dxa"/>
            <w:shd w:val="clear" w:color="auto" w:fill="auto"/>
            <w:vAlign w:val="center"/>
          </w:tcPr>
          <w:p w14:paraId="0782CB1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-2,62</w:t>
            </w:r>
          </w:p>
        </w:tc>
      </w:tr>
      <w:tr w:rsidR="00F17A5D" w:rsidRPr="00E37009" w14:paraId="60489A21" w14:textId="77777777" w:rsidTr="00E37009">
        <w:trPr>
          <w:gridAfter w:val="1"/>
          <w:wAfter w:w="28" w:type="dxa"/>
          <w:jc w:val="center"/>
        </w:trPr>
        <w:tc>
          <w:tcPr>
            <w:tcW w:w="704" w:type="dxa"/>
            <w:shd w:val="clear" w:color="auto" w:fill="auto"/>
            <w:vAlign w:val="center"/>
          </w:tcPr>
          <w:p w14:paraId="2FB3D95F"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lastRenderedPageBreak/>
              <w:t>23</w:t>
            </w:r>
          </w:p>
        </w:tc>
        <w:tc>
          <w:tcPr>
            <w:tcW w:w="2268" w:type="dxa"/>
            <w:vAlign w:val="center"/>
          </w:tcPr>
          <w:p w14:paraId="21A6CCDB" w14:textId="014F1879"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90" w:dyaOrig="835" w14:anchorId="54CA1316">
                <v:shape id="_x0000_i1087" type="#_x0000_t75" style="width:78.1pt;height:37.4pt" o:ole="">
                  <v:imagedata r:id="rId63" o:title=""/>
                </v:shape>
                <o:OLEObject Type="Embed" ProgID="ChemDraw.Document.6.0" ShapeID="_x0000_i1087" DrawAspect="Content" ObjectID="_1625729715" r:id="rId121"/>
              </w:object>
            </w:r>
          </w:p>
        </w:tc>
        <w:tc>
          <w:tcPr>
            <w:tcW w:w="951" w:type="dxa"/>
            <w:shd w:val="clear" w:color="auto" w:fill="auto"/>
            <w:vAlign w:val="center"/>
          </w:tcPr>
          <w:p w14:paraId="170DC201" w14:textId="21791658" w:rsidR="00F17A5D" w:rsidRPr="00E37009" w:rsidRDefault="00F17A5D" w:rsidP="00975947">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4268</w:t>
            </w:r>
          </w:p>
        </w:tc>
        <w:tc>
          <w:tcPr>
            <w:tcW w:w="992" w:type="dxa"/>
            <w:shd w:val="clear" w:color="auto" w:fill="auto"/>
            <w:vAlign w:val="center"/>
          </w:tcPr>
          <w:p w14:paraId="05D86F0B"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23.9569</w:t>
            </w:r>
          </w:p>
        </w:tc>
        <w:tc>
          <w:tcPr>
            <w:tcW w:w="993" w:type="dxa"/>
            <w:shd w:val="clear" w:color="auto" w:fill="auto"/>
            <w:vAlign w:val="center"/>
          </w:tcPr>
          <w:p w14:paraId="5B28A1D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21.899</w:t>
            </w:r>
          </w:p>
        </w:tc>
        <w:tc>
          <w:tcPr>
            <w:tcW w:w="928" w:type="dxa"/>
            <w:shd w:val="clear" w:color="auto" w:fill="auto"/>
            <w:vAlign w:val="center"/>
          </w:tcPr>
          <w:p w14:paraId="40D541FE"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26.317</w:t>
            </w:r>
          </w:p>
        </w:tc>
        <w:tc>
          <w:tcPr>
            <w:tcW w:w="971" w:type="dxa"/>
            <w:shd w:val="clear" w:color="auto" w:fill="auto"/>
            <w:vAlign w:val="center"/>
          </w:tcPr>
          <w:p w14:paraId="5051906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-6,22</w:t>
            </w:r>
          </w:p>
        </w:tc>
        <w:tc>
          <w:tcPr>
            <w:tcW w:w="1001" w:type="dxa"/>
            <w:shd w:val="clear" w:color="auto" w:fill="auto"/>
            <w:vAlign w:val="center"/>
          </w:tcPr>
          <w:p w14:paraId="641DA52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-5,53</w:t>
            </w:r>
          </w:p>
        </w:tc>
        <w:tc>
          <w:tcPr>
            <w:tcW w:w="983" w:type="dxa"/>
            <w:shd w:val="clear" w:color="auto" w:fill="auto"/>
            <w:vAlign w:val="center"/>
          </w:tcPr>
          <w:p w14:paraId="6056561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-5,11</w:t>
            </w:r>
          </w:p>
        </w:tc>
        <w:tc>
          <w:tcPr>
            <w:tcW w:w="983" w:type="dxa"/>
            <w:shd w:val="clear" w:color="auto" w:fill="auto"/>
            <w:vAlign w:val="center"/>
          </w:tcPr>
          <w:p w14:paraId="6B31604F"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-5,40</w:t>
            </w:r>
          </w:p>
        </w:tc>
      </w:tr>
      <w:tr w:rsidR="00F17A5D" w:rsidRPr="00E37009" w14:paraId="58E5A71D" w14:textId="77777777" w:rsidTr="00E37009">
        <w:trPr>
          <w:gridAfter w:val="1"/>
          <w:wAfter w:w="28" w:type="dxa"/>
          <w:jc w:val="center"/>
        </w:trPr>
        <w:tc>
          <w:tcPr>
            <w:tcW w:w="704" w:type="dxa"/>
            <w:shd w:val="clear" w:color="auto" w:fill="auto"/>
            <w:vAlign w:val="center"/>
          </w:tcPr>
          <w:p w14:paraId="5C4DBF53"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24</w:t>
            </w:r>
          </w:p>
        </w:tc>
        <w:tc>
          <w:tcPr>
            <w:tcW w:w="2268" w:type="dxa"/>
            <w:vAlign w:val="center"/>
          </w:tcPr>
          <w:p w14:paraId="2DB1BD1A" w14:textId="5E0B3E20"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2085" w:dyaOrig="629" w14:anchorId="674B14FF">
                <v:shape id="_x0000_i1088" type="#_x0000_t75" style="width:94.9pt;height:28.5pt" o:ole="">
                  <v:imagedata r:id="rId81" o:title=""/>
                </v:shape>
                <o:OLEObject Type="Embed" ProgID="ChemDraw.Document.6.0" ShapeID="_x0000_i1088" DrawAspect="Content" ObjectID="_1625729716" r:id="rId122"/>
              </w:object>
            </w:r>
          </w:p>
        </w:tc>
        <w:tc>
          <w:tcPr>
            <w:tcW w:w="951" w:type="dxa"/>
            <w:shd w:val="clear" w:color="auto" w:fill="auto"/>
            <w:vAlign w:val="center"/>
          </w:tcPr>
          <w:p w14:paraId="16B06225" w14:textId="6411725E"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6551</w:t>
            </w:r>
          </w:p>
        </w:tc>
        <w:tc>
          <w:tcPr>
            <w:tcW w:w="992" w:type="dxa"/>
            <w:shd w:val="clear" w:color="auto" w:fill="auto"/>
            <w:vAlign w:val="center"/>
          </w:tcPr>
          <w:p w14:paraId="07B1D4CD"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25.4213</w:t>
            </w:r>
          </w:p>
        </w:tc>
        <w:tc>
          <w:tcPr>
            <w:tcW w:w="993" w:type="dxa"/>
            <w:shd w:val="clear" w:color="auto" w:fill="auto"/>
            <w:vAlign w:val="center"/>
          </w:tcPr>
          <w:p w14:paraId="4C3D682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29.7456</w:t>
            </w:r>
          </w:p>
        </w:tc>
        <w:tc>
          <w:tcPr>
            <w:tcW w:w="928" w:type="dxa"/>
            <w:shd w:val="clear" w:color="auto" w:fill="auto"/>
            <w:vAlign w:val="center"/>
          </w:tcPr>
          <w:p w14:paraId="6AD19C66"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30.341</w:t>
            </w:r>
          </w:p>
        </w:tc>
        <w:tc>
          <w:tcPr>
            <w:tcW w:w="971" w:type="dxa"/>
            <w:shd w:val="clear" w:color="auto" w:fill="auto"/>
            <w:vAlign w:val="center"/>
          </w:tcPr>
          <w:p w14:paraId="0669D50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-3.41</w:t>
            </w:r>
          </w:p>
        </w:tc>
        <w:tc>
          <w:tcPr>
            <w:tcW w:w="1001" w:type="dxa"/>
            <w:shd w:val="clear" w:color="auto" w:fill="auto"/>
            <w:vAlign w:val="center"/>
          </w:tcPr>
          <w:p w14:paraId="251EAE5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-3,51</w:t>
            </w:r>
          </w:p>
        </w:tc>
        <w:tc>
          <w:tcPr>
            <w:tcW w:w="983" w:type="dxa"/>
            <w:shd w:val="clear" w:color="auto" w:fill="auto"/>
            <w:vAlign w:val="center"/>
          </w:tcPr>
          <w:p w14:paraId="2512DA9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-4,83</w:t>
            </w:r>
          </w:p>
        </w:tc>
        <w:tc>
          <w:tcPr>
            <w:tcW w:w="983" w:type="dxa"/>
            <w:shd w:val="clear" w:color="auto" w:fill="auto"/>
            <w:vAlign w:val="center"/>
          </w:tcPr>
          <w:p w14:paraId="5F58489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-2,33</w:t>
            </w:r>
          </w:p>
        </w:tc>
      </w:tr>
      <w:tr w:rsidR="00F17A5D" w:rsidRPr="00E37009" w14:paraId="58441D88" w14:textId="77777777" w:rsidTr="00E37009">
        <w:trPr>
          <w:gridAfter w:val="1"/>
          <w:wAfter w:w="28" w:type="dxa"/>
          <w:jc w:val="center"/>
        </w:trPr>
        <w:tc>
          <w:tcPr>
            <w:tcW w:w="704" w:type="dxa"/>
            <w:shd w:val="clear" w:color="auto" w:fill="auto"/>
            <w:vAlign w:val="center"/>
          </w:tcPr>
          <w:p w14:paraId="7D48F0B4"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25</w:t>
            </w:r>
          </w:p>
        </w:tc>
        <w:tc>
          <w:tcPr>
            <w:tcW w:w="2268" w:type="dxa"/>
            <w:vAlign w:val="center"/>
          </w:tcPr>
          <w:p w14:paraId="72471C2E" w14:textId="743D8A4C"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917" w:dyaOrig="670" w14:anchorId="46716AF4">
                <v:shape id="_x0000_i1089" type="#_x0000_t75" style="width:90.25pt;height:30.4pt" o:ole="">
                  <v:imagedata r:id="rId59" o:title=""/>
                </v:shape>
                <o:OLEObject Type="Embed" ProgID="ChemDraw.Document.6.0" ShapeID="_x0000_i1089" DrawAspect="Content" ObjectID="_1625729717" r:id="rId123"/>
              </w:object>
            </w:r>
          </w:p>
        </w:tc>
        <w:tc>
          <w:tcPr>
            <w:tcW w:w="951" w:type="dxa"/>
            <w:shd w:val="clear" w:color="auto" w:fill="auto"/>
            <w:vAlign w:val="center"/>
          </w:tcPr>
          <w:p w14:paraId="2D10F50B" w14:textId="75E19E9A"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245</w:t>
            </w:r>
          </w:p>
        </w:tc>
        <w:tc>
          <w:tcPr>
            <w:tcW w:w="992" w:type="dxa"/>
            <w:shd w:val="clear" w:color="auto" w:fill="auto"/>
            <w:vAlign w:val="center"/>
          </w:tcPr>
          <w:p w14:paraId="7E9562DC"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25.8947</w:t>
            </w:r>
          </w:p>
        </w:tc>
        <w:tc>
          <w:tcPr>
            <w:tcW w:w="993" w:type="dxa"/>
            <w:shd w:val="clear" w:color="auto" w:fill="auto"/>
            <w:vAlign w:val="center"/>
          </w:tcPr>
          <w:p w14:paraId="43FE972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31.5518</w:t>
            </w:r>
          </w:p>
        </w:tc>
        <w:tc>
          <w:tcPr>
            <w:tcW w:w="928" w:type="dxa"/>
            <w:shd w:val="clear" w:color="auto" w:fill="auto"/>
            <w:vAlign w:val="center"/>
          </w:tcPr>
          <w:p w14:paraId="18F93EC9"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32.2114</w:t>
            </w:r>
          </w:p>
        </w:tc>
        <w:tc>
          <w:tcPr>
            <w:tcW w:w="971" w:type="dxa"/>
            <w:shd w:val="clear" w:color="auto" w:fill="auto"/>
            <w:vAlign w:val="center"/>
          </w:tcPr>
          <w:p w14:paraId="2CEA5E6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-2.74</w:t>
            </w:r>
          </w:p>
        </w:tc>
        <w:tc>
          <w:tcPr>
            <w:tcW w:w="1001" w:type="dxa"/>
            <w:shd w:val="clear" w:color="auto" w:fill="auto"/>
            <w:vAlign w:val="center"/>
          </w:tcPr>
          <w:p w14:paraId="3634E798"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-2,93</w:t>
            </w:r>
          </w:p>
        </w:tc>
        <w:tc>
          <w:tcPr>
            <w:tcW w:w="983" w:type="dxa"/>
            <w:shd w:val="clear" w:color="auto" w:fill="auto"/>
            <w:vAlign w:val="center"/>
          </w:tcPr>
          <w:p w14:paraId="26A578F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-4,82</w:t>
            </w:r>
          </w:p>
        </w:tc>
        <w:tc>
          <w:tcPr>
            <w:tcW w:w="983" w:type="dxa"/>
            <w:shd w:val="clear" w:color="auto" w:fill="auto"/>
            <w:vAlign w:val="center"/>
          </w:tcPr>
          <w:p w14:paraId="351DEE1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-1,35</w:t>
            </w:r>
          </w:p>
        </w:tc>
      </w:tr>
      <w:tr w:rsidR="00F17A5D" w:rsidRPr="00E37009" w14:paraId="325B7054" w14:textId="77777777" w:rsidTr="00E37009">
        <w:trPr>
          <w:gridAfter w:val="1"/>
          <w:wAfter w:w="28" w:type="dxa"/>
          <w:jc w:val="center"/>
        </w:trPr>
        <w:tc>
          <w:tcPr>
            <w:tcW w:w="704" w:type="dxa"/>
            <w:shd w:val="clear" w:color="auto" w:fill="auto"/>
            <w:vAlign w:val="center"/>
          </w:tcPr>
          <w:p w14:paraId="482DCC30"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26</w:t>
            </w:r>
          </w:p>
        </w:tc>
        <w:tc>
          <w:tcPr>
            <w:tcW w:w="2268" w:type="dxa"/>
            <w:vAlign w:val="center"/>
          </w:tcPr>
          <w:p w14:paraId="1FFF28DA" w14:textId="38DC661B"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910" w:dyaOrig="713" w14:anchorId="0820F733">
                <v:shape id="_x0000_i1090" type="#_x0000_t75" style="width:87.45pt;height:33.2pt" o:ole="">
                  <v:imagedata r:id="rId53" o:title=""/>
                </v:shape>
                <o:OLEObject Type="Embed" ProgID="ChemDraw.Document.6.0" ShapeID="_x0000_i1090" DrawAspect="Content" ObjectID="_1625729718" r:id="rId124"/>
              </w:object>
            </w:r>
          </w:p>
        </w:tc>
        <w:tc>
          <w:tcPr>
            <w:tcW w:w="951" w:type="dxa"/>
            <w:shd w:val="clear" w:color="auto" w:fill="auto"/>
            <w:vAlign w:val="center"/>
          </w:tcPr>
          <w:p w14:paraId="1ACEFDC0" w14:textId="544431BA"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0273</w:t>
            </w:r>
          </w:p>
        </w:tc>
        <w:tc>
          <w:tcPr>
            <w:tcW w:w="992" w:type="dxa"/>
            <w:shd w:val="clear" w:color="auto" w:fill="auto"/>
            <w:vAlign w:val="center"/>
          </w:tcPr>
          <w:p w14:paraId="11E97E5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24.1715</w:t>
            </w:r>
          </w:p>
        </w:tc>
        <w:tc>
          <w:tcPr>
            <w:tcW w:w="993" w:type="dxa"/>
            <w:shd w:val="clear" w:color="auto" w:fill="auto"/>
            <w:vAlign w:val="center"/>
          </w:tcPr>
          <w:p w14:paraId="45A00C3F"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30.4741</w:t>
            </w:r>
          </w:p>
        </w:tc>
        <w:tc>
          <w:tcPr>
            <w:tcW w:w="928" w:type="dxa"/>
            <w:shd w:val="clear" w:color="auto" w:fill="auto"/>
            <w:vAlign w:val="center"/>
          </w:tcPr>
          <w:p w14:paraId="28029B6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32.6607</w:t>
            </w:r>
          </w:p>
        </w:tc>
        <w:tc>
          <w:tcPr>
            <w:tcW w:w="971" w:type="dxa"/>
            <w:shd w:val="clear" w:color="auto" w:fill="auto"/>
            <w:vAlign w:val="center"/>
          </w:tcPr>
          <w:p w14:paraId="0710F2C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-2,69</w:t>
            </w:r>
          </w:p>
        </w:tc>
        <w:tc>
          <w:tcPr>
            <w:tcW w:w="1001" w:type="dxa"/>
            <w:shd w:val="clear" w:color="auto" w:fill="auto"/>
            <w:vAlign w:val="center"/>
          </w:tcPr>
          <w:p w14:paraId="303E516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-3,07</w:t>
            </w:r>
          </w:p>
        </w:tc>
        <w:tc>
          <w:tcPr>
            <w:tcW w:w="983" w:type="dxa"/>
            <w:shd w:val="clear" w:color="auto" w:fill="auto"/>
            <w:vAlign w:val="center"/>
          </w:tcPr>
          <w:p w14:paraId="61C67E9D"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-5,12</w:t>
            </w:r>
          </w:p>
        </w:tc>
        <w:tc>
          <w:tcPr>
            <w:tcW w:w="983" w:type="dxa"/>
            <w:shd w:val="clear" w:color="auto" w:fill="auto"/>
            <w:vAlign w:val="center"/>
          </w:tcPr>
          <w:p w14:paraId="16F439D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-1,26</w:t>
            </w:r>
          </w:p>
        </w:tc>
      </w:tr>
      <w:tr w:rsidR="00F17A5D" w:rsidRPr="00E37009" w14:paraId="5A301D83" w14:textId="77777777" w:rsidTr="00E37009">
        <w:trPr>
          <w:gridAfter w:val="1"/>
          <w:wAfter w:w="28" w:type="dxa"/>
          <w:jc w:val="center"/>
        </w:trPr>
        <w:tc>
          <w:tcPr>
            <w:tcW w:w="704" w:type="dxa"/>
            <w:shd w:val="clear" w:color="auto" w:fill="auto"/>
            <w:vAlign w:val="center"/>
          </w:tcPr>
          <w:p w14:paraId="78F11915"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27</w:t>
            </w:r>
          </w:p>
        </w:tc>
        <w:tc>
          <w:tcPr>
            <w:tcW w:w="2268" w:type="dxa"/>
            <w:vAlign w:val="center"/>
          </w:tcPr>
          <w:p w14:paraId="545C4146" w14:textId="6844FD1D"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839" w:dyaOrig="1000" w14:anchorId="73B809DC">
                <v:shape id="_x0000_i1091" type="#_x0000_t75" style="width:76.2pt;height:43.5pt" o:ole="">
                  <v:imagedata r:id="rId47" o:title=""/>
                </v:shape>
                <o:OLEObject Type="Embed" ProgID="ChemDraw.Document.6.0" ShapeID="_x0000_i1091" DrawAspect="Content" ObjectID="_1625729719" r:id="rId125"/>
              </w:object>
            </w:r>
          </w:p>
        </w:tc>
        <w:tc>
          <w:tcPr>
            <w:tcW w:w="951" w:type="dxa"/>
            <w:shd w:val="clear" w:color="auto" w:fill="auto"/>
            <w:vAlign w:val="center"/>
          </w:tcPr>
          <w:p w14:paraId="72410400" w14:textId="145D4419"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4205</w:t>
            </w:r>
          </w:p>
        </w:tc>
        <w:tc>
          <w:tcPr>
            <w:tcW w:w="992" w:type="dxa"/>
            <w:shd w:val="clear" w:color="auto" w:fill="auto"/>
            <w:vAlign w:val="center"/>
          </w:tcPr>
          <w:p w14:paraId="4343719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19.2296</w:t>
            </w:r>
          </w:p>
        </w:tc>
        <w:tc>
          <w:tcPr>
            <w:tcW w:w="993" w:type="dxa"/>
            <w:shd w:val="clear" w:color="auto" w:fill="auto"/>
            <w:vAlign w:val="center"/>
          </w:tcPr>
          <w:p w14:paraId="0D69251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25.4829</w:t>
            </w:r>
          </w:p>
        </w:tc>
        <w:tc>
          <w:tcPr>
            <w:tcW w:w="928" w:type="dxa"/>
            <w:shd w:val="clear" w:color="auto" w:fill="auto"/>
            <w:vAlign w:val="center"/>
          </w:tcPr>
          <w:p w14:paraId="15C0B38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23.3816</w:t>
            </w:r>
          </w:p>
        </w:tc>
        <w:tc>
          <w:tcPr>
            <w:tcW w:w="971" w:type="dxa"/>
            <w:shd w:val="clear" w:color="auto" w:fill="auto"/>
            <w:vAlign w:val="center"/>
          </w:tcPr>
          <w:p w14:paraId="1CB4298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-4,53</w:t>
            </w:r>
          </w:p>
        </w:tc>
        <w:tc>
          <w:tcPr>
            <w:tcW w:w="1001" w:type="dxa"/>
            <w:shd w:val="clear" w:color="auto" w:fill="auto"/>
            <w:vAlign w:val="center"/>
          </w:tcPr>
          <w:p w14:paraId="46A9A73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-3,64</w:t>
            </w:r>
          </w:p>
        </w:tc>
        <w:tc>
          <w:tcPr>
            <w:tcW w:w="983" w:type="dxa"/>
            <w:shd w:val="clear" w:color="auto" w:fill="auto"/>
            <w:vAlign w:val="center"/>
          </w:tcPr>
          <w:p w14:paraId="7581936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-4,23</w:t>
            </w:r>
          </w:p>
        </w:tc>
        <w:tc>
          <w:tcPr>
            <w:tcW w:w="983" w:type="dxa"/>
            <w:shd w:val="clear" w:color="auto" w:fill="auto"/>
            <w:vAlign w:val="center"/>
          </w:tcPr>
          <w:p w14:paraId="07015BE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-3,35</w:t>
            </w:r>
          </w:p>
        </w:tc>
      </w:tr>
      <w:tr w:rsidR="00F17A5D" w:rsidRPr="00E37009" w14:paraId="77000D20" w14:textId="77777777" w:rsidTr="00E37009">
        <w:trPr>
          <w:gridAfter w:val="1"/>
          <w:wAfter w:w="28" w:type="dxa"/>
          <w:jc w:val="center"/>
        </w:trPr>
        <w:tc>
          <w:tcPr>
            <w:tcW w:w="704" w:type="dxa"/>
            <w:shd w:val="clear" w:color="auto" w:fill="auto"/>
            <w:vAlign w:val="center"/>
          </w:tcPr>
          <w:p w14:paraId="02E90DF3"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28</w:t>
            </w:r>
          </w:p>
        </w:tc>
        <w:tc>
          <w:tcPr>
            <w:tcW w:w="2268" w:type="dxa"/>
            <w:vAlign w:val="center"/>
          </w:tcPr>
          <w:p w14:paraId="41C8D135" w14:textId="10326719"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838" w:dyaOrig="713" w14:anchorId="765F2ECF">
                <v:shape id="_x0000_i1092" type="#_x0000_t75" style="width:79.5pt;height:31.3pt" o:ole="">
                  <v:imagedata r:id="rId69" o:title=""/>
                </v:shape>
                <o:OLEObject Type="Embed" ProgID="ChemDraw.Document.6.0" ShapeID="_x0000_i1092" DrawAspect="Content" ObjectID="_1625729720" r:id="rId126"/>
              </w:object>
            </w:r>
          </w:p>
        </w:tc>
        <w:tc>
          <w:tcPr>
            <w:tcW w:w="951" w:type="dxa"/>
            <w:shd w:val="clear" w:color="auto" w:fill="auto"/>
            <w:vAlign w:val="center"/>
          </w:tcPr>
          <w:p w14:paraId="500EC55B" w14:textId="74ACD6AC"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2478</w:t>
            </w:r>
          </w:p>
        </w:tc>
        <w:tc>
          <w:tcPr>
            <w:tcW w:w="992" w:type="dxa"/>
            <w:shd w:val="clear" w:color="auto" w:fill="auto"/>
            <w:vAlign w:val="center"/>
          </w:tcPr>
          <w:p w14:paraId="61B62280"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18.7455</w:t>
            </w:r>
          </w:p>
        </w:tc>
        <w:tc>
          <w:tcPr>
            <w:tcW w:w="993" w:type="dxa"/>
            <w:shd w:val="clear" w:color="auto" w:fill="auto"/>
            <w:vAlign w:val="center"/>
          </w:tcPr>
          <w:p w14:paraId="23567EA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23.9045</w:t>
            </w:r>
          </w:p>
        </w:tc>
        <w:tc>
          <w:tcPr>
            <w:tcW w:w="928" w:type="dxa"/>
            <w:shd w:val="clear" w:color="auto" w:fill="auto"/>
            <w:vAlign w:val="center"/>
          </w:tcPr>
          <w:p w14:paraId="4846046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24.1831</w:t>
            </w:r>
          </w:p>
        </w:tc>
        <w:tc>
          <w:tcPr>
            <w:tcW w:w="971" w:type="dxa"/>
            <w:shd w:val="clear" w:color="auto" w:fill="auto"/>
            <w:vAlign w:val="center"/>
          </w:tcPr>
          <w:p w14:paraId="412358D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-4,62</w:t>
            </w:r>
          </w:p>
        </w:tc>
        <w:tc>
          <w:tcPr>
            <w:tcW w:w="1001" w:type="dxa"/>
            <w:shd w:val="clear" w:color="auto" w:fill="auto"/>
            <w:vAlign w:val="center"/>
          </w:tcPr>
          <w:p w14:paraId="04148BF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-4,27</w:t>
            </w:r>
          </w:p>
        </w:tc>
        <w:tc>
          <w:tcPr>
            <w:tcW w:w="983" w:type="dxa"/>
            <w:shd w:val="clear" w:color="auto" w:fill="auto"/>
            <w:vAlign w:val="center"/>
          </w:tcPr>
          <w:p w14:paraId="23499A3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-4,26</w:t>
            </w:r>
          </w:p>
        </w:tc>
        <w:tc>
          <w:tcPr>
            <w:tcW w:w="983" w:type="dxa"/>
            <w:shd w:val="clear" w:color="auto" w:fill="auto"/>
            <w:vAlign w:val="center"/>
          </w:tcPr>
          <w:p w14:paraId="59ADAE2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-3,58</w:t>
            </w:r>
          </w:p>
        </w:tc>
      </w:tr>
      <w:tr w:rsidR="00F17A5D" w:rsidRPr="00E37009" w14:paraId="2DFAA73F" w14:textId="77777777" w:rsidTr="00E37009">
        <w:trPr>
          <w:gridAfter w:val="1"/>
          <w:wAfter w:w="28" w:type="dxa"/>
          <w:jc w:val="center"/>
        </w:trPr>
        <w:tc>
          <w:tcPr>
            <w:tcW w:w="704" w:type="dxa"/>
            <w:shd w:val="clear" w:color="auto" w:fill="auto"/>
            <w:vAlign w:val="center"/>
          </w:tcPr>
          <w:p w14:paraId="58046C79"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29</w:t>
            </w:r>
          </w:p>
        </w:tc>
        <w:tc>
          <w:tcPr>
            <w:tcW w:w="2268" w:type="dxa"/>
            <w:vAlign w:val="center"/>
          </w:tcPr>
          <w:p w14:paraId="3CC254DE"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59" w:dyaOrig="669" w14:anchorId="3C93BF00">
                <v:shape id="_x0000_i1093" type="#_x0000_t75" style="width:87.45pt;height:34.6pt" o:ole="">
                  <v:imagedata r:id="rId51" o:title=""/>
                </v:shape>
                <o:OLEObject Type="Embed" ProgID="ChemDraw.Document.6.0" ShapeID="_x0000_i1093" DrawAspect="Content" ObjectID="_1625729721" r:id="rId127"/>
              </w:object>
            </w:r>
          </w:p>
        </w:tc>
        <w:tc>
          <w:tcPr>
            <w:tcW w:w="951" w:type="dxa"/>
            <w:shd w:val="clear" w:color="auto" w:fill="auto"/>
            <w:vAlign w:val="center"/>
          </w:tcPr>
          <w:p w14:paraId="063EAC9B" w14:textId="167EC64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155</w:t>
            </w:r>
          </w:p>
        </w:tc>
        <w:tc>
          <w:tcPr>
            <w:tcW w:w="992" w:type="dxa"/>
            <w:shd w:val="clear" w:color="auto" w:fill="auto"/>
            <w:vAlign w:val="center"/>
          </w:tcPr>
          <w:p w14:paraId="2D7075A0"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23.2101</w:t>
            </w:r>
          </w:p>
        </w:tc>
        <w:tc>
          <w:tcPr>
            <w:tcW w:w="993" w:type="dxa"/>
            <w:shd w:val="clear" w:color="auto" w:fill="auto"/>
            <w:vAlign w:val="center"/>
          </w:tcPr>
          <w:p w14:paraId="4E5D414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27.6446</w:t>
            </w:r>
          </w:p>
        </w:tc>
        <w:tc>
          <w:tcPr>
            <w:tcW w:w="928" w:type="dxa"/>
            <w:shd w:val="clear" w:color="auto" w:fill="auto"/>
            <w:vAlign w:val="center"/>
          </w:tcPr>
          <w:p w14:paraId="6A9D5B6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31.3194</w:t>
            </w:r>
          </w:p>
        </w:tc>
        <w:tc>
          <w:tcPr>
            <w:tcW w:w="971" w:type="dxa"/>
            <w:shd w:val="clear" w:color="auto" w:fill="auto"/>
            <w:vAlign w:val="center"/>
          </w:tcPr>
          <w:p w14:paraId="31C8D49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-3,53</w:t>
            </w:r>
          </w:p>
        </w:tc>
        <w:tc>
          <w:tcPr>
            <w:tcW w:w="1001" w:type="dxa"/>
            <w:shd w:val="clear" w:color="auto" w:fill="auto"/>
            <w:vAlign w:val="center"/>
          </w:tcPr>
          <w:p w14:paraId="008F771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-3,96</w:t>
            </w:r>
          </w:p>
        </w:tc>
        <w:tc>
          <w:tcPr>
            <w:tcW w:w="983" w:type="dxa"/>
            <w:shd w:val="clear" w:color="auto" w:fill="auto"/>
            <w:vAlign w:val="center"/>
          </w:tcPr>
          <w:p w14:paraId="1AD8CB4F"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-3,88</w:t>
            </w:r>
          </w:p>
        </w:tc>
        <w:tc>
          <w:tcPr>
            <w:tcW w:w="983" w:type="dxa"/>
            <w:shd w:val="clear" w:color="auto" w:fill="auto"/>
            <w:vAlign w:val="center"/>
          </w:tcPr>
          <w:p w14:paraId="09FC454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-2,91</w:t>
            </w:r>
          </w:p>
        </w:tc>
      </w:tr>
      <w:tr w:rsidR="00F17A5D" w:rsidRPr="00E37009" w14:paraId="044946F1" w14:textId="77777777" w:rsidTr="00E37009">
        <w:trPr>
          <w:gridAfter w:val="1"/>
          <w:wAfter w:w="28" w:type="dxa"/>
          <w:jc w:val="center"/>
        </w:trPr>
        <w:tc>
          <w:tcPr>
            <w:tcW w:w="704" w:type="dxa"/>
            <w:shd w:val="clear" w:color="auto" w:fill="auto"/>
            <w:vAlign w:val="center"/>
          </w:tcPr>
          <w:p w14:paraId="03EEF40B"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30</w:t>
            </w:r>
          </w:p>
        </w:tc>
        <w:tc>
          <w:tcPr>
            <w:tcW w:w="2268" w:type="dxa"/>
            <w:vAlign w:val="center"/>
          </w:tcPr>
          <w:p w14:paraId="01150528"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644" w:dyaOrig="588" w14:anchorId="0B1329F6">
                <v:shape id="_x0000_i1094" type="#_x0000_t75" style="width:82.75pt;height:28.5pt" o:ole="">
                  <v:imagedata r:id="rId55" o:title=""/>
                </v:shape>
                <o:OLEObject Type="Embed" ProgID="ChemDraw.Document.6.0" ShapeID="_x0000_i1094" DrawAspect="Content" ObjectID="_1625729722" r:id="rId128"/>
              </w:object>
            </w:r>
          </w:p>
        </w:tc>
        <w:tc>
          <w:tcPr>
            <w:tcW w:w="951" w:type="dxa"/>
            <w:shd w:val="clear" w:color="auto" w:fill="auto"/>
            <w:vAlign w:val="center"/>
          </w:tcPr>
          <w:p w14:paraId="1E737F60" w14:textId="6694C9D4"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5205</w:t>
            </w:r>
          </w:p>
        </w:tc>
        <w:tc>
          <w:tcPr>
            <w:tcW w:w="992" w:type="dxa"/>
            <w:shd w:val="clear" w:color="auto" w:fill="auto"/>
            <w:vAlign w:val="center"/>
          </w:tcPr>
          <w:p w14:paraId="4FEA4BAC"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22.139</w:t>
            </w:r>
          </w:p>
        </w:tc>
        <w:tc>
          <w:tcPr>
            <w:tcW w:w="993" w:type="dxa"/>
            <w:shd w:val="clear" w:color="auto" w:fill="auto"/>
            <w:vAlign w:val="center"/>
          </w:tcPr>
          <w:p w14:paraId="6A65DF3F"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26.419</w:t>
            </w:r>
          </w:p>
        </w:tc>
        <w:tc>
          <w:tcPr>
            <w:tcW w:w="928" w:type="dxa"/>
            <w:shd w:val="clear" w:color="auto" w:fill="auto"/>
            <w:vAlign w:val="center"/>
          </w:tcPr>
          <w:p w14:paraId="613264F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24.9152</w:t>
            </w:r>
          </w:p>
        </w:tc>
        <w:tc>
          <w:tcPr>
            <w:tcW w:w="971" w:type="dxa"/>
            <w:shd w:val="clear" w:color="auto" w:fill="auto"/>
            <w:vAlign w:val="center"/>
          </w:tcPr>
          <w:p w14:paraId="6557C22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-2.87</w:t>
            </w:r>
          </w:p>
        </w:tc>
        <w:tc>
          <w:tcPr>
            <w:tcW w:w="1001" w:type="dxa"/>
            <w:shd w:val="clear" w:color="auto" w:fill="auto"/>
            <w:vAlign w:val="center"/>
          </w:tcPr>
          <w:p w14:paraId="72C0200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-2,59</w:t>
            </w:r>
          </w:p>
        </w:tc>
        <w:tc>
          <w:tcPr>
            <w:tcW w:w="983" w:type="dxa"/>
            <w:shd w:val="clear" w:color="auto" w:fill="auto"/>
            <w:vAlign w:val="center"/>
          </w:tcPr>
          <w:p w14:paraId="4F992F1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-4,25</w:t>
            </w:r>
          </w:p>
        </w:tc>
        <w:tc>
          <w:tcPr>
            <w:tcW w:w="983" w:type="dxa"/>
            <w:shd w:val="clear" w:color="auto" w:fill="auto"/>
            <w:vAlign w:val="center"/>
          </w:tcPr>
          <w:p w14:paraId="42B0661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-2,25</w:t>
            </w:r>
          </w:p>
        </w:tc>
      </w:tr>
      <w:tr w:rsidR="00F17A5D" w:rsidRPr="00E37009" w14:paraId="2D8DFCB5" w14:textId="77777777" w:rsidTr="00E37009">
        <w:trPr>
          <w:gridAfter w:val="1"/>
          <w:wAfter w:w="28" w:type="dxa"/>
          <w:jc w:val="center"/>
        </w:trPr>
        <w:tc>
          <w:tcPr>
            <w:tcW w:w="704" w:type="dxa"/>
            <w:shd w:val="clear" w:color="auto" w:fill="auto"/>
            <w:vAlign w:val="center"/>
          </w:tcPr>
          <w:p w14:paraId="0A334314"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31</w:t>
            </w:r>
          </w:p>
        </w:tc>
        <w:tc>
          <w:tcPr>
            <w:tcW w:w="2268" w:type="dxa"/>
            <w:vAlign w:val="center"/>
          </w:tcPr>
          <w:p w14:paraId="6BA0FA3B"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57" w:dyaOrig="670" w14:anchorId="793D765D">
                <v:shape id="_x0000_i1095" type="#_x0000_t75" style="width:87.45pt;height:33.2pt" o:ole="">
                  <v:imagedata r:id="rId75" o:title=""/>
                </v:shape>
                <o:OLEObject Type="Embed" ProgID="ChemDraw.Document.6.0" ShapeID="_x0000_i1095" DrawAspect="Content" ObjectID="_1625729723" r:id="rId129"/>
              </w:object>
            </w:r>
          </w:p>
        </w:tc>
        <w:tc>
          <w:tcPr>
            <w:tcW w:w="951" w:type="dxa"/>
            <w:shd w:val="clear" w:color="auto" w:fill="auto"/>
            <w:vAlign w:val="center"/>
          </w:tcPr>
          <w:p w14:paraId="19AC8A78" w14:textId="788306E3"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7253</w:t>
            </w:r>
          </w:p>
        </w:tc>
        <w:tc>
          <w:tcPr>
            <w:tcW w:w="992" w:type="dxa"/>
            <w:shd w:val="clear" w:color="auto" w:fill="auto"/>
            <w:vAlign w:val="center"/>
          </w:tcPr>
          <w:p w14:paraId="0B48D9C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22.7752</w:t>
            </w:r>
          </w:p>
        </w:tc>
        <w:tc>
          <w:tcPr>
            <w:tcW w:w="993" w:type="dxa"/>
            <w:shd w:val="clear" w:color="auto" w:fill="auto"/>
            <w:vAlign w:val="center"/>
          </w:tcPr>
          <w:p w14:paraId="04D6E237"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30.1798</w:t>
            </w:r>
          </w:p>
        </w:tc>
        <w:tc>
          <w:tcPr>
            <w:tcW w:w="928" w:type="dxa"/>
            <w:shd w:val="clear" w:color="auto" w:fill="auto"/>
            <w:vAlign w:val="center"/>
          </w:tcPr>
          <w:p w14:paraId="42B0F953"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27.587</w:t>
            </w:r>
          </w:p>
        </w:tc>
        <w:tc>
          <w:tcPr>
            <w:tcW w:w="971" w:type="dxa"/>
            <w:shd w:val="clear" w:color="auto" w:fill="auto"/>
            <w:vAlign w:val="center"/>
          </w:tcPr>
          <w:p w14:paraId="1A59B87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-5,46</w:t>
            </w:r>
          </w:p>
        </w:tc>
        <w:tc>
          <w:tcPr>
            <w:tcW w:w="1001" w:type="dxa"/>
            <w:shd w:val="clear" w:color="auto" w:fill="auto"/>
            <w:vAlign w:val="center"/>
          </w:tcPr>
          <w:p w14:paraId="7F06D33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-5,00</w:t>
            </w:r>
          </w:p>
        </w:tc>
        <w:tc>
          <w:tcPr>
            <w:tcW w:w="983" w:type="dxa"/>
            <w:shd w:val="clear" w:color="auto" w:fill="auto"/>
            <w:vAlign w:val="center"/>
          </w:tcPr>
          <w:p w14:paraId="43E10BD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-4,80</w:t>
            </w:r>
          </w:p>
        </w:tc>
        <w:tc>
          <w:tcPr>
            <w:tcW w:w="983" w:type="dxa"/>
            <w:shd w:val="clear" w:color="auto" w:fill="auto"/>
            <w:vAlign w:val="center"/>
          </w:tcPr>
          <w:p w14:paraId="2B8F2512"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-4,46</w:t>
            </w:r>
          </w:p>
        </w:tc>
      </w:tr>
      <w:tr w:rsidR="00F17A5D" w:rsidRPr="00E37009" w14:paraId="14C4E698" w14:textId="77777777" w:rsidTr="00E37009">
        <w:trPr>
          <w:gridAfter w:val="1"/>
          <w:wAfter w:w="28" w:type="dxa"/>
          <w:jc w:val="center"/>
        </w:trPr>
        <w:tc>
          <w:tcPr>
            <w:tcW w:w="704" w:type="dxa"/>
            <w:shd w:val="clear" w:color="auto" w:fill="auto"/>
            <w:vAlign w:val="center"/>
          </w:tcPr>
          <w:p w14:paraId="3B246513"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32</w:t>
            </w:r>
          </w:p>
        </w:tc>
        <w:tc>
          <w:tcPr>
            <w:tcW w:w="2268" w:type="dxa"/>
            <w:vAlign w:val="center"/>
          </w:tcPr>
          <w:p w14:paraId="7E466204"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756" w:dyaOrig="667" w14:anchorId="45F2D03C">
                <v:shape id="_x0000_i1096" type="#_x0000_t75" style="width:87.45pt;height:34.6pt" o:ole="">
                  <v:imagedata r:id="rId71" o:title=""/>
                </v:shape>
                <o:OLEObject Type="Embed" ProgID="ChemDraw.Document.6.0" ShapeID="_x0000_i1096" DrawAspect="Content" ObjectID="_1625729724" r:id="rId130"/>
              </w:object>
            </w:r>
          </w:p>
        </w:tc>
        <w:tc>
          <w:tcPr>
            <w:tcW w:w="951" w:type="dxa"/>
            <w:shd w:val="clear" w:color="auto" w:fill="auto"/>
            <w:vAlign w:val="center"/>
          </w:tcPr>
          <w:p w14:paraId="6D2B24AB" w14:textId="465AC752"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0196</w:t>
            </w:r>
          </w:p>
        </w:tc>
        <w:tc>
          <w:tcPr>
            <w:tcW w:w="992" w:type="dxa"/>
            <w:shd w:val="clear" w:color="auto" w:fill="auto"/>
            <w:vAlign w:val="center"/>
          </w:tcPr>
          <w:p w14:paraId="2B2A9FA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24.4202</w:t>
            </w:r>
          </w:p>
        </w:tc>
        <w:tc>
          <w:tcPr>
            <w:tcW w:w="993" w:type="dxa"/>
            <w:shd w:val="clear" w:color="auto" w:fill="auto"/>
            <w:vAlign w:val="center"/>
          </w:tcPr>
          <w:p w14:paraId="1D3B499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32.3626</w:t>
            </w:r>
          </w:p>
        </w:tc>
        <w:tc>
          <w:tcPr>
            <w:tcW w:w="928" w:type="dxa"/>
            <w:shd w:val="clear" w:color="auto" w:fill="auto"/>
            <w:vAlign w:val="center"/>
          </w:tcPr>
          <w:p w14:paraId="06831F1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31.2097</w:t>
            </w:r>
          </w:p>
        </w:tc>
        <w:tc>
          <w:tcPr>
            <w:tcW w:w="971" w:type="dxa"/>
            <w:shd w:val="clear" w:color="auto" w:fill="auto"/>
            <w:vAlign w:val="center"/>
          </w:tcPr>
          <w:p w14:paraId="6F4C8B2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-3.84</w:t>
            </w:r>
          </w:p>
        </w:tc>
        <w:tc>
          <w:tcPr>
            <w:tcW w:w="1001" w:type="dxa"/>
            <w:shd w:val="clear" w:color="auto" w:fill="auto"/>
            <w:vAlign w:val="center"/>
          </w:tcPr>
          <w:p w14:paraId="668309D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-3,56</w:t>
            </w:r>
          </w:p>
        </w:tc>
        <w:tc>
          <w:tcPr>
            <w:tcW w:w="983" w:type="dxa"/>
            <w:shd w:val="clear" w:color="auto" w:fill="auto"/>
            <w:vAlign w:val="center"/>
          </w:tcPr>
          <w:p w14:paraId="4C1C8F0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-4,00</w:t>
            </w:r>
          </w:p>
        </w:tc>
        <w:tc>
          <w:tcPr>
            <w:tcW w:w="983" w:type="dxa"/>
            <w:shd w:val="clear" w:color="auto" w:fill="auto"/>
            <w:vAlign w:val="center"/>
          </w:tcPr>
          <w:p w14:paraId="7EA82CA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-2,83</w:t>
            </w:r>
          </w:p>
        </w:tc>
      </w:tr>
      <w:tr w:rsidR="00F17A5D" w:rsidRPr="00E37009" w14:paraId="1E863505" w14:textId="77777777" w:rsidTr="00E37009">
        <w:trPr>
          <w:gridAfter w:val="1"/>
          <w:wAfter w:w="28" w:type="dxa"/>
          <w:jc w:val="center"/>
        </w:trPr>
        <w:tc>
          <w:tcPr>
            <w:tcW w:w="704" w:type="dxa"/>
            <w:shd w:val="clear" w:color="auto" w:fill="auto"/>
            <w:vAlign w:val="center"/>
          </w:tcPr>
          <w:p w14:paraId="60CF216B"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lastRenderedPageBreak/>
              <w:t>33</w:t>
            </w:r>
          </w:p>
        </w:tc>
        <w:tc>
          <w:tcPr>
            <w:tcW w:w="2268" w:type="dxa"/>
            <w:vAlign w:val="center"/>
          </w:tcPr>
          <w:p w14:paraId="0541FBAA"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835" w:dyaOrig="712" w14:anchorId="0F2B70C8">
                <v:shape id="_x0000_i1097" type="#_x0000_t75" style="width:93.05pt;height:34.6pt" o:ole="">
                  <v:imagedata r:id="rId67" o:title=""/>
                </v:shape>
                <o:OLEObject Type="Embed" ProgID="ChemDraw.Document.6.0" ShapeID="_x0000_i1097" DrawAspect="Content" ObjectID="_1625729725" r:id="rId131"/>
              </w:object>
            </w:r>
          </w:p>
        </w:tc>
        <w:tc>
          <w:tcPr>
            <w:tcW w:w="951" w:type="dxa"/>
            <w:shd w:val="clear" w:color="auto" w:fill="FFFFFF" w:themeFill="background1"/>
            <w:vAlign w:val="center"/>
          </w:tcPr>
          <w:p w14:paraId="4F604A8D" w14:textId="6B2DF6B3"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318</w:t>
            </w:r>
          </w:p>
          <w:p w14:paraId="3C18D9FD"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NC</w:t>
            </w:r>
          </w:p>
        </w:tc>
        <w:tc>
          <w:tcPr>
            <w:tcW w:w="992" w:type="dxa"/>
            <w:shd w:val="clear" w:color="auto" w:fill="auto"/>
            <w:vAlign w:val="center"/>
          </w:tcPr>
          <w:p w14:paraId="206FA5C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23.7895</w:t>
            </w:r>
          </w:p>
        </w:tc>
        <w:tc>
          <w:tcPr>
            <w:tcW w:w="993" w:type="dxa"/>
            <w:shd w:val="clear" w:color="auto" w:fill="auto"/>
            <w:vAlign w:val="center"/>
          </w:tcPr>
          <w:p w14:paraId="7637F8EB"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28.9713</w:t>
            </w:r>
          </w:p>
        </w:tc>
        <w:tc>
          <w:tcPr>
            <w:tcW w:w="928" w:type="dxa"/>
            <w:shd w:val="clear" w:color="auto" w:fill="auto"/>
            <w:vAlign w:val="center"/>
          </w:tcPr>
          <w:p w14:paraId="5C553499"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33.5766</w:t>
            </w:r>
          </w:p>
        </w:tc>
        <w:tc>
          <w:tcPr>
            <w:tcW w:w="971" w:type="dxa"/>
            <w:shd w:val="clear" w:color="auto" w:fill="auto"/>
            <w:vAlign w:val="center"/>
          </w:tcPr>
          <w:p w14:paraId="4BCFBAB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-3,29</w:t>
            </w:r>
          </w:p>
        </w:tc>
        <w:tc>
          <w:tcPr>
            <w:tcW w:w="1001" w:type="dxa"/>
            <w:shd w:val="clear" w:color="auto" w:fill="auto"/>
            <w:vAlign w:val="center"/>
          </w:tcPr>
          <w:p w14:paraId="7B3A8585"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-3,58</w:t>
            </w:r>
          </w:p>
        </w:tc>
        <w:tc>
          <w:tcPr>
            <w:tcW w:w="983" w:type="dxa"/>
            <w:shd w:val="clear" w:color="auto" w:fill="auto"/>
            <w:vAlign w:val="center"/>
          </w:tcPr>
          <w:p w14:paraId="0F21425F"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-5,16</w:t>
            </w:r>
          </w:p>
        </w:tc>
        <w:tc>
          <w:tcPr>
            <w:tcW w:w="983" w:type="dxa"/>
            <w:shd w:val="clear" w:color="auto" w:fill="auto"/>
            <w:vAlign w:val="center"/>
          </w:tcPr>
          <w:p w14:paraId="09FBDE2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-1,89</w:t>
            </w:r>
          </w:p>
        </w:tc>
      </w:tr>
      <w:tr w:rsidR="00F17A5D" w:rsidRPr="00E37009" w14:paraId="343C4C3C" w14:textId="77777777" w:rsidTr="00E37009">
        <w:trPr>
          <w:gridAfter w:val="1"/>
          <w:wAfter w:w="28" w:type="dxa"/>
          <w:jc w:val="center"/>
        </w:trPr>
        <w:tc>
          <w:tcPr>
            <w:tcW w:w="704" w:type="dxa"/>
            <w:shd w:val="clear" w:color="auto" w:fill="auto"/>
            <w:vAlign w:val="center"/>
          </w:tcPr>
          <w:p w14:paraId="1DACB2CC"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34</w:t>
            </w:r>
          </w:p>
        </w:tc>
        <w:tc>
          <w:tcPr>
            <w:tcW w:w="2268" w:type="dxa"/>
            <w:vAlign w:val="center"/>
          </w:tcPr>
          <w:p w14:paraId="0553F582"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584" w:dyaOrig="739" w14:anchorId="10925A1D">
                <v:shape id="_x0000_i1098" type="#_x0000_t75" style="width:79.5pt;height:37.4pt" o:ole="">
                  <v:imagedata r:id="rId57" o:title=""/>
                </v:shape>
                <o:OLEObject Type="Embed" ProgID="ChemDraw.Document.6.0" ShapeID="_x0000_i1098" DrawAspect="Content" ObjectID="_1625729726" r:id="rId132"/>
              </w:object>
            </w:r>
          </w:p>
        </w:tc>
        <w:tc>
          <w:tcPr>
            <w:tcW w:w="951" w:type="dxa"/>
            <w:shd w:val="clear" w:color="auto" w:fill="FFFFFF" w:themeFill="background1"/>
            <w:vAlign w:val="center"/>
          </w:tcPr>
          <w:p w14:paraId="00FE34F4" w14:textId="7E9F781D"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0866</w:t>
            </w:r>
          </w:p>
          <w:p w14:paraId="33421503"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NC</w:t>
            </w:r>
          </w:p>
        </w:tc>
        <w:tc>
          <w:tcPr>
            <w:tcW w:w="992" w:type="dxa"/>
            <w:shd w:val="clear" w:color="auto" w:fill="auto"/>
            <w:vAlign w:val="center"/>
          </w:tcPr>
          <w:p w14:paraId="092CD98E"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24.4708</w:t>
            </w:r>
          </w:p>
        </w:tc>
        <w:tc>
          <w:tcPr>
            <w:tcW w:w="993" w:type="dxa"/>
            <w:shd w:val="clear" w:color="auto" w:fill="auto"/>
            <w:vAlign w:val="center"/>
          </w:tcPr>
          <w:p w14:paraId="18A2C3D0"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27.4372</w:t>
            </w:r>
          </w:p>
        </w:tc>
        <w:tc>
          <w:tcPr>
            <w:tcW w:w="928" w:type="dxa"/>
            <w:shd w:val="clear" w:color="auto" w:fill="auto"/>
            <w:vAlign w:val="center"/>
          </w:tcPr>
          <w:p w14:paraId="373ECCA1"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25.6845</w:t>
            </w:r>
          </w:p>
        </w:tc>
        <w:tc>
          <w:tcPr>
            <w:tcW w:w="971" w:type="dxa"/>
            <w:shd w:val="clear" w:color="auto" w:fill="auto"/>
            <w:vAlign w:val="center"/>
          </w:tcPr>
          <w:p w14:paraId="7F3D184F"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-4,12</w:t>
            </w:r>
          </w:p>
        </w:tc>
        <w:tc>
          <w:tcPr>
            <w:tcW w:w="1001" w:type="dxa"/>
            <w:shd w:val="clear" w:color="auto" w:fill="auto"/>
            <w:vAlign w:val="center"/>
          </w:tcPr>
          <w:p w14:paraId="65DA92B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-3,56</w:t>
            </w:r>
          </w:p>
        </w:tc>
        <w:tc>
          <w:tcPr>
            <w:tcW w:w="983" w:type="dxa"/>
            <w:shd w:val="clear" w:color="auto" w:fill="auto"/>
            <w:vAlign w:val="center"/>
          </w:tcPr>
          <w:p w14:paraId="0D3B9F2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-4,06</w:t>
            </w:r>
          </w:p>
        </w:tc>
        <w:tc>
          <w:tcPr>
            <w:tcW w:w="983" w:type="dxa"/>
            <w:shd w:val="clear" w:color="auto" w:fill="auto"/>
            <w:vAlign w:val="center"/>
          </w:tcPr>
          <w:p w14:paraId="43552369"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-3,06</w:t>
            </w:r>
          </w:p>
        </w:tc>
      </w:tr>
      <w:tr w:rsidR="00F17A5D" w:rsidRPr="00E37009" w14:paraId="2C696BD1" w14:textId="77777777" w:rsidTr="00E37009">
        <w:trPr>
          <w:gridAfter w:val="1"/>
          <w:wAfter w:w="28" w:type="dxa"/>
          <w:jc w:val="center"/>
        </w:trPr>
        <w:tc>
          <w:tcPr>
            <w:tcW w:w="704" w:type="dxa"/>
            <w:shd w:val="clear" w:color="auto" w:fill="auto"/>
            <w:vAlign w:val="center"/>
          </w:tcPr>
          <w:p w14:paraId="08457284"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35</w:t>
            </w:r>
          </w:p>
        </w:tc>
        <w:tc>
          <w:tcPr>
            <w:tcW w:w="2268" w:type="dxa"/>
            <w:vAlign w:val="center"/>
          </w:tcPr>
          <w:p w14:paraId="6B46E7D3" w14:textId="3D7C0B8C"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617" w:dyaOrig="960" w14:anchorId="5997B984">
                <v:shape id="_x0000_i1099" type="#_x0000_t75" style="width:70.15pt;height:43pt" o:ole="">
                  <v:imagedata r:id="rId49" o:title=""/>
                </v:shape>
                <o:OLEObject Type="Embed" ProgID="ChemDraw.Document.6.0" ShapeID="_x0000_i1099" DrawAspect="Content" ObjectID="_1625729727" r:id="rId133"/>
              </w:object>
            </w:r>
          </w:p>
        </w:tc>
        <w:tc>
          <w:tcPr>
            <w:tcW w:w="951" w:type="dxa"/>
            <w:shd w:val="clear" w:color="auto" w:fill="auto"/>
            <w:vAlign w:val="center"/>
          </w:tcPr>
          <w:p w14:paraId="1A387A7F" w14:textId="33B4E493"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3541</w:t>
            </w:r>
          </w:p>
        </w:tc>
        <w:tc>
          <w:tcPr>
            <w:tcW w:w="992" w:type="dxa"/>
            <w:shd w:val="clear" w:color="auto" w:fill="auto"/>
            <w:vAlign w:val="center"/>
          </w:tcPr>
          <w:p w14:paraId="03C022E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21.6326</w:t>
            </w:r>
          </w:p>
        </w:tc>
        <w:tc>
          <w:tcPr>
            <w:tcW w:w="993" w:type="dxa"/>
            <w:shd w:val="clear" w:color="auto" w:fill="auto"/>
            <w:vAlign w:val="center"/>
          </w:tcPr>
          <w:p w14:paraId="7D076CF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26.5015</w:t>
            </w:r>
          </w:p>
        </w:tc>
        <w:tc>
          <w:tcPr>
            <w:tcW w:w="928" w:type="dxa"/>
            <w:shd w:val="clear" w:color="auto" w:fill="auto"/>
            <w:vAlign w:val="center"/>
          </w:tcPr>
          <w:p w14:paraId="20EC9F1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26.6982</w:t>
            </w:r>
          </w:p>
        </w:tc>
        <w:tc>
          <w:tcPr>
            <w:tcW w:w="971" w:type="dxa"/>
            <w:shd w:val="clear" w:color="auto" w:fill="auto"/>
            <w:vAlign w:val="center"/>
          </w:tcPr>
          <w:p w14:paraId="30A0215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-4,32</w:t>
            </w:r>
          </w:p>
        </w:tc>
        <w:tc>
          <w:tcPr>
            <w:tcW w:w="1001" w:type="dxa"/>
            <w:shd w:val="clear" w:color="auto" w:fill="auto"/>
            <w:vAlign w:val="center"/>
          </w:tcPr>
          <w:p w14:paraId="0A2B638B"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-3,53</w:t>
            </w:r>
          </w:p>
        </w:tc>
        <w:tc>
          <w:tcPr>
            <w:tcW w:w="983" w:type="dxa"/>
            <w:shd w:val="clear" w:color="auto" w:fill="auto"/>
            <w:vAlign w:val="center"/>
          </w:tcPr>
          <w:p w14:paraId="3D967EA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-4,43</w:t>
            </w:r>
          </w:p>
        </w:tc>
        <w:tc>
          <w:tcPr>
            <w:tcW w:w="983" w:type="dxa"/>
            <w:shd w:val="clear" w:color="auto" w:fill="auto"/>
            <w:vAlign w:val="center"/>
          </w:tcPr>
          <w:p w14:paraId="518668A5" w14:textId="1B32EECD"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w:t>
            </w:r>
            <w:r w:rsidR="00E37009">
              <w:rPr>
                <w:rFonts w:ascii="Times New Roman" w:hAnsi="Times New Roman" w:cs="Times New Roman"/>
                <w:sz w:val="20"/>
                <w:szCs w:val="20"/>
                <w:lang w:val="en-US"/>
              </w:rPr>
              <w:t>06</w:t>
            </w:r>
          </w:p>
        </w:tc>
      </w:tr>
      <w:tr w:rsidR="00F17A5D" w:rsidRPr="00E37009" w14:paraId="490FE927" w14:textId="77777777" w:rsidTr="00E37009">
        <w:trPr>
          <w:gridAfter w:val="1"/>
          <w:wAfter w:w="28" w:type="dxa"/>
          <w:jc w:val="center"/>
        </w:trPr>
        <w:tc>
          <w:tcPr>
            <w:tcW w:w="704" w:type="dxa"/>
            <w:shd w:val="clear" w:color="auto" w:fill="auto"/>
            <w:vAlign w:val="center"/>
          </w:tcPr>
          <w:p w14:paraId="6359FDA7"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36</w:t>
            </w:r>
          </w:p>
        </w:tc>
        <w:tc>
          <w:tcPr>
            <w:tcW w:w="2268" w:type="dxa"/>
            <w:vAlign w:val="center"/>
          </w:tcPr>
          <w:p w14:paraId="0E64C983" w14:textId="303E671B"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589" w:dyaOrig="866" w14:anchorId="2CB4D286">
                <v:shape id="_x0000_i1100" type="#_x0000_t75" style="width:66.4pt;height:37.4pt" o:ole="">
                  <v:imagedata r:id="rId73" o:title=""/>
                </v:shape>
                <o:OLEObject Type="Embed" ProgID="ChemDraw.Document.6.0" ShapeID="_x0000_i1100" DrawAspect="Content" ObjectID="_1625729728" r:id="rId134"/>
              </w:object>
            </w:r>
          </w:p>
        </w:tc>
        <w:tc>
          <w:tcPr>
            <w:tcW w:w="951" w:type="dxa"/>
            <w:shd w:val="clear" w:color="auto" w:fill="auto"/>
            <w:vAlign w:val="center"/>
          </w:tcPr>
          <w:p w14:paraId="4B9351E6" w14:textId="664EF403"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22</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1585</w:t>
            </w:r>
          </w:p>
        </w:tc>
        <w:tc>
          <w:tcPr>
            <w:tcW w:w="992" w:type="dxa"/>
            <w:shd w:val="clear" w:color="auto" w:fill="auto"/>
            <w:vAlign w:val="center"/>
          </w:tcPr>
          <w:p w14:paraId="6DB9BDF1"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18.412</w:t>
            </w:r>
          </w:p>
        </w:tc>
        <w:tc>
          <w:tcPr>
            <w:tcW w:w="993" w:type="dxa"/>
            <w:shd w:val="clear" w:color="auto" w:fill="auto"/>
            <w:vAlign w:val="center"/>
          </w:tcPr>
          <w:p w14:paraId="09B8BB2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30.3597</w:t>
            </w:r>
          </w:p>
        </w:tc>
        <w:tc>
          <w:tcPr>
            <w:tcW w:w="928" w:type="dxa"/>
            <w:shd w:val="clear" w:color="auto" w:fill="auto"/>
            <w:vAlign w:val="center"/>
          </w:tcPr>
          <w:p w14:paraId="0EF01FD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25.7811</w:t>
            </w:r>
          </w:p>
        </w:tc>
        <w:tc>
          <w:tcPr>
            <w:tcW w:w="971" w:type="dxa"/>
            <w:shd w:val="clear" w:color="auto" w:fill="auto"/>
            <w:vAlign w:val="center"/>
          </w:tcPr>
          <w:p w14:paraId="2D01FA5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-2,74</w:t>
            </w:r>
          </w:p>
        </w:tc>
        <w:tc>
          <w:tcPr>
            <w:tcW w:w="1001" w:type="dxa"/>
            <w:shd w:val="clear" w:color="auto" w:fill="auto"/>
            <w:vAlign w:val="center"/>
          </w:tcPr>
          <w:p w14:paraId="3FEE55F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-3,74</w:t>
            </w:r>
          </w:p>
        </w:tc>
        <w:tc>
          <w:tcPr>
            <w:tcW w:w="983" w:type="dxa"/>
            <w:shd w:val="clear" w:color="auto" w:fill="auto"/>
            <w:vAlign w:val="center"/>
          </w:tcPr>
          <w:p w14:paraId="3563D312"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-3,97</w:t>
            </w:r>
          </w:p>
        </w:tc>
        <w:tc>
          <w:tcPr>
            <w:tcW w:w="983" w:type="dxa"/>
            <w:shd w:val="clear" w:color="auto" w:fill="auto"/>
            <w:vAlign w:val="center"/>
          </w:tcPr>
          <w:p w14:paraId="51A52F2E"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-3,16</w:t>
            </w:r>
          </w:p>
        </w:tc>
      </w:tr>
      <w:tr w:rsidR="00F17A5D" w:rsidRPr="00E37009" w14:paraId="7CD60905" w14:textId="77777777" w:rsidTr="00E37009">
        <w:trPr>
          <w:gridAfter w:val="1"/>
          <w:wAfter w:w="28" w:type="dxa"/>
          <w:jc w:val="center"/>
        </w:trPr>
        <w:tc>
          <w:tcPr>
            <w:tcW w:w="704" w:type="dxa"/>
            <w:shd w:val="clear" w:color="auto" w:fill="auto"/>
            <w:vAlign w:val="center"/>
          </w:tcPr>
          <w:p w14:paraId="02705729"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37</w:t>
            </w:r>
          </w:p>
        </w:tc>
        <w:tc>
          <w:tcPr>
            <w:tcW w:w="2268" w:type="dxa"/>
            <w:vAlign w:val="center"/>
          </w:tcPr>
          <w:p w14:paraId="2ACC7924"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586" w:dyaOrig="561" w14:anchorId="2FFD22CA">
                <v:shape id="_x0000_i1101" type="#_x0000_t75" style="width:79.5pt;height:28.5pt" o:ole="">
                  <v:imagedata r:id="rId85" o:title=""/>
                </v:shape>
                <o:OLEObject Type="Embed" ProgID="ChemDraw.Document.6.0" ShapeID="_x0000_i1101" DrawAspect="Content" ObjectID="_1625729729" r:id="rId135"/>
              </w:object>
            </w:r>
          </w:p>
        </w:tc>
        <w:tc>
          <w:tcPr>
            <w:tcW w:w="951" w:type="dxa"/>
            <w:shd w:val="clear" w:color="auto" w:fill="auto"/>
            <w:vAlign w:val="center"/>
          </w:tcPr>
          <w:p w14:paraId="01502B3B" w14:textId="14827436"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2223</w:t>
            </w:r>
          </w:p>
        </w:tc>
        <w:tc>
          <w:tcPr>
            <w:tcW w:w="992" w:type="dxa"/>
            <w:shd w:val="clear" w:color="auto" w:fill="auto"/>
            <w:vAlign w:val="center"/>
          </w:tcPr>
          <w:p w14:paraId="7B97360B"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21.0125</w:t>
            </w:r>
          </w:p>
        </w:tc>
        <w:tc>
          <w:tcPr>
            <w:tcW w:w="993" w:type="dxa"/>
            <w:shd w:val="clear" w:color="auto" w:fill="auto"/>
            <w:vAlign w:val="center"/>
          </w:tcPr>
          <w:p w14:paraId="73014C5D"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28.8447</w:t>
            </w:r>
          </w:p>
        </w:tc>
        <w:tc>
          <w:tcPr>
            <w:tcW w:w="928" w:type="dxa"/>
            <w:shd w:val="clear" w:color="auto" w:fill="auto"/>
            <w:vAlign w:val="center"/>
          </w:tcPr>
          <w:p w14:paraId="13DB87A5"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28.5766</w:t>
            </w:r>
          </w:p>
        </w:tc>
        <w:tc>
          <w:tcPr>
            <w:tcW w:w="971" w:type="dxa"/>
            <w:shd w:val="clear" w:color="auto" w:fill="auto"/>
            <w:vAlign w:val="center"/>
          </w:tcPr>
          <w:p w14:paraId="67EF8228" w14:textId="568341E3" w:rsidR="00F17A5D" w:rsidRPr="00E37009" w:rsidRDefault="00E37009" w:rsidP="00E37009">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-3,74</w:t>
            </w:r>
          </w:p>
        </w:tc>
        <w:tc>
          <w:tcPr>
            <w:tcW w:w="1001" w:type="dxa"/>
            <w:shd w:val="clear" w:color="auto" w:fill="auto"/>
            <w:vAlign w:val="center"/>
          </w:tcPr>
          <w:p w14:paraId="6A6121B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-3,48</w:t>
            </w:r>
          </w:p>
        </w:tc>
        <w:tc>
          <w:tcPr>
            <w:tcW w:w="983" w:type="dxa"/>
            <w:shd w:val="clear" w:color="auto" w:fill="auto"/>
            <w:vAlign w:val="center"/>
          </w:tcPr>
          <w:p w14:paraId="2B57DDA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-4,21</w:t>
            </w:r>
          </w:p>
        </w:tc>
        <w:tc>
          <w:tcPr>
            <w:tcW w:w="983" w:type="dxa"/>
            <w:shd w:val="clear" w:color="auto" w:fill="auto"/>
            <w:vAlign w:val="center"/>
          </w:tcPr>
          <w:p w14:paraId="64DFE80C"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-3,55</w:t>
            </w:r>
          </w:p>
        </w:tc>
      </w:tr>
      <w:tr w:rsidR="00F17A5D" w:rsidRPr="00E37009" w14:paraId="5B801FAE" w14:textId="77777777" w:rsidTr="00E37009">
        <w:trPr>
          <w:gridAfter w:val="1"/>
          <w:wAfter w:w="28" w:type="dxa"/>
          <w:jc w:val="center"/>
        </w:trPr>
        <w:tc>
          <w:tcPr>
            <w:tcW w:w="704" w:type="dxa"/>
            <w:shd w:val="clear" w:color="auto" w:fill="auto"/>
            <w:vAlign w:val="center"/>
          </w:tcPr>
          <w:p w14:paraId="3A24FDE7"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38</w:t>
            </w:r>
          </w:p>
        </w:tc>
        <w:tc>
          <w:tcPr>
            <w:tcW w:w="2268" w:type="dxa"/>
            <w:vAlign w:val="center"/>
          </w:tcPr>
          <w:p w14:paraId="382D4EC6"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2006" w:dyaOrig="617" w14:anchorId="1D2C7D7F">
                <v:shape id="_x0000_i1102" type="#_x0000_t75" style="width:100.05pt;height:29pt" o:ole="">
                  <v:imagedata r:id="rId77" o:title=""/>
                </v:shape>
                <o:OLEObject Type="Embed" ProgID="ChemDraw.Document.6.0" ShapeID="_x0000_i1102" DrawAspect="Content" ObjectID="_1625729730" r:id="rId136"/>
              </w:object>
            </w:r>
          </w:p>
        </w:tc>
        <w:tc>
          <w:tcPr>
            <w:tcW w:w="951" w:type="dxa"/>
            <w:shd w:val="clear" w:color="auto" w:fill="auto"/>
            <w:vAlign w:val="center"/>
          </w:tcPr>
          <w:p w14:paraId="3D33E330" w14:textId="7E7DB5A1"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3948</w:t>
            </w:r>
          </w:p>
        </w:tc>
        <w:tc>
          <w:tcPr>
            <w:tcW w:w="992" w:type="dxa"/>
            <w:shd w:val="clear" w:color="auto" w:fill="auto"/>
            <w:vAlign w:val="center"/>
          </w:tcPr>
          <w:p w14:paraId="0A9F7970"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23.4907</w:t>
            </w:r>
          </w:p>
        </w:tc>
        <w:tc>
          <w:tcPr>
            <w:tcW w:w="993" w:type="dxa"/>
            <w:shd w:val="clear" w:color="auto" w:fill="auto"/>
            <w:vAlign w:val="center"/>
          </w:tcPr>
          <w:p w14:paraId="23027EBA"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29.9866</w:t>
            </w:r>
          </w:p>
        </w:tc>
        <w:tc>
          <w:tcPr>
            <w:tcW w:w="928" w:type="dxa"/>
            <w:shd w:val="clear" w:color="auto" w:fill="auto"/>
            <w:vAlign w:val="center"/>
          </w:tcPr>
          <w:p w14:paraId="31C47286"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26.2142</w:t>
            </w:r>
          </w:p>
        </w:tc>
        <w:tc>
          <w:tcPr>
            <w:tcW w:w="971" w:type="dxa"/>
            <w:shd w:val="clear" w:color="auto" w:fill="auto"/>
            <w:vAlign w:val="center"/>
          </w:tcPr>
          <w:p w14:paraId="586A470F"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-4,68</w:t>
            </w:r>
          </w:p>
        </w:tc>
        <w:tc>
          <w:tcPr>
            <w:tcW w:w="1001" w:type="dxa"/>
            <w:shd w:val="clear" w:color="auto" w:fill="auto"/>
            <w:vAlign w:val="center"/>
          </w:tcPr>
          <w:p w14:paraId="0034F620"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-4,27</w:t>
            </w:r>
          </w:p>
        </w:tc>
        <w:tc>
          <w:tcPr>
            <w:tcW w:w="983" w:type="dxa"/>
            <w:shd w:val="clear" w:color="auto" w:fill="auto"/>
            <w:vAlign w:val="center"/>
          </w:tcPr>
          <w:p w14:paraId="0AD2DDC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-4,14</w:t>
            </w:r>
          </w:p>
        </w:tc>
        <w:tc>
          <w:tcPr>
            <w:tcW w:w="983" w:type="dxa"/>
            <w:shd w:val="clear" w:color="auto" w:fill="auto"/>
            <w:vAlign w:val="center"/>
          </w:tcPr>
          <w:p w14:paraId="5692DEF4"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-3,93</w:t>
            </w:r>
          </w:p>
        </w:tc>
      </w:tr>
      <w:tr w:rsidR="00F17A5D" w:rsidRPr="00E37009" w14:paraId="26A4C1ED" w14:textId="77777777" w:rsidTr="00E37009">
        <w:trPr>
          <w:gridAfter w:val="1"/>
          <w:wAfter w:w="28" w:type="dxa"/>
          <w:jc w:val="center"/>
        </w:trPr>
        <w:tc>
          <w:tcPr>
            <w:tcW w:w="704" w:type="dxa"/>
            <w:shd w:val="clear" w:color="auto" w:fill="auto"/>
            <w:vAlign w:val="center"/>
          </w:tcPr>
          <w:p w14:paraId="5D4C3A17"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39</w:t>
            </w:r>
          </w:p>
        </w:tc>
        <w:tc>
          <w:tcPr>
            <w:tcW w:w="2268" w:type="dxa"/>
            <w:vAlign w:val="center"/>
          </w:tcPr>
          <w:p w14:paraId="505D6310"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617" w:dyaOrig="710" w14:anchorId="4ED72A02">
                <v:shape id="_x0000_i1103" type="#_x0000_t75" style="width:81.35pt;height:36pt" o:ole="">
                  <v:imagedata r:id="rId65" o:title=""/>
                </v:shape>
                <o:OLEObject Type="Embed" ProgID="ChemDraw.Document.6.0" ShapeID="_x0000_i1103" DrawAspect="Content" ObjectID="_1625729731" r:id="rId137"/>
              </w:object>
            </w:r>
          </w:p>
        </w:tc>
        <w:tc>
          <w:tcPr>
            <w:tcW w:w="951" w:type="dxa"/>
            <w:shd w:val="clear" w:color="auto" w:fill="auto"/>
            <w:vAlign w:val="center"/>
          </w:tcPr>
          <w:p w14:paraId="29AE4D6E" w14:textId="221D330E"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3988</w:t>
            </w:r>
          </w:p>
        </w:tc>
        <w:tc>
          <w:tcPr>
            <w:tcW w:w="992" w:type="dxa"/>
            <w:shd w:val="clear" w:color="auto" w:fill="auto"/>
            <w:vAlign w:val="center"/>
          </w:tcPr>
          <w:p w14:paraId="1EDD4F07"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24.7666</w:t>
            </w:r>
          </w:p>
        </w:tc>
        <w:tc>
          <w:tcPr>
            <w:tcW w:w="993" w:type="dxa"/>
            <w:shd w:val="clear" w:color="auto" w:fill="auto"/>
            <w:vAlign w:val="center"/>
          </w:tcPr>
          <w:p w14:paraId="2B2D7FC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29.066</w:t>
            </w:r>
          </w:p>
        </w:tc>
        <w:tc>
          <w:tcPr>
            <w:tcW w:w="928" w:type="dxa"/>
            <w:shd w:val="clear" w:color="auto" w:fill="auto"/>
            <w:vAlign w:val="center"/>
          </w:tcPr>
          <w:p w14:paraId="0B8B0282"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30.9126</w:t>
            </w:r>
          </w:p>
        </w:tc>
        <w:tc>
          <w:tcPr>
            <w:tcW w:w="971" w:type="dxa"/>
            <w:shd w:val="clear" w:color="auto" w:fill="auto"/>
            <w:vAlign w:val="center"/>
          </w:tcPr>
          <w:p w14:paraId="6EEBDE36"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-3,35</w:t>
            </w:r>
          </w:p>
        </w:tc>
        <w:tc>
          <w:tcPr>
            <w:tcW w:w="1001" w:type="dxa"/>
            <w:shd w:val="clear" w:color="auto" w:fill="auto"/>
            <w:vAlign w:val="center"/>
          </w:tcPr>
          <w:p w14:paraId="69B8A52A"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-4,03</w:t>
            </w:r>
          </w:p>
        </w:tc>
        <w:tc>
          <w:tcPr>
            <w:tcW w:w="983" w:type="dxa"/>
            <w:shd w:val="clear" w:color="auto" w:fill="auto"/>
            <w:vAlign w:val="center"/>
          </w:tcPr>
          <w:p w14:paraId="6BA53DA8"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-6,12</w:t>
            </w:r>
          </w:p>
        </w:tc>
        <w:tc>
          <w:tcPr>
            <w:tcW w:w="983" w:type="dxa"/>
            <w:shd w:val="clear" w:color="auto" w:fill="auto"/>
            <w:vAlign w:val="center"/>
          </w:tcPr>
          <w:p w14:paraId="3D3B4A78"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-0,75-</w:t>
            </w:r>
          </w:p>
        </w:tc>
      </w:tr>
      <w:tr w:rsidR="00F17A5D" w:rsidRPr="00E37009" w14:paraId="0CDDDBF8" w14:textId="77777777" w:rsidTr="00E37009">
        <w:trPr>
          <w:gridAfter w:val="1"/>
          <w:wAfter w:w="28" w:type="dxa"/>
          <w:jc w:val="center"/>
        </w:trPr>
        <w:tc>
          <w:tcPr>
            <w:tcW w:w="704" w:type="dxa"/>
            <w:shd w:val="clear" w:color="auto" w:fill="auto"/>
            <w:vAlign w:val="center"/>
          </w:tcPr>
          <w:p w14:paraId="19B05CE5" w14:textId="77777777" w:rsidR="00F17A5D" w:rsidRPr="00974DA2" w:rsidRDefault="00F17A5D" w:rsidP="004B2E33">
            <w:pPr>
              <w:spacing w:after="0" w:line="360" w:lineRule="auto"/>
              <w:jc w:val="center"/>
              <w:rPr>
                <w:rFonts w:ascii="Times New Roman" w:hAnsi="Times New Roman" w:cs="Times New Roman"/>
                <w:b/>
                <w:sz w:val="18"/>
                <w:szCs w:val="20"/>
                <w:lang w:val="en-US"/>
              </w:rPr>
            </w:pPr>
            <w:r w:rsidRPr="00974DA2">
              <w:rPr>
                <w:rFonts w:ascii="Times New Roman" w:hAnsi="Times New Roman" w:cs="Times New Roman"/>
                <w:b/>
                <w:sz w:val="18"/>
                <w:szCs w:val="20"/>
                <w:lang w:val="en-US"/>
              </w:rPr>
              <w:t>40</w:t>
            </w:r>
          </w:p>
        </w:tc>
        <w:tc>
          <w:tcPr>
            <w:tcW w:w="2268" w:type="dxa"/>
            <w:vAlign w:val="center"/>
          </w:tcPr>
          <w:p w14:paraId="1DE86EB9" w14:textId="0FB44C4D" w:rsidR="00F17A5D" w:rsidRPr="00974DA2" w:rsidRDefault="00F17A5D" w:rsidP="004B2E33">
            <w:pPr>
              <w:spacing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368" w:dyaOrig="628" w14:anchorId="2F736366">
                <v:shape id="_x0000_i1104" type="#_x0000_t75" style="width:64.5pt;height:29pt" o:ole="">
                  <v:imagedata r:id="rId79" o:title=""/>
                </v:shape>
                <o:OLEObject Type="Embed" ProgID="ChemDraw.Document.6.0" ShapeID="_x0000_i1104" DrawAspect="Content" ObjectID="_1625729732" r:id="rId138"/>
              </w:object>
            </w:r>
          </w:p>
        </w:tc>
        <w:tc>
          <w:tcPr>
            <w:tcW w:w="951" w:type="dxa"/>
            <w:shd w:val="clear" w:color="auto" w:fill="auto"/>
            <w:vAlign w:val="center"/>
          </w:tcPr>
          <w:p w14:paraId="78EC6527" w14:textId="06E5A6E9"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27</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3399</w:t>
            </w:r>
          </w:p>
        </w:tc>
        <w:tc>
          <w:tcPr>
            <w:tcW w:w="992" w:type="dxa"/>
            <w:shd w:val="clear" w:color="auto" w:fill="auto"/>
            <w:vAlign w:val="center"/>
          </w:tcPr>
          <w:p w14:paraId="1FF180FB"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25.4547</w:t>
            </w:r>
          </w:p>
        </w:tc>
        <w:tc>
          <w:tcPr>
            <w:tcW w:w="993" w:type="dxa"/>
            <w:shd w:val="clear" w:color="auto" w:fill="auto"/>
            <w:vAlign w:val="center"/>
          </w:tcPr>
          <w:p w14:paraId="0EEDE1BF"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30.3512</w:t>
            </w:r>
          </w:p>
        </w:tc>
        <w:tc>
          <w:tcPr>
            <w:tcW w:w="928" w:type="dxa"/>
            <w:shd w:val="clear" w:color="auto" w:fill="auto"/>
            <w:vAlign w:val="center"/>
          </w:tcPr>
          <w:p w14:paraId="56FA1794"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30.8412</w:t>
            </w:r>
          </w:p>
        </w:tc>
        <w:tc>
          <w:tcPr>
            <w:tcW w:w="971" w:type="dxa"/>
            <w:shd w:val="clear" w:color="auto" w:fill="auto"/>
            <w:vAlign w:val="center"/>
          </w:tcPr>
          <w:p w14:paraId="536775A3" w14:textId="77777777" w:rsidR="00F17A5D" w:rsidRPr="00E37009" w:rsidRDefault="00F17A5D" w:rsidP="00957BEE">
            <w:pPr>
              <w:spacing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-2,89</w:t>
            </w:r>
          </w:p>
        </w:tc>
        <w:tc>
          <w:tcPr>
            <w:tcW w:w="1001" w:type="dxa"/>
            <w:shd w:val="clear" w:color="auto" w:fill="auto"/>
            <w:vAlign w:val="center"/>
          </w:tcPr>
          <w:p w14:paraId="4318C522" w14:textId="77777777" w:rsidR="00F17A5D" w:rsidRPr="00E37009" w:rsidRDefault="00F17A5D" w:rsidP="00957BEE">
            <w:pPr>
              <w:spacing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-3,13</w:t>
            </w:r>
          </w:p>
        </w:tc>
        <w:tc>
          <w:tcPr>
            <w:tcW w:w="983" w:type="dxa"/>
            <w:shd w:val="clear" w:color="auto" w:fill="auto"/>
            <w:vAlign w:val="center"/>
          </w:tcPr>
          <w:p w14:paraId="284F77CE" w14:textId="77777777" w:rsidR="00F17A5D" w:rsidRPr="00E37009" w:rsidRDefault="00F17A5D" w:rsidP="00957BEE">
            <w:pPr>
              <w:spacing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-5,05</w:t>
            </w:r>
          </w:p>
        </w:tc>
        <w:tc>
          <w:tcPr>
            <w:tcW w:w="983" w:type="dxa"/>
            <w:shd w:val="clear" w:color="auto" w:fill="auto"/>
            <w:vAlign w:val="center"/>
          </w:tcPr>
          <w:p w14:paraId="0BB3D422" w14:textId="77777777" w:rsidR="00F17A5D" w:rsidRPr="00E37009" w:rsidRDefault="00F17A5D" w:rsidP="00957BEE">
            <w:pPr>
              <w:spacing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-1,15</w:t>
            </w:r>
          </w:p>
        </w:tc>
      </w:tr>
      <w:tr w:rsidR="00F17A5D" w:rsidRPr="00E37009" w14:paraId="392FEECC" w14:textId="77777777" w:rsidTr="00E37009">
        <w:trPr>
          <w:gridAfter w:val="1"/>
          <w:wAfter w:w="28" w:type="dxa"/>
          <w:jc w:val="center"/>
        </w:trPr>
        <w:tc>
          <w:tcPr>
            <w:tcW w:w="704" w:type="dxa"/>
            <w:shd w:val="clear" w:color="auto" w:fill="auto"/>
            <w:vAlign w:val="center"/>
          </w:tcPr>
          <w:p w14:paraId="364C74BD" w14:textId="77777777"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b/>
                <w:sz w:val="16"/>
                <w:szCs w:val="20"/>
                <w:lang w:val="en-US"/>
              </w:rPr>
              <w:t>BHA</w:t>
            </w:r>
          </w:p>
        </w:tc>
        <w:tc>
          <w:tcPr>
            <w:tcW w:w="2268" w:type="dxa"/>
            <w:vAlign w:val="center"/>
          </w:tcPr>
          <w:p w14:paraId="2E27409E" w14:textId="29B0B116" w:rsidR="00F17A5D" w:rsidRPr="00974DA2" w:rsidRDefault="00F17A5D" w:rsidP="004B2E33">
            <w:pPr>
              <w:spacing w:after="0" w:line="360" w:lineRule="auto"/>
              <w:jc w:val="center"/>
              <w:rPr>
                <w:rFonts w:ascii="Times New Roman" w:hAnsi="Times New Roman" w:cs="Times New Roman"/>
                <w:sz w:val="18"/>
                <w:szCs w:val="20"/>
                <w:lang w:val="en-US"/>
              </w:rPr>
            </w:pPr>
            <w:r w:rsidRPr="00974DA2">
              <w:rPr>
                <w:rFonts w:ascii="Times New Roman" w:hAnsi="Times New Roman" w:cs="Times New Roman"/>
                <w:sz w:val="18"/>
                <w:szCs w:val="20"/>
                <w:lang w:val="en-US"/>
              </w:rPr>
              <w:object w:dxaOrig="1543" w:dyaOrig="1029" w14:anchorId="78B8FD45">
                <v:shape id="_x0000_i1105" type="#_x0000_t75" style="width:66.4pt;height:46.3pt" o:ole="">
                  <v:imagedata r:id="rId139" o:title=""/>
                </v:shape>
                <o:OLEObject Type="Embed" ProgID="ChemDraw.Document.6.0" ShapeID="_x0000_i1105" DrawAspect="Content" ObjectID="_1625729733" r:id="rId140"/>
              </w:object>
            </w:r>
          </w:p>
        </w:tc>
        <w:tc>
          <w:tcPr>
            <w:tcW w:w="951" w:type="dxa"/>
            <w:shd w:val="clear" w:color="auto" w:fill="auto"/>
            <w:vAlign w:val="center"/>
          </w:tcPr>
          <w:p w14:paraId="32E6AB97" w14:textId="5C5616F1"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31</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6326</w:t>
            </w:r>
          </w:p>
        </w:tc>
        <w:tc>
          <w:tcPr>
            <w:tcW w:w="992" w:type="dxa"/>
            <w:shd w:val="clear" w:color="auto" w:fill="auto"/>
            <w:vAlign w:val="center"/>
          </w:tcPr>
          <w:p w14:paraId="5651908D" w14:textId="3A3959EC"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29</w:t>
            </w:r>
            <w:r w:rsidR="00AD2FCF" w:rsidRPr="00E37009">
              <w:rPr>
                <w:rFonts w:ascii="Times New Roman" w:hAnsi="Times New Roman" w:cs="Times New Roman"/>
                <w:sz w:val="20"/>
                <w:szCs w:val="20"/>
                <w:lang w:val="en-US"/>
              </w:rPr>
              <w:t>.</w:t>
            </w:r>
            <w:r w:rsidRPr="00E37009">
              <w:rPr>
                <w:rFonts w:ascii="Times New Roman" w:hAnsi="Times New Roman" w:cs="Times New Roman"/>
                <w:sz w:val="20"/>
                <w:szCs w:val="20"/>
                <w:lang w:val="en-US"/>
              </w:rPr>
              <w:t>1091</w:t>
            </w:r>
          </w:p>
        </w:tc>
        <w:tc>
          <w:tcPr>
            <w:tcW w:w="993" w:type="dxa"/>
            <w:shd w:val="clear" w:color="auto" w:fill="auto"/>
            <w:vAlign w:val="center"/>
          </w:tcPr>
          <w:p w14:paraId="1223631E"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26.1487</w:t>
            </w:r>
          </w:p>
        </w:tc>
        <w:tc>
          <w:tcPr>
            <w:tcW w:w="928" w:type="dxa"/>
            <w:shd w:val="clear" w:color="auto" w:fill="auto"/>
            <w:vAlign w:val="center"/>
          </w:tcPr>
          <w:p w14:paraId="729E2CF8" w14:textId="77777777" w:rsidR="00F17A5D" w:rsidRPr="00E37009" w:rsidRDefault="00F17A5D" w:rsidP="004B2E33">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30.9807</w:t>
            </w:r>
          </w:p>
        </w:tc>
        <w:tc>
          <w:tcPr>
            <w:tcW w:w="971" w:type="dxa"/>
            <w:shd w:val="clear" w:color="auto" w:fill="auto"/>
            <w:vAlign w:val="center"/>
          </w:tcPr>
          <w:p w14:paraId="39301357"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-7,44</w:t>
            </w:r>
          </w:p>
        </w:tc>
        <w:tc>
          <w:tcPr>
            <w:tcW w:w="1001" w:type="dxa"/>
            <w:shd w:val="clear" w:color="auto" w:fill="auto"/>
            <w:vAlign w:val="center"/>
          </w:tcPr>
          <w:p w14:paraId="0462C428"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-6,71</w:t>
            </w:r>
          </w:p>
        </w:tc>
        <w:tc>
          <w:tcPr>
            <w:tcW w:w="983" w:type="dxa"/>
            <w:shd w:val="clear" w:color="auto" w:fill="auto"/>
            <w:vAlign w:val="center"/>
          </w:tcPr>
          <w:p w14:paraId="5C0BD3F3"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-6,41</w:t>
            </w:r>
          </w:p>
        </w:tc>
        <w:tc>
          <w:tcPr>
            <w:tcW w:w="983" w:type="dxa"/>
            <w:shd w:val="clear" w:color="auto" w:fill="auto"/>
            <w:vAlign w:val="center"/>
          </w:tcPr>
          <w:p w14:paraId="4CCEEB91" w14:textId="77777777" w:rsidR="00F17A5D" w:rsidRPr="00E37009" w:rsidRDefault="00F17A5D" w:rsidP="00957BEE">
            <w:pPr>
              <w:spacing w:after="0" w:line="240" w:lineRule="auto"/>
              <w:jc w:val="center"/>
              <w:rPr>
                <w:rFonts w:ascii="Times New Roman" w:hAnsi="Times New Roman" w:cs="Times New Roman"/>
                <w:sz w:val="20"/>
                <w:szCs w:val="20"/>
                <w:lang w:val="en-US"/>
              </w:rPr>
            </w:pPr>
            <w:r w:rsidRPr="00E37009">
              <w:rPr>
                <w:rFonts w:ascii="Times New Roman" w:hAnsi="Times New Roman" w:cs="Times New Roman"/>
                <w:sz w:val="20"/>
                <w:szCs w:val="20"/>
                <w:lang w:val="en-US"/>
              </w:rPr>
              <w:t>-6,66</w:t>
            </w:r>
          </w:p>
        </w:tc>
      </w:tr>
    </w:tbl>
    <w:p w14:paraId="152E24EF" w14:textId="77777777" w:rsidR="00E37009" w:rsidRDefault="00E37009" w:rsidP="00704373">
      <w:pPr>
        <w:jc w:val="center"/>
        <w:rPr>
          <w:rFonts w:ascii="Times New Roman" w:hAnsi="Times New Roman" w:cs="Times New Roman"/>
          <w:szCs w:val="24"/>
          <w:lang w:val="en-US"/>
        </w:rPr>
      </w:pPr>
    </w:p>
    <w:p w14:paraId="2711ECB2" w14:textId="264BA005" w:rsidR="00F17A5D" w:rsidRPr="00974DA2" w:rsidRDefault="00704373" w:rsidP="00E37009">
      <w:pPr>
        <w:jc w:val="center"/>
        <w:rPr>
          <w:rFonts w:ascii="Times New Roman" w:hAnsi="Times New Roman" w:cs="Times New Roman"/>
          <w:lang w:val="en-US"/>
        </w:rPr>
      </w:pPr>
      <w:r w:rsidRPr="00974DA2">
        <w:rPr>
          <w:rFonts w:ascii="Times New Roman" w:hAnsi="Times New Roman" w:cs="Times New Roman"/>
          <w:szCs w:val="24"/>
          <w:lang w:val="en-US"/>
        </w:rPr>
        <w:t>N.C. – not coordinated to Zn</w:t>
      </w:r>
      <w:r w:rsidRPr="00974DA2">
        <w:rPr>
          <w:rFonts w:ascii="Times New Roman" w:hAnsi="Times New Roman" w:cs="Times New Roman"/>
          <w:szCs w:val="24"/>
          <w:vertAlign w:val="superscript"/>
          <w:lang w:val="en-US"/>
        </w:rPr>
        <w:t>2+</w:t>
      </w:r>
      <w:r w:rsidRPr="00974DA2">
        <w:rPr>
          <w:rFonts w:ascii="Times New Roman" w:hAnsi="Times New Roman" w:cs="Times New Roman"/>
          <w:szCs w:val="24"/>
          <w:lang w:val="en-US"/>
        </w:rPr>
        <w:t xml:space="preserve"> cation inside the active pocket; IP – inverted pose (heteroatoms are inversely oriented towards Zn</w:t>
      </w:r>
      <w:r w:rsidRPr="00974DA2">
        <w:rPr>
          <w:rFonts w:ascii="Times New Roman" w:hAnsi="Times New Roman" w:cs="Times New Roman"/>
          <w:szCs w:val="24"/>
          <w:vertAlign w:val="superscript"/>
          <w:lang w:val="en-US"/>
        </w:rPr>
        <w:t>2+</w:t>
      </w:r>
      <w:r w:rsidRPr="00974DA2">
        <w:rPr>
          <w:rFonts w:ascii="Times New Roman" w:hAnsi="Times New Roman" w:cs="Times New Roman"/>
          <w:szCs w:val="24"/>
          <w:lang w:val="en-US"/>
        </w:rPr>
        <w:t xml:space="preserve"> cation).</w:t>
      </w:r>
    </w:p>
    <w:p w14:paraId="46F29180" w14:textId="77777777" w:rsidR="004B2E33" w:rsidRPr="00974DA2" w:rsidRDefault="004B2E33" w:rsidP="003950D7">
      <w:pPr>
        <w:jc w:val="both"/>
        <w:rPr>
          <w:rFonts w:ascii="Times New Roman" w:hAnsi="Times New Roman" w:cs="Times New Roman"/>
          <w:lang w:val="en-US"/>
        </w:rPr>
        <w:sectPr w:rsidR="004B2E33" w:rsidRPr="00974DA2" w:rsidSect="00F17A5D">
          <w:pgSz w:w="16838" w:h="11906" w:orient="landscape"/>
          <w:pgMar w:top="1701" w:right="1418" w:bottom="1701" w:left="1418" w:header="709" w:footer="709" w:gutter="0"/>
          <w:cols w:space="708"/>
          <w:docGrid w:linePitch="360"/>
        </w:sectPr>
      </w:pPr>
    </w:p>
    <w:p w14:paraId="62C4A47A" w14:textId="090A2EE8" w:rsidR="004B2E33" w:rsidRPr="00974DA2" w:rsidRDefault="003B1A1B" w:rsidP="00804D83">
      <w:pPr>
        <w:jc w:val="both"/>
        <w:rPr>
          <w:rFonts w:ascii="Times New Roman" w:eastAsia="Times New Roman" w:hAnsi="Times New Roman" w:cs="Times New Roman"/>
          <w:sz w:val="24"/>
          <w:szCs w:val="24"/>
          <w:lang w:val="en-US"/>
        </w:rPr>
      </w:pPr>
      <w:r w:rsidRPr="00974DA2">
        <w:rPr>
          <w:rFonts w:ascii="Times New Roman" w:eastAsia="Times New Roman" w:hAnsi="Times New Roman" w:cs="Times New Roman"/>
          <w:noProof/>
          <w:sz w:val="24"/>
          <w:szCs w:val="24"/>
          <w:lang w:val="en-US"/>
        </w:rPr>
        <w:lastRenderedPageBreak/>
        <w:drawing>
          <wp:inline distT="0" distB="0" distL="0" distR="0" wp14:anchorId="7687E680" wp14:editId="68C28236">
            <wp:extent cx="5391150" cy="3448050"/>
            <wp:effectExtent l="0" t="0" r="0" b="0"/>
            <wp:docPr id="82" name="Bild 82" descr="Figure 1new - HD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1new - HDAC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14:paraId="3CAC5594" w14:textId="77777777" w:rsidR="00825487" w:rsidRPr="00AA110A" w:rsidRDefault="00825487" w:rsidP="00825487">
      <w:pPr>
        <w:jc w:val="both"/>
        <w:rPr>
          <w:rFonts w:ascii="Times New Roman" w:eastAsia="Times New Roman" w:hAnsi="Times New Roman" w:cs="Times New Roman"/>
          <w:lang w:val="en-US"/>
        </w:rPr>
      </w:pPr>
      <w:r w:rsidRPr="00AA110A">
        <w:rPr>
          <w:rFonts w:ascii="Times New Roman" w:eastAsia="Times New Roman" w:hAnsi="Times New Roman" w:cs="Times New Roman"/>
          <w:b/>
          <w:lang w:val="en-US"/>
        </w:rPr>
        <w:t>Figure S1</w:t>
      </w:r>
      <w:r w:rsidRPr="00AA110A">
        <w:rPr>
          <w:rFonts w:ascii="Times New Roman" w:eastAsia="Times New Roman" w:hAnsi="Times New Roman" w:cs="Times New Roman"/>
          <w:lang w:val="en-US"/>
        </w:rPr>
        <w:t xml:space="preserve">. Presentation of the selected fragments inside the active pocket of HDAC1 (A –fragment </w:t>
      </w:r>
      <w:r w:rsidRPr="00AA110A">
        <w:rPr>
          <w:rFonts w:ascii="Times New Roman" w:eastAsia="Times New Roman" w:hAnsi="Times New Roman" w:cs="Times New Roman"/>
          <w:b/>
          <w:lang w:val="en-US"/>
        </w:rPr>
        <w:t>3</w:t>
      </w:r>
      <w:r w:rsidRPr="00AA110A">
        <w:rPr>
          <w:rFonts w:ascii="Times New Roman" w:eastAsia="Times New Roman" w:hAnsi="Times New Roman" w:cs="Times New Roman"/>
          <w:lang w:val="en-US"/>
        </w:rPr>
        <w:t xml:space="preserve">, B – fragment </w:t>
      </w:r>
      <w:r w:rsidRPr="00AA110A">
        <w:rPr>
          <w:rFonts w:ascii="Times New Roman" w:eastAsia="Times New Roman" w:hAnsi="Times New Roman" w:cs="Times New Roman"/>
          <w:b/>
          <w:lang w:val="en-US"/>
        </w:rPr>
        <w:t>4</w:t>
      </w:r>
      <w:r w:rsidRPr="00AA110A">
        <w:rPr>
          <w:rFonts w:ascii="Times New Roman" w:eastAsia="Times New Roman" w:hAnsi="Times New Roman" w:cs="Times New Roman"/>
          <w:lang w:val="en-US"/>
        </w:rPr>
        <w:t xml:space="preserve">, C – fragment </w:t>
      </w:r>
      <w:r w:rsidRPr="00AA110A">
        <w:rPr>
          <w:rFonts w:ascii="Times New Roman" w:eastAsia="Times New Roman" w:hAnsi="Times New Roman" w:cs="Times New Roman"/>
          <w:b/>
          <w:lang w:val="en-US"/>
        </w:rPr>
        <w:t>13</w:t>
      </w:r>
      <w:r w:rsidRPr="00AA110A">
        <w:rPr>
          <w:rFonts w:ascii="Times New Roman" w:eastAsia="Times New Roman" w:hAnsi="Times New Roman" w:cs="Times New Roman"/>
          <w:lang w:val="en-US"/>
        </w:rPr>
        <w:t xml:space="preserve"> and D – fragment </w:t>
      </w:r>
      <w:r w:rsidRPr="00AA110A">
        <w:rPr>
          <w:rFonts w:ascii="Times New Roman" w:eastAsia="Times New Roman" w:hAnsi="Times New Roman" w:cs="Times New Roman"/>
          <w:b/>
          <w:lang w:val="en-US"/>
        </w:rPr>
        <w:t>16</w:t>
      </w:r>
      <w:r w:rsidRPr="00AA110A">
        <w:rPr>
          <w:rFonts w:ascii="Times New Roman" w:eastAsia="Times New Roman" w:hAnsi="Times New Roman" w:cs="Times New Roman"/>
          <w:lang w:val="en-US"/>
        </w:rPr>
        <w:t>).</w:t>
      </w:r>
    </w:p>
    <w:p w14:paraId="71326FF1" w14:textId="77777777" w:rsidR="004B2E33" w:rsidRPr="00974DA2" w:rsidRDefault="004B2E33" w:rsidP="00804D83">
      <w:pPr>
        <w:jc w:val="both"/>
        <w:rPr>
          <w:rFonts w:ascii="Times New Roman" w:eastAsia="Times New Roman" w:hAnsi="Times New Roman" w:cs="Times New Roman"/>
          <w:b/>
          <w:sz w:val="24"/>
          <w:szCs w:val="24"/>
          <w:lang w:val="en-US"/>
        </w:rPr>
      </w:pPr>
    </w:p>
    <w:p w14:paraId="7424442B" w14:textId="40E24E34" w:rsidR="004B2E33" w:rsidRPr="00974DA2" w:rsidRDefault="003B1A1B" w:rsidP="005D1E40">
      <w:pPr>
        <w:jc w:val="center"/>
        <w:rPr>
          <w:rFonts w:ascii="Times New Roman" w:eastAsia="Times New Roman" w:hAnsi="Times New Roman" w:cs="Times New Roman"/>
          <w:sz w:val="24"/>
          <w:szCs w:val="24"/>
          <w:lang w:val="en-US"/>
        </w:rPr>
      </w:pPr>
      <w:r w:rsidRPr="00974DA2">
        <w:rPr>
          <w:rFonts w:ascii="Times New Roman" w:eastAsia="Times New Roman" w:hAnsi="Times New Roman" w:cs="Times New Roman"/>
          <w:noProof/>
          <w:sz w:val="24"/>
          <w:szCs w:val="24"/>
          <w:lang w:val="en-US"/>
        </w:rPr>
        <w:drawing>
          <wp:inline distT="0" distB="0" distL="0" distR="0" wp14:anchorId="7DD63D8A" wp14:editId="7C436763">
            <wp:extent cx="5286375" cy="3505200"/>
            <wp:effectExtent l="0" t="0" r="9525" b="0"/>
            <wp:docPr id="83" name="Bild 83" descr="Figure 2 - H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e 2 - HDAC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286375" cy="3505200"/>
                    </a:xfrm>
                    <a:prstGeom prst="rect">
                      <a:avLst/>
                    </a:prstGeom>
                    <a:noFill/>
                    <a:ln>
                      <a:noFill/>
                    </a:ln>
                  </pic:spPr>
                </pic:pic>
              </a:graphicData>
            </a:graphic>
          </wp:inline>
        </w:drawing>
      </w:r>
    </w:p>
    <w:p w14:paraId="61F99D72" w14:textId="77777777" w:rsidR="00825487" w:rsidRPr="00AA110A" w:rsidRDefault="00825487" w:rsidP="00AA110A">
      <w:pPr>
        <w:rPr>
          <w:rFonts w:ascii="Times New Roman" w:eastAsia="Times New Roman" w:hAnsi="Times New Roman" w:cs="Times New Roman"/>
          <w:lang w:val="en-US"/>
        </w:rPr>
      </w:pPr>
      <w:r w:rsidRPr="00AA110A">
        <w:rPr>
          <w:rFonts w:ascii="Times New Roman" w:eastAsia="Times New Roman" w:hAnsi="Times New Roman" w:cs="Times New Roman"/>
          <w:b/>
          <w:lang w:val="en-US"/>
        </w:rPr>
        <w:t>Figure S2</w:t>
      </w:r>
      <w:r w:rsidRPr="00AA110A">
        <w:rPr>
          <w:rFonts w:ascii="Times New Roman" w:eastAsia="Times New Roman" w:hAnsi="Times New Roman" w:cs="Times New Roman"/>
          <w:lang w:val="en-US"/>
        </w:rPr>
        <w:t>.</w:t>
      </w:r>
      <w:r w:rsidRPr="00AA110A">
        <w:rPr>
          <w:rFonts w:ascii="Times New Roman" w:hAnsi="Times New Roman" w:cs="Times New Roman"/>
          <w:lang w:val="en-US"/>
        </w:rPr>
        <w:t xml:space="preserve"> </w:t>
      </w:r>
      <w:r w:rsidRPr="00AA110A">
        <w:rPr>
          <w:rFonts w:ascii="Times New Roman" w:eastAsia="Times New Roman" w:hAnsi="Times New Roman" w:cs="Times New Roman"/>
          <w:lang w:val="en-US"/>
        </w:rPr>
        <w:t xml:space="preserve">Presentation of the selected fragments inside the active pocket of HDAC4 (A –fragment </w:t>
      </w:r>
      <w:r w:rsidRPr="00AA110A">
        <w:rPr>
          <w:rFonts w:ascii="Times New Roman" w:eastAsia="Times New Roman" w:hAnsi="Times New Roman" w:cs="Times New Roman"/>
          <w:b/>
          <w:lang w:val="en-US"/>
        </w:rPr>
        <w:t>3</w:t>
      </w:r>
      <w:r w:rsidRPr="00AA110A">
        <w:rPr>
          <w:rFonts w:ascii="Times New Roman" w:eastAsia="Times New Roman" w:hAnsi="Times New Roman" w:cs="Times New Roman"/>
          <w:lang w:val="en-US"/>
        </w:rPr>
        <w:t xml:space="preserve">, B – fragment </w:t>
      </w:r>
      <w:r w:rsidRPr="00AA110A">
        <w:rPr>
          <w:rFonts w:ascii="Times New Roman" w:eastAsia="Times New Roman" w:hAnsi="Times New Roman" w:cs="Times New Roman"/>
          <w:b/>
          <w:lang w:val="en-US"/>
        </w:rPr>
        <w:t>4</w:t>
      </w:r>
      <w:r w:rsidRPr="00AA110A">
        <w:rPr>
          <w:rFonts w:ascii="Times New Roman" w:eastAsia="Times New Roman" w:hAnsi="Times New Roman" w:cs="Times New Roman"/>
          <w:lang w:val="en-US"/>
        </w:rPr>
        <w:t xml:space="preserve">, C – fragment </w:t>
      </w:r>
      <w:r w:rsidRPr="00AA110A">
        <w:rPr>
          <w:rFonts w:ascii="Times New Roman" w:eastAsia="Times New Roman" w:hAnsi="Times New Roman" w:cs="Times New Roman"/>
          <w:b/>
          <w:lang w:val="en-US"/>
        </w:rPr>
        <w:t>13</w:t>
      </w:r>
      <w:r w:rsidRPr="00AA110A">
        <w:rPr>
          <w:rFonts w:ascii="Times New Roman" w:eastAsia="Times New Roman" w:hAnsi="Times New Roman" w:cs="Times New Roman"/>
          <w:lang w:val="en-US"/>
        </w:rPr>
        <w:t xml:space="preserve"> and D – fragment </w:t>
      </w:r>
      <w:r w:rsidRPr="00AA110A">
        <w:rPr>
          <w:rFonts w:ascii="Times New Roman" w:eastAsia="Times New Roman" w:hAnsi="Times New Roman" w:cs="Times New Roman"/>
          <w:b/>
          <w:lang w:val="en-US"/>
        </w:rPr>
        <w:t>16</w:t>
      </w:r>
      <w:r w:rsidRPr="00AA110A">
        <w:rPr>
          <w:rFonts w:ascii="Times New Roman" w:eastAsia="Times New Roman" w:hAnsi="Times New Roman" w:cs="Times New Roman"/>
          <w:lang w:val="en-US"/>
        </w:rPr>
        <w:t>).</w:t>
      </w:r>
    </w:p>
    <w:p w14:paraId="12E511B4" w14:textId="10A58D06" w:rsidR="004B2E33" w:rsidRPr="00974DA2" w:rsidRDefault="004B2E33" w:rsidP="00804D83">
      <w:pPr>
        <w:jc w:val="both"/>
        <w:rPr>
          <w:rFonts w:ascii="Times New Roman" w:eastAsia="Times New Roman" w:hAnsi="Times New Roman" w:cs="Times New Roman"/>
          <w:sz w:val="24"/>
          <w:szCs w:val="24"/>
          <w:lang w:val="en-US"/>
        </w:rPr>
      </w:pPr>
    </w:p>
    <w:p w14:paraId="4EFEF532" w14:textId="5E4B1ECD" w:rsidR="004B2E33" w:rsidRPr="00974DA2" w:rsidRDefault="003B1A1B" w:rsidP="001B6B1B">
      <w:pPr>
        <w:jc w:val="center"/>
        <w:rPr>
          <w:rFonts w:ascii="Times New Roman" w:eastAsia="Times New Roman" w:hAnsi="Times New Roman" w:cs="Times New Roman"/>
          <w:sz w:val="24"/>
          <w:szCs w:val="24"/>
          <w:lang w:val="en-US"/>
        </w:rPr>
      </w:pPr>
      <w:r w:rsidRPr="00974DA2">
        <w:rPr>
          <w:rFonts w:ascii="Times New Roman" w:eastAsia="Times New Roman" w:hAnsi="Times New Roman" w:cs="Times New Roman"/>
          <w:noProof/>
          <w:sz w:val="24"/>
          <w:szCs w:val="24"/>
          <w:lang w:val="en-US"/>
        </w:rPr>
        <w:lastRenderedPageBreak/>
        <w:drawing>
          <wp:inline distT="0" distB="0" distL="0" distR="0" wp14:anchorId="2CA0AF99" wp14:editId="68FA1D83">
            <wp:extent cx="5010150" cy="3686175"/>
            <wp:effectExtent l="0" t="0" r="0" b="9525"/>
            <wp:docPr id="84" name="Bild 84" descr="Figure 3 - HD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 3 - HDAC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10150" cy="3686175"/>
                    </a:xfrm>
                    <a:prstGeom prst="rect">
                      <a:avLst/>
                    </a:prstGeom>
                    <a:noFill/>
                    <a:ln>
                      <a:noFill/>
                    </a:ln>
                  </pic:spPr>
                </pic:pic>
              </a:graphicData>
            </a:graphic>
          </wp:inline>
        </w:drawing>
      </w:r>
    </w:p>
    <w:p w14:paraId="44ED1D43" w14:textId="3A1FE10B" w:rsidR="004B2E33" w:rsidRPr="00AA110A" w:rsidRDefault="00825487" w:rsidP="00804D83">
      <w:pPr>
        <w:jc w:val="both"/>
        <w:rPr>
          <w:rFonts w:ascii="Times New Roman" w:eastAsia="Times New Roman" w:hAnsi="Times New Roman" w:cs="Times New Roman"/>
          <w:lang w:val="en-US"/>
        </w:rPr>
      </w:pPr>
      <w:r w:rsidRPr="00AA110A">
        <w:rPr>
          <w:rFonts w:ascii="Times New Roman" w:eastAsia="Times New Roman" w:hAnsi="Times New Roman" w:cs="Times New Roman"/>
          <w:b/>
          <w:lang w:val="en-US"/>
        </w:rPr>
        <w:t>Figure S3</w:t>
      </w:r>
      <w:r w:rsidRPr="00AA110A">
        <w:rPr>
          <w:rFonts w:ascii="Times New Roman" w:eastAsia="Times New Roman" w:hAnsi="Times New Roman" w:cs="Times New Roman"/>
          <w:lang w:val="en-US"/>
        </w:rPr>
        <w:t xml:space="preserve">. Presentation of the selected fragments inside the active pocket of HDAC6 (A –fragment </w:t>
      </w:r>
      <w:r w:rsidRPr="00AA110A">
        <w:rPr>
          <w:rFonts w:ascii="Times New Roman" w:eastAsia="Times New Roman" w:hAnsi="Times New Roman" w:cs="Times New Roman"/>
          <w:b/>
          <w:lang w:val="en-US"/>
        </w:rPr>
        <w:t>3</w:t>
      </w:r>
      <w:r w:rsidRPr="00AA110A">
        <w:rPr>
          <w:rFonts w:ascii="Times New Roman" w:eastAsia="Times New Roman" w:hAnsi="Times New Roman" w:cs="Times New Roman"/>
          <w:lang w:val="en-US"/>
        </w:rPr>
        <w:t xml:space="preserve">, B – fragment </w:t>
      </w:r>
      <w:r w:rsidRPr="00AA110A">
        <w:rPr>
          <w:rFonts w:ascii="Times New Roman" w:eastAsia="Times New Roman" w:hAnsi="Times New Roman" w:cs="Times New Roman"/>
          <w:b/>
          <w:lang w:val="en-US"/>
        </w:rPr>
        <w:t>4</w:t>
      </w:r>
      <w:r w:rsidRPr="00AA110A">
        <w:rPr>
          <w:rFonts w:ascii="Times New Roman" w:eastAsia="Times New Roman" w:hAnsi="Times New Roman" w:cs="Times New Roman"/>
          <w:lang w:val="en-US"/>
        </w:rPr>
        <w:t xml:space="preserve">, C – fragment </w:t>
      </w:r>
      <w:r w:rsidRPr="00AA110A">
        <w:rPr>
          <w:rFonts w:ascii="Times New Roman" w:eastAsia="Times New Roman" w:hAnsi="Times New Roman" w:cs="Times New Roman"/>
          <w:b/>
          <w:lang w:val="en-US"/>
        </w:rPr>
        <w:t>13</w:t>
      </w:r>
      <w:r w:rsidRPr="00AA110A">
        <w:rPr>
          <w:rFonts w:ascii="Times New Roman" w:eastAsia="Times New Roman" w:hAnsi="Times New Roman" w:cs="Times New Roman"/>
          <w:lang w:val="en-US"/>
        </w:rPr>
        <w:t xml:space="preserve"> and D – fragment </w:t>
      </w:r>
      <w:r w:rsidRPr="00AA110A">
        <w:rPr>
          <w:rFonts w:ascii="Times New Roman" w:eastAsia="Times New Roman" w:hAnsi="Times New Roman" w:cs="Times New Roman"/>
          <w:b/>
          <w:lang w:val="en-US"/>
        </w:rPr>
        <w:t>16</w:t>
      </w:r>
      <w:r w:rsidRPr="00AA110A">
        <w:rPr>
          <w:rFonts w:ascii="Times New Roman" w:eastAsia="Times New Roman" w:hAnsi="Times New Roman" w:cs="Times New Roman"/>
          <w:lang w:val="en-US"/>
        </w:rPr>
        <w:t>).</w:t>
      </w:r>
    </w:p>
    <w:p w14:paraId="7CAFD535" w14:textId="77777777" w:rsidR="00825487" w:rsidRPr="00974DA2" w:rsidRDefault="00825487" w:rsidP="00804D83">
      <w:pPr>
        <w:jc w:val="both"/>
        <w:rPr>
          <w:rFonts w:ascii="Times New Roman" w:eastAsia="Times New Roman" w:hAnsi="Times New Roman" w:cs="Times New Roman"/>
          <w:sz w:val="24"/>
          <w:szCs w:val="24"/>
          <w:lang w:val="en-US"/>
        </w:rPr>
      </w:pPr>
    </w:p>
    <w:p w14:paraId="071E6339" w14:textId="342C6078" w:rsidR="00825487" w:rsidRPr="00AA110A" w:rsidRDefault="003B1A1B" w:rsidP="00825487">
      <w:pPr>
        <w:jc w:val="both"/>
        <w:rPr>
          <w:rFonts w:ascii="Times New Roman" w:eastAsia="Times New Roman" w:hAnsi="Times New Roman" w:cs="Times New Roman"/>
          <w:lang w:val="en-US"/>
        </w:rPr>
      </w:pPr>
      <w:r w:rsidRPr="00974DA2">
        <w:rPr>
          <w:rFonts w:ascii="Times New Roman" w:eastAsia="Times New Roman" w:hAnsi="Times New Roman" w:cs="Times New Roman"/>
          <w:b/>
          <w:noProof/>
          <w:sz w:val="24"/>
          <w:szCs w:val="24"/>
          <w:lang w:val="en-US"/>
        </w:rPr>
        <w:drawing>
          <wp:inline distT="0" distB="0" distL="0" distR="0" wp14:anchorId="2A406EB3" wp14:editId="748F2FDE">
            <wp:extent cx="5391150" cy="3771900"/>
            <wp:effectExtent l="0" t="0" r="0" b="0"/>
            <wp:docPr id="85" name="Bild 85" descr="Figure 4 - HD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4 - HDAC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91150" cy="3771900"/>
                    </a:xfrm>
                    <a:prstGeom prst="rect">
                      <a:avLst/>
                    </a:prstGeom>
                    <a:noFill/>
                    <a:ln>
                      <a:noFill/>
                    </a:ln>
                  </pic:spPr>
                </pic:pic>
              </a:graphicData>
            </a:graphic>
          </wp:inline>
        </w:drawing>
      </w:r>
      <w:r w:rsidR="00825487" w:rsidRPr="00974DA2">
        <w:rPr>
          <w:rFonts w:ascii="Times New Roman" w:eastAsia="Times New Roman" w:hAnsi="Times New Roman" w:cs="Times New Roman"/>
          <w:b/>
          <w:sz w:val="24"/>
          <w:szCs w:val="24"/>
          <w:lang w:val="en-US"/>
        </w:rPr>
        <w:t xml:space="preserve"> </w:t>
      </w:r>
      <w:r w:rsidR="00825487" w:rsidRPr="00AA110A">
        <w:rPr>
          <w:rFonts w:ascii="Times New Roman" w:eastAsia="Times New Roman" w:hAnsi="Times New Roman" w:cs="Times New Roman"/>
          <w:b/>
          <w:lang w:val="en-US"/>
        </w:rPr>
        <w:t>Figure S4</w:t>
      </w:r>
      <w:r w:rsidR="00825487" w:rsidRPr="00AA110A">
        <w:rPr>
          <w:rFonts w:ascii="Times New Roman" w:eastAsia="Times New Roman" w:hAnsi="Times New Roman" w:cs="Times New Roman"/>
          <w:lang w:val="en-US"/>
        </w:rPr>
        <w:t xml:space="preserve">. Presentation of the selected fragments inside the active pocket of HDAC8 (A –fragment </w:t>
      </w:r>
      <w:r w:rsidR="00825487" w:rsidRPr="00AA110A">
        <w:rPr>
          <w:rFonts w:ascii="Times New Roman" w:eastAsia="Times New Roman" w:hAnsi="Times New Roman" w:cs="Times New Roman"/>
          <w:b/>
          <w:lang w:val="en-US"/>
        </w:rPr>
        <w:t>3</w:t>
      </w:r>
      <w:r w:rsidR="00825487" w:rsidRPr="00AA110A">
        <w:rPr>
          <w:rFonts w:ascii="Times New Roman" w:eastAsia="Times New Roman" w:hAnsi="Times New Roman" w:cs="Times New Roman"/>
          <w:lang w:val="en-US"/>
        </w:rPr>
        <w:t xml:space="preserve">, B – fragment </w:t>
      </w:r>
      <w:r w:rsidR="00825487" w:rsidRPr="00AA110A">
        <w:rPr>
          <w:rFonts w:ascii="Times New Roman" w:eastAsia="Times New Roman" w:hAnsi="Times New Roman" w:cs="Times New Roman"/>
          <w:b/>
          <w:lang w:val="en-US"/>
        </w:rPr>
        <w:t>4</w:t>
      </w:r>
      <w:r w:rsidR="00825487" w:rsidRPr="00AA110A">
        <w:rPr>
          <w:rFonts w:ascii="Times New Roman" w:eastAsia="Times New Roman" w:hAnsi="Times New Roman" w:cs="Times New Roman"/>
          <w:lang w:val="en-US"/>
        </w:rPr>
        <w:t xml:space="preserve">, C – fragment </w:t>
      </w:r>
      <w:r w:rsidR="00825487" w:rsidRPr="00AA110A">
        <w:rPr>
          <w:rFonts w:ascii="Times New Roman" w:eastAsia="Times New Roman" w:hAnsi="Times New Roman" w:cs="Times New Roman"/>
          <w:b/>
          <w:lang w:val="en-US"/>
        </w:rPr>
        <w:t>13</w:t>
      </w:r>
      <w:r w:rsidR="00825487" w:rsidRPr="00AA110A">
        <w:rPr>
          <w:rFonts w:ascii="Times New Roman" w:eastAsia="Times New Roman" w:hAnsi="Times New Roman" w:cs="Times New Roman"/>
          <w:lang w:val="en-US"/>
        </w:rPr>
        <w:t xml:space="preserve"> and D – fragment </w:t>
      </w:r>
      <w:r w:rsidR="00825487" w:rsidRPr="00AA110A">
        <w:rPr>
          <w:rFonts w:ascii="Times New Roman" w:eastAsia="Times New Roman" w:hAnsi="Times New Roman" w:cs="Times New Roman"/>
          <w:b/>
          <w:lang w:val="en-US"/>
        </w:rPr>
        <w:t>16</w:t>
      </w:r>
      <w:r w:rsidR="00825487" w:rsidRPr="00AA110A">
        <w:rPr>
          <w:rFonts w:ascii="Times New Roman" w:eastAsia="Times New Roman" w:hAnsi="Times New Roman" w:cs="Times New Roman"/>
          <w:lang w:val="en-US"/>
        </w:rPr>
        <w:t>).</w:t>
      </w:r>
    </w:p>
    <w:p w14:paraId="66ECF3B3" w14:textId="4B67A4CF" w:rsidR="00BB613A" w:rsidRPr="00765FE9" w:rsidRDefault="007067FE" w:rsidP="00E37009">
      <w:pPr>
        <w:pStyle w:val="KeinLeerraum"/>
        <w:rPr>
          <w:lang w:val="en-US"/>
        </w:rPr>
      </w:pPr>
      <w:r w:rsidRPr="00974DA2">
        <w:rPr>
          <w:noProof/>
          <w:lang w:val="en-US"/>
        </w:rPr>
        <w:lastRenderedPageBreak/>
        <w:drawing>
          <wp:inline distT="0" distB="0" distL="0" distR="0" wp14:anchorId="3B6DDD74" wp14:editId="622A6FD1">
            <wp:extent cx="5387340" cy="22479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87340" cy="2247900"/>
                    </a:xfrm>
                    <a:prstGeom prst="rect">
                      <a:avLst/>
                    </a:prstGeom>
                    <a:noFill/>
                    <a:ln>
                      <a:noFill/>
                    </a:ln>
                  </pic:spPr>
                </pic:pic>
              </a:graphicData>
            </a:graphic>
          </wp:inline>
        </w:drawing>
      </w:r>
    </w:p>
    <w:p w14:paraId="2B4DFB36" w14:textId="00F201CE" w:rsidR="00BB613A" w:rsidRDefault="00BB613A" w:rsidP="00BB613A">
      <w:pPr>
        <w:pStyle w:val="Beschriftung"/>
        <w:jc w:val="both"/>
        <w:rPr>
          <w:rFonts w:ascii="Times New Roman" w:hAnsi="Times New Roman" w:cs="Times New Roman"/>
          <w:b w:val="0"/>
          <w:color w:val="auto"/>
          <w:sz w:val="22"/>
          <w:szCs w:val="22"/>
          <w:lang w:val="en-US"/>
        </w:rPr>
      </w:pPr>
      <w:r w:rsidRPr="00765FE9">
        <w:rPr>
          <w:rFonts w:ascii="Times New Roman" w:hAnsi="Times New Roman" w:cs="Times New Roman"/>
          <w:color w:val="auto"/>
          <w:sz w:val="22"/>
          <w:szCs w:val="22"/>
          <w:lang w:val="en-US"/>
        </w:rPr>
        <w:t>Figure S5</w:t>
      </w:r>
      <w:r w:rsidRPr="00765FE9">
        <w:rPr>
          <w:rFonts w:ascii="Times New Roman" w:hAnsi="Times New Roman" w:cs="Times New Roman"/>
          <w:b w:val="0"/>
          <w:color w:val="auto"/>
          <w:sz w:val="22"/>
          <w:szCs w:val="22"/>
          <w:lang w:val="en-US"/>
        </w:rPr>
        <w:t xml:space="preserve">. Root-mean-square deviations (RMSD) for ligand atoms calculated for </w:t>
      </w:r>
      <w:r w:rsidR="009F16D3" w:rsidRPr="00974DA2">
        <w:rPr>
          <w:rFonts w:ascii="Times New Roman" w:hAnsi="Times New Roman" w:cs="Times New Roman"/>
          <w:b w:val="0"/>
          <w:color w:val="auto"/>
          <w:sz w:val="22"/>
          <w:szCs w:val="22"/>
          <w:lang w:val="en-US"/>
        </w:rPr>
        <w:t>20</w:t>
      </w:r>
      <w:r w:rsidRPr="00765FE9">
        <w:rPr>
          <w:rFonts w:ascii="Times New Roman" w:hAnsi="Times New Roman" w:cs="Times New Roman"/>
          <w:b w:val="0"/>
          <w:color w:val="auto"/>
          <w:sz w:val="22"/>
          <w:szCs w:val="22"/>
          <w:lang w:val="en-US"/>
        </w:rPr>
        <w:t xml:space="preserve"> ns of MD simulation.</w:t>
      </w:r>
    </w:p>
    <w:p w14:paraId="5F3BFA06" w14:textId="77777777" w:rsidR="00E37009" w:rsidRPr="00E37009" w:rsidRDefault="00E37009" w:rsidP="00E37009">
      <w:pPr>
        <w:rPr>
          <w:lang w:val="en-US"/>
        </w:rPr>
      </w:pPr>
    </w:p>
    <w:p w14:paraId="28DF3AE6" w14:textId="560A0F13" w:rsidR="00BB613A" w:rsidRPr="00E37009" w:rsidRDefault="003B1A1B" w:rsidP="00E37009">
      <w:pPr>
        <w:pStyle w:val="KeinLeerraum"/>
        <w:rPr>
          <w:lang w:val="en-US"/>
        </w:rPr>
      </w:pPr>
      <w:r w:rsidRPr="00974DA2">
        <w:rPr>
          <w:noProof/>
          <w:lang w:val="en-US"/>
        </w:rPr>
        <w:drawing>
          <wp:inline distT="0" distB="0" distL="0" distR="0" wp14:anchorId="546C384D" wp14:editId="4FE31784">
            <wp:extent cx="5391150" cy="3038475"/>
            <wp:effectExtent l="0" t="0" r="0" b="9525"/>
            <wp:docPr id="87" name="Bild 87" descr="Screenshot from 2019-06-26 13-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shot from 2019-06-26 13-13-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14:paraId="4D00E724" w14:textId="1AF3AF3F" w:rsidR="00BB613A" w:rsidRPr="00E37009" w:rsidRDefault="00BA4A3C" w:rsidP="00825487">
      <w:pPr>
        <w:pStyle w:val="Beschriftung"/>
        <w:spacing w:line="276" w:lineRule="auto"/>
        <w:jc w:val="both"/>
        <w:rPr>
          <w:rFonts w:ascii="Times New Roman" w:hAnsi="Times New Roman" w:cs="Times New Roman"/>
          <w:sz w:val="22"/>
          <w:szCs w:val="22"/>
          <w:lang w:val="en-US"/>
        </w:rPr>
      </w:pPr>
      <w:r w:rsidRPr="00E37009">
        <w:rPr>
          <w:rFonts w:ascii="Times New Roman" w:hAnsi="Times New Roman" w:cs="Times New Roman"/>
          <w:color w:val="auto"/>
          <w:sz w:val="22"/>
          <w:szCs w:val="22"/>
          <w:lang w:val="en-US"/>
        </w:rPr>
        <w:t>Figure S6</w:t>
      </w:r>
      <w:r w:rsidR="00BB613A" w:rsidRPr="00E37009">
        <w:rPr>
          <w:rFonts w:ascii="Times New Roman" w:hAnsi="Times New Roman" w:cs="Times New Roman"/>
          <w:b w:val="0"/>
          <w:color w:val="auto"/>
          <w:sz w:val="22"/>
          <w:szCs w:val="22"/>
          <w:lang w:val="en-US"/>
        </w:rPr>
        <w:t xml:space="preserve">. Superposition of HDAC6-fragment </w:t>
      </w:r>
      <w:r w:rsidR="00BB613A" w:rsidRPr="00E37009">
        <w:rPr>
          <w:rFonts w:ascii="Times New Roman" w:hAnsi="Times New Roman" w:cs="Times New Roman"/>
          <w:color w:val="auto"/>
          <w:sz w:val="22"/>
          <w:szCs w:val="22"/>
          <w:lang w:val="en-US"/>
        </w:rPr>
        <w:t>3</w:t>
      </w:r>
      <w:r w:rsidR="00BB613A" w:rsidRPr="00E37009">
        <w:rPr>
          <w:rFonts w:ascii="Times New Roman" w:hAnsi="Times New Roman" w:cs="Times New Roman"/>
          <w:b w:val="0"/>
          <w:color w:val="auto"/>
          <w:sz w:val="22"/>
          <w:szCs w:val="22"/>
          <w:lang w:val="en-US"/>
        </w:rPr>
        <w:t xml:space="preserve"> complex with PDB ID</w:t>
      </w:r>
      <w:r w:rsidRPr="00E37009">
        <w:rPr>
          <w:rFonts w:ascii="Times New Roman" w:hAnsi="Times New Roman" w:cs="Times New Roman"/>
          <w:b w:val="0"/>
          <w:color w:val="auto"/>
          <w:sz w:val="22"/>
          <w:szCs w:val="22"/>
          <w:lang w:val="en-US"/>
        </w:rPr>
        <w:t>:</w:t>
      </w:r>
      <w:r w:rsidR="00BB613A" w:rsidRPr="00E37009">
        <w:rPr>
          <w:rFonts w:ascii="Times New Roman" w:hAnsi="Times New Roman" w:cs="Times New Roman"/>
          <w:b w:val="0"/>
          <w:color w:val="auto"/>
          <w:sz w:val="22"/>
          <w:szCs w:val="22"/>
          <w:lang w:val="en-US"/>
        </w:rPr>
        <w:t xml:space="preserve">3SFF. Fragment </w:t>
      </w:r>
      <w:r w:rsidR="00BB613A" w:rsidRPr="002969DA">
        <w:rPr>
          <w:rFonts w:ascii="Times New Roman" w:hAnsi="Times New Roman" w:cs="Times New Roman"/>
          <w:color w:val="auto"/>
          <w:sz w:val="22"/>
          <w:szCs w:val="22"/>
          <w:lang w:val="en-US"/>
        </w:rPr>
        <w:t>3</w:t>
      </w:r>
      <w:r w:rsidR="00BB613A" w:rsidRPr="00E37009">
        <w:rPr>
          <w:rFonts w:ascii="Times New Roman" w:hAnsi="Times New Roman" w:cs="Times New Roman"/>
          <w:b w:val="0"/>
          <w:color w:val="auto"/>
          <w:sz w:val="22"/>
          <w:szCs w:val="22"/>
          <w:lang w:val="en-US"/>
        </w:rPr>
        <w:t xml:space="preserve"> is presented in orange, selective HDAC8 inhibitor (</w:t>
      </w:r>
      <w:r w:rsidR="00BB613A" w:rsidRPr="00974DA2">
        <w:rPr>
          <w:rFonts w:ascii="Times New Roman" w:eastAsia="Times New Roman" w:hAnsi="Times New Roman" w:cs="Times New Roman"/>
          <w:b w:val="0"/>
          <w:color w:val="auto"/>
          <w:sz w:val="22"/>
          <w:szCs w:val="22"/>
          <w:lang w:val="en-US"/>
        </w:rPr>
        <w:t>alpha-amino carbonyl derivative</w:t>
      </w:r>
      <w:r w:rsidR="00BB613A" w:rsidRPr="00E37009">
        <w:rPr>
          <w:rFonts w:ascii="Times New Roman" w:hAnsi="Times New Roman" w:cs="Times New Roman"/>
          <w:b w:val="0"/>
          <w:color w:val="auto"/>
          <w:sz w:val="22"/>
          <w:szCs w:val="22"/>
          <w:lang w:val="en-US"/>
        </w:rPr>
        <w:t>) in green while zinc atoms are presented in black.</w:t>
      </w:r>
      <w:r w:rsidR="00BB613A" w:rsidRPr="00E37009">
        <w:rPr>
          <w:rFonts w:ascii="Times New Roman" w:hAnsi="Times New Roman" w:cs="Times New Roman"/>
          <w:sz w:val="22"/>
          <w:szCs w:val="22"/>
          <w:lang w:val="en-US"/>
        </w:rPr>
        <w:t>,</w:t>
      </w:r>
    </w:p>
    <w:p w14:paraId="06F8DCC2" w14:textId="77777777" w:rsidR="00BA4A3C" w:rsidRPr="00E37009" w:rsidRDefault="00BA4A3C" w:rsidP="00BA4A3C">
      <w:pPr>
        <w:rPr>
          <w:rFonts w:ascii="Times New Roman" w:hAnsi="Times New Roman" w:cs="Times New Roman"/>
          <w:lang w:val="en-US"/>
        </w:rPr>
      </w:pPr>
    </w:p>
    <w:p w14:paraId="3298715A" w14:textId="46AAD888" w:rsidR="00BA4A3C" w:rsidRPr="002969DA" w:rsidRDefault="003B1A1B" w:rsidP="002969DA">
      <w:pPr>
        <w:pStyle w:val="KeinLeerraum"/>
        <w:jc w:val="center"/>
        <w:rPr>
          <w:lang w:val="en-US"/>
        </w:rPr>
      </w:pPr>
      <w:r w:rsidRPr="00974DA2">
        <w:rPr>
          <w:noProof/>
          <w:lang w:val="en-US"/>
        </w:rPr>
        <w:lastRenderedPageBreak/>
        <w:drawing>
          <wp:inline distT="0" distB="0" distL="0" distR="0" wp14:anchorId="191E61EF" wp14:editId="0555C673">
            <wp:extent cx="4933950" cy="3762375"/>
            <wp:effectExtent l="0" t="0" r="0" b="9525"/>
            <wp:docPr id="88" name="Bild 88" descr="output_proteinR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utput_proteinRMSF"/>
                    <pic:cNvPicPr>
                      <a:picLocks noChangeAspect="1" noChangeArrowheads="1"/>
                    </pic:cNvPicPr>
                  </pic:nvPicPr>
                  <pic:blipFill>
                    <a:blip r:embed="rId147" cstate="print">
                      <a:extLst>
                        <a:ext uri="{28A0092B-C50C-407E-A947-70E740481C1C}">
                          <a14:useLocalDpi xmlns:a14="http://schemas.microsoft.com/office/drawing/2010/main" val="0"/>
                        </a:ext>
                      </a:extLst>
                    </a:blip>
                    <a:srcRect l="8539" t="8441" r="8539" b="7062"/>
                    <a:stretch>
                      <a:fillRect/>
                    </a:stretch>
                  </pic:blipFill>
                  <pic:spPr bwMode="auto">
                    <a:xfrm>
                      <a:off x="0" y="0"/>
                      <a:ext cx="4933950" cy="3762375"/>
                    </a:xfrm>
                    <a:prstGeom prst="rect">
                      <a:avLst/>
                    </a:prstGeom>
                    <a:noFill/>
                    <a:ln>
                      <a:noFill/>
                    </a:ln>
                  </pic:spPr>
                </pic:pic>
              </a:graphicData>
            </a:graphic>
          </wp:inline>
        </w:drawing>
      </w:r>
    </w:p>
    <w:p w14:paraId="1439BC85" w14:textId="0B34EB2A" w:rsidR="00BA4A3C" w:rsidRPr="00AA110A" w:rsidRDefault="00BA4A3C" w:rsidP="00BA4A3C">
      <w:pPr>
        <w:pStyle w:val="Beschriftung"/>
        <w:rPr>
          <w:rFonts w:ascii="Times New Roman" w:eastAsia="Times New Roman" w:hAnsi="Times New Roman" w:cs="Times New Roman"/>
          <w:b w:val="0"/>
          <w:color w:val="auto"/>
          <w:sz w:val="22"/>
          <w:szCs w:val="22"/>
          <w:lang w:val="en-US"/>
        </w:rPr>
      </w:pPr>
      <w:r w:rsidRPr="00AA110A">
        <w:rPr>
          <w:rFonts w:ascii="Times New Roman" w:hAnsi="Times New Roman" w:cs="Times New Roman"/>
          <w:color w:val="auto"/>
          <w:sz w:val="22"/>
          <w:szCs w:val="22"/>
          <w:lang w:val="en-US"/>
        </w:rPr>
        <w:t>Figure S7</w:t>
      </w:r>
      <w:r w:rsidRPr="00AA110A">
        <w:rPr>
          <w:rFonts w:ascii="Times New Roman" w:hAnsi="Times New Roman" w:cs="Times New Roman"/>
          <w:b w:val="0"/>
          <w:color w:val="auto"/>
          <w:sz w:val="22"/>
          <w:szCs w:val="22"/>
          <w:lang w:val="en-US"/>
        </w:rPr>
        <w:t xml:space="preserve">. </w:t>
      </w:r>
      <w:r w:rsidRPr="00AA110A">
        <w:rPr>
          <w:rFonts w:ascii="Times New Roman" w:hAnsi="Times New Roman" w:cs="Times New Roman"/>
          <w:b w:val="0"/>
          <w:color w:val="auto"/>
          <w:sz w:val="22"/>
          <w:szCs w:val="22"/>
          <w:shd w:val="clear" w:color="auto" w:fill="FFFFFF"/>
          <w:lang w:val="en-US"/>
        </w:rPr>
        <w:t>Root mean square fluctuation</w:t>
      </w:r>
      <w:r w:rsidRPr="00AA110A">
        <w:rPr>
          <w:rFonts w:ascii="Times New Roman" w:eastAsia="Times New Roman" w:hAnsi="Times New Roman" w:cs="Times New Roman"/>
          <w:b w:val="0"/>
          <w:color w:val="auto"/>
          <w:sz w:val="22"/>
          <w:szCs w:val="22"/>
          <w:lang w:val="en-US"/>
        </w:rPr>
        <w:t xml:space="preserve"> (RMSF) of HDAC6 residues during </w:t>
      </w:r>
      <w:r w:rsidR="00386ABC" w:rsidRPr="00AA110A">
        <w:rPr>
          <w:rFonts w:ascii="Times New Roman" w:eastAsia="Times New Roman" w:hAnsi="Times New Roman" w:cs="Times New Roman"/>
          <w:b w:val="0"/>
          <w:color w:val="auto"/>
          <w:sz w:val="22"/>
          <w:szCs w:val="22"/>
          <w:lang w:val="en-US"/>
        </w:rPr>
        <w:t>last 5</w:t>
      </w:r>
      <w:r w:rsidRPr="00AA110A">
        <w:rPr>
          <w:rFonts w:ascii="Times New Roman" w:eastAsia="Times New Roman" w:hAnsi="Times New Roman" w:cs="Times New Roman"/>
          <w:b w:val="0"/>
          <w:color w:val="auto"/>
          <w:sz w:val="22"/>
          <w:szCs w:val="22"/>
          <w:lang w:val="en-US"/>
        </w:rPr>
        <w:t xml:space="preserve"> ns of MD simulations.</w:t>
      </w:r>
    </w:p>
    <w:p w14:paraId="4B002823" w14:textId="27A624E8" w:rsidR="00BA4A3C" w:rsidRPr="00BA42EF" w:rsidRDefault="003B1A1B" w:rsidP="00BA42EF">
      <w:pPr>
        <w:pStyle w:val="KeinLeerraum"/>
        <w:jc w:val="center"/>
        <w:rPr>
          <w:lang w:val="en-US"/>
        </w:rPr>
      </w:pPr>
      <w:r w:rsidRPr="00974DA2">
        <w:rPr>
          <w:noProof/>
          <w:lang w:val="en-US"/>
        </w:rPr>
        <w:drawing>
          <wp:inline distT="0" distB="0" distL="0" distR="0" wp14:anchorId="0373E452" wp14:editId="1441494F">
            <wp:extent cx="5400675" cy="3657600"/>
            <wp:effectExtent l="0" t="0" r="9525" b="0"/>
            <wp:docPr id="89" name="Bild 89" descr="fmsf_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msf_pain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675" cy="3657600"/>
                    </a:xfrm>
                    <a:prstGeom prst="rect">
                      <a:avLst/>
                    </a:prstGeom>
                    <a:noFill/>
                    <a:ln>
                      <a:noFill/>
                    </a:ln>
                  </pic:spPr>
                </pic:pic>
              </a:graphicData>
            </a:graphic>
          </wp:inline>
        </w:drawing>
      </w:r>
    </w:p>
    <w:p w14:paraId="453AA078" w14:textId="1118A1DA" w:rsidR="00BA4A3C" w:rsidRPr="00BA42EF" w:rsidRDefault="00BA4A3C" w:rsidP="00BA4A3C">
      <w:pPr>
        <w:pStyle w:val="Beschriftung"/>
        <w:rPr>
          <w:rFonts w:ascii="Times New Roman" w:hAnsi="Times New Roman" w:cs="Times New Roman"/>
          <w:color w:val="auto"/>
          <w:sz w:val="22"/>
          <w:lang w:val="en-US"/>
        </w:rPr>
      </w:pPr>
      <w:r w:rsidRPr="00BA42EF">
        <w:rPr>
          <w:rFonts w:ascii="Times New Roman" w:hAnsi="Times New Roman" w:cs="Times New Roman"/>
          <w:color w:val="auto"/>
          <w:sz w:val="22"/>
          <w:lang w:val="en-US"/>
        </w:rPr>
        <w:t xml:space="preserve">Figure </w:t>
      </w:r>
      <w:r w:rsidR="0006394B" w:rsidRPr="00BA42EF">
        <w:rPr>
          <w:rFonts w:ascii="Times New Roman" w:hAnsi="Times New Roman" w:cs="Times New Roman"/>
          <w:color w:val="auto"/>
          <w:sz w:val="22"/>
          <w:lang w:val="en-US"/>
        </w:rPr>
        <w:t>S8</w:t>
      </w:r>
      <w:r w:rsidRPr="00BA42EF">
        <w:rPr>
          <w:rFonts w:ascii="Times New Roman" w:hAnsi="Times New Roman" w:cs="Times New Roman"/>
          <w:color w:val="auto"/>
          <w:sz w:val="22"/>
          <w:lang w:val="en-US"/>
        </w:rPr>
        <w:t xml:space="preserve">. </w:t>
      </w:r>
      <w:r w:rsidR="000F0E02" w:rsidRPr="00BA42EF">
        <w:rPr>
          <w:rFonts w:ascii="Times New Roman" w:hAnsi="Times New Roman" w:cs="Times New Roman"/>
          <w:b w:val="0"/>
          <w:color w:val="auto"/>
          <w:sz w:val="22"/>
          <w:lang w:val="en-US"/>
        </w:rPr>
        <w:t>B-factors visualization of RMSF values for complex HDAC6-</w:t>
      </w:r>
      <w:r w:rsidR="00AA110A">
        <w:rPr>
          <w:rFonts w:ascii="Times New Roman" w:hAnsi="Times New Roman" w:cs="Times New Roman"/>
          <w:b w:val="0"/>
          <w:color w:val="auto"/>
          <w:sz w:val="22"/>
          <w:lang w:val="en-US"/>
        </w:rPr>
        <w:t>F</w:t>
      </w:r>
      <w:r w:rsidR="000F0E02" w:rsidRPr="00BA42EF">
        <w:rPr>
          <w:rFonts w:ascii="Times New Roman" w:hAnsi="Times New Roman" w:cs="Times New Roman"/>
          <w:b w:val="0"/>
          <w:color w:val="auto"/>
          <w:sz w:val="22"/>
          <w:lang w:val="en-US"/>
        </w:rPr>
        <w:t>ragment</w:t>
      </w:r>
      <w:r w:rsidR="00AA110A">
        <w:rPr>
          <w:rFonts w:ascii="Times New Roman" w:hAnsi="Times New Roman" w:cs="Times New Roman"/>
          <w:b w:val="0"/>
          <w:color w:val="auto"/>
          <w:sz w:val="22"/>
          <w:lang w:val="en-US"/>
        </w:rPr>
        <w:t xml:space="preserve"> </w:t>
      </w:r>
      <w:r w:rsidR="000F0E02" w:rsidRPr="00AA110A">
        <w:rPr>
          <w:rFonts w:ascii="Times New Roman" w:hAnsi="Times New Roman" w:cs="Times New Roman"/>
          <w:color w:val="auto"/>
          <w:sz w:val="22"/>
          <w:lang w:val="en-US"/>
        </w:rPr>
        <w:t>3</w:t>
      </w:r>
      <w:r w:rsidR="000F0E02" w:rsidRPr="00BA42EF">
        <w:rPr>
          <w:rFonts w:ascii="Times New Roman" w:hAnsi="Times New Roman" w:cs="Times New Roman"/>
          <w:b w:val="0"/>
          <w:color w:val="auto"/>
          <w:sz w:val="22"/>
          <w:lang w:val="en-US"/>
        </w:rPr>
        <w:t>.</w:t>
      </w:r>
    </w:p>
    <w:p w14:paraId="302E1F33" w14:textId="77777777" w:rsidR="000F0E02" w:rsidRPr="00BA42EF" w:rsidRDefault="000F0E02" w:rsidP="000F0E02">
      <w:pPr>
        <w:rPr>
          <w:rFonts w:ascii="Times New Roman" w:hAnsi="Times New Roman" w:cs="Times New Roman"/>
          <w:lang w:val="en-US"/>
        </w:rPr>
      </w:pPr>
    </w:p>
    <w:p w14:paraId="746FB573" w14:textId="5EA0A629" w:rsidR="000F0E02" w:rsidRDefault="000F0E02" w:rsidP="000F0E02">
      <w:pPr>
        <w:rPr>
          <w:rFonts w:ascii="Times New Roman" w:hAnsi="Times New Roman" w:cs="Times New Roman"/>
          <w:lang w:val="en-US"/>
        </w:rPr>
      </w:pPr>
    </w:p>
    <w:p w14:paraId="54135413" w14:textId="77777777" w:rsidR="00935CD0" w:rsidRPr="00BA42EF" w:rsidRDefault="00935CD0" w:rsidP="000F0E02">
      <w:pPr>
        <w:rPr>
          <w:rFonts w:ascii="Times New Roman" w:hAnsi="Times New Roman" w:cs="Times New Roman"/>
          <w:lang w:val="en-US"/>
        </w:rPr>
      </w:pPr>
    </w:p>
    <w:p w14:paraId="734FB0E9" w14:textId="569C78F8" w:rsidR="0006394B" w:rsidRDefault="0006394B" w:rsidP="004E427A">
      <w:pPr>
        <w:pStyle w:val="KeinLeerraum"/>
        <w:rPr>
          <w:rFonts w:ascii="Times" w:hAnsi="Times" w:cs="Times"/>
          <w:lang w:val="en-US"/>
        </w:rPr>
      </w:pPr>
      <w:r w:rsidRPr="00235E8C">
        <w:rPr>
          <w:rFonts w:ascii="Times" w:hAnsi="Times" w:cs="Times"/>
          <w:b/>
          <w:lang w:val="en-US"/>
        </w:rPr>
        <w:lastRenderedPageBreak/>
        <w:t>Table S6</w:t>
      </w:r>
      <w:r w:rsidR="00235E8C">
        <w:rPr>
          <w:rFonts w:ascii="Times" w:hAnsi="Times" w:cs="Times"/>
          <w:lang w:val="en-US"/>
        </w:rPr>
        <w:t>:</w:t>
      </w:r>
      <w:bookmarkStart w:id="0" w:name="_GoBack"/>
      <w:bookmarkEnd w:id="0"/>
      <w:r w:rsidRPr="004E427A">
        <w:rPr>
          <w:rFonts w:ascii="Times" w:hAnsi="Times" w:cs="Times"/>
          <w:lang w:val="en-US"/>
        </w:rPr>
        <w:t xml:space="preserve"> Predicted MM/PBSA binding free energies for </w:t>
      </w:r>
      <w:proofErr w:type="spellStart"/>
      <w:r w:rsidR="00732C5B" w:rsidRPr="004E427A">
        <w:rPr>
          <w:rFonts w:ascii="Times" w:hAnsi="Times" w:cs="Times"/>
          <w:lang w:val="en-US"/>
        </w:rPr>
        <w:t>NextA</w:t>
      </w:r>
      <w:proofErr w:type="spellEnd"/>
      <w:r w:rsidR="00732C5B" w:rsidRPr="004E427A">
        <w:rPr>
          <w:rFonts w:ascii="Times" w:hAnsi="Times" w:cs="Times"/>
          <w:lang w:val="en-US"/>
        </w:rPr>
        <w:t xml:space="preserve"> and designed ligand </w:t>
      </w:r>
      <w:r w:rsidR="00732C5B" w:rsidRPr="00AA110A">
        <w:rPr>
          <w:rFonts w:ascii="Times" w:hAnsi="Times" w:cs="Times"/>
          <w:b/>
          <w:lang w:val="en-US"/>
        </w:rPr>
        <w:t>41</w:t>
      </w:r>
      <w:r w:rsidR="00732C5B" w:rsidRPr="004E427A">
        <w:rPr>
          <w:rFonts w:ascii="Times" w:hAnsi="Times" w:cs="Times"/>
          <w:lang w:val="en-US"/>
        </w:rPr>
        <w:t>.</w:t>
      </w:r>
    </w:p>
    <w:p w14:paraId="3881AB47" w14:textId="77777777" w:rsidR="004E427A" w:rsidRPr="004E427A" w:rsidRDefault="004E427A" w:rsidP="004E427A">
      <w:pPr>
        <w:pStyle w:val="KeinLeerraum"/>
        <w:rPr>
          <w:rFonts w:ascii="Times" w:hAnsi="Times" w:cs="Time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gridCol w:w="992"/>
        <w:gridCol w:w="1276"/>
        <w:gridCol w:w="1136"/>
        <w:gridCol w:w="1282"/>
      </w:tblGrid>
      <w:tr w:rsidR="00732C5B" w:rsidRPr="00974DA2" w14:paraId="463E89BF" w14:textId="77777777" w:rsidTr="004E427A">
        <w:trPr>
          <w:jc w:val="center"/>
        </w:trPr>
        <w:tc>
          <w:tcPr>
            <w:tcW w:w="1384" w:type="dxa"/>
            <w:shd w:val="clear" w:color="auto" w:fill="auto"/>
          </w:tcPr>
          <w:p w14:paraId="5E845A70" w14:textId="77777777" w:rsidR="00732C5B" w:rsidRPr="00BA42EF" w:rsidRDefault="00732C5B" w:rsidP="00732C5B">
            <w:pPr>
              <w:spacing w:line="360" w:lineRule="auto"/>
              <w:jc w:val="both"/>
              <w:rPr>
                <w:rFonts w:ascii="Times New Roman" w:eastAsia="Times New Roman" w:hAnsi="Times New Roman" w:cs="Times New Roman"/>
                <w:sz w:val="20"/>
                <w:szCs w:val="20"/>
              </w:rPr>
            </w:pPr>
          </w:p>
        </w:tc>
        <w:tc>
          <w:tcPr>
            <w:tcW w:w="1134" w:type="dxa"/>
            <w:shd w:val="clear" w:color="auto" w:fill="auto"/>
          </w:tcPr>
          <w:p w14:paraId="168E5308" w14:textId="77777777" w:rsidR="00732C5B" w:rsidRPr="00BA42EF" w:rsidRDefault="001A6EE6" w:rsidP="00732C5B">
            <w:pPr>
              <w:spacing w:line="360" w:lineRule="auto"/>
              <w:jc w:val="both"/>
              <w:rPr>
                <w:rFonts w:ascii="Times New Roman" w:eastAsia="Times New Roman" w:hAnsi="Times New Roman" w:cs="Times New Roman"/>
                <w:sz w:val="20"/>
                <w:szCs w:val="20"/>
              </w:rPr>
            </w:pPr>
            <m:oMathPara>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coul</m:t>
                    </m:r>
                  </m:sub>
                </m:sSub>
              </m:oMath>
            </m:oMathPara>
          </w:p>
        </w:tc>
        <w:tc>
          <w:tcPr>
            <w:tcW w:w="992" w:type="dxa"/>
            <w:shd w:val="clear" w:color="auto" w:fill="auto"/>
          </w:tcPr>
          <w:p w14:paraId="6D14134D" w14:textId="77777777" w:rsidR="00732C5B" w:rsidRPr="009E2ECD" w:rsidRDefault="00732C5B" w:rsidP="00732C5B">
            <w:pPr>
              <w:spacing w:line="360" w:lineRule="auto"/>
              <w:jc w:val="both"/>
              <w:rPr>
                <w:rFonts w:ascii="Times New Roman" w:eastAsia="Times New Roman" w:hAnsi="Times New Roman" w:cs="Times New Roman"/>
                <w:sz w:val="20"/>
                <w:szCs w:val="20"/>
              </w:rPr>
            </w:pPr>
            <w:r w:rsidRPr="00BA42EF">
              <w:rPr>
                <w:rFonts w:ascii="Times New Roman" w:eastAsia="Times New Roman" w:hAnsi="Times New Roman" w:cs="Times New Roman"/>
                <w:color w:val="000000"/>
                <w:sz w:val="20"/>
                <w:szCs w:val="20"/>
              </w:rPr>
              <w:t>∆</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G</m:t>
                  </m:r>
                </m:e>
                <m:sub>
                  <m:r>
                    <w:rPr>
                      <w:rFonts w:ascii="Cambria Math" w:hAnsi="Cambria Math" w:cs="Times New Roman"/>
                      <w:color w:val="000000"/>
                      <w:sz w:val="20"/>
                      <w:szCs w:val="20"/>
                    </w:rPr>
                    <m:t>polar</m:t>
                  </m:r>
                </m:sub>
              </m:sSub>
            </m:oMath>
          </w:p>
        </w:tc>
        <w:tc>
          <w:tcPr>
            <w:tcW w:w="1276" w:type="dxa"/>
            <w:shd w:val="clear" w:color="auto" w:fill="auto"/>
          </w:tcPr>
          <w:p w14:paraId="3635500F" w14:textId="77777777" w:rsidR="00732C5B" w:rsidRPr="009E2ECD" w:rsidRDefault="001A6EE6" w:rsidP="00732C5B">
            <w:pPr>
              <w:spacing w:line="360" w:lineRule="auto"/>
              <w:jc w:val="both"/>
              <w:rPr>
                <w:rFonts w:ascii="Times New Roman" w:eastAsia="Times New Roman" w:hAnsi="Times New Roman" w:cs="Times New Roman"/>
                <w:sz w:val="20"/>
                <w:szCs w:val="20"/>
              </w:rPr>
            </w:pPr>
            <m:oMathPara>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vdW</m:t>
                    </m:r>
                  </m:sub>
                </m:sSub>
              </m:oMath>
            </m:oMathPara>
          </w:p>
        </w:tc>
        <w:tc>
          <w:tcPr>
            <w:tcW w:w="1134" w:type="dxa"/>
            <w:shd w:val="clear" w:color="auto" w:fill="auto"/>
          </w:tcPr>
          <w:p w14:paraId="364D1642" w14:textId="77777777" w:rsidR="00732C5B" w:rsidRPr="009E2ECD" w:rsidRDefault="00732C5B" w:rsidP="00732C5B">
            <w:pPr>
              <w:spacing w:line="360" w:lineRule="auto"/>
              <w:jc w:val="both"/>
              <w:rPr>
                <w:rFonts w:ascii="Times New Roman" w:eastAsia="Times New Roman" w:hAnsi="Times New Roman" w:cs="Times New Roman"/>
                <w:sz w:val="20"/>
                <w:szCs w:val="20"/>
              </w:rPr>
            </w:pPr>
            <m:oMathPara>
              <m:oMath>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G</m:t>
                    </m:r>
                  </m:e>
                  <m:sub>
                    <m:r>
                      <w:rPr>
                        <w:rFonts w:ascii="Cambria Math" w:hAnsi="Cambria Math" w:cs="Times New Roman"/>
                        <w:color w:val="000000"/>
                        <w:sz w:val="20"/>
                        <w:szCs w:val="20"/>
                      </w:rPr>
                      <m:t>nonpolar</m:t>
                    </m:r>
                  </m:sub>
                </m:sSub>
              </m:oMath>
            </m:oMathPara>
          </w:p>
        </w:tc>
        <w:tc>
          <w:tcPr>
            <w:tcW w:w="1282" w:type="dxa"/>
            <w:shd w:val="clear" w:color="auto" w:fill="auto"/>
          </w:tcPr>
          <w:p w14:paraId="465BAE67" w14:textId="77777777" w:rsidR="00732C5B" w:rsidRPr="009E2ECD" w:rsidRDefault="00732C5B" w:rsidP="00732C5B">
            <w:pPr>
              <w:spacing w:line="360" w:lineRule="auto"/>
              <w:jc w:val="both"/>
              <w:rPr>
                <w:rFonts w:ascii="Times New Roman" w:eastAsia="Times New Roman" w:hAnsi="Times New Roman" w:cs="Times New Roman"/>
                <w:sz w:val="20"/>
                <w:szCs w:val="20"/>
              </w:rPr>
            </w:pPr>
            <m:oMathPara>
              <m:oMath>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G</m:t>
                    </m:r>
                  </m:e>
                  <m:sub>
                    <m:r>
                      <w:rPr>
                        <w:rFonts w:ascii="Cambria Math" w:hAnsi="Cambria Math" w:cs="Times New Roman"/>
                        <w:color w:val="000000"/>
                        <w:sz w:val="20"/>
                        <w:szCs w:val="20"/>
                      </w:rPr>
                      <m:t>binding</m:t>
                    </m:r>
                  </m:sub>
                </m:sSub>
              </m:oMath>
            </m:oMathPara>
          </w:p>
        </w:tc>
      </w:tr>
      <w:tr w:rsidR="00732C5B" w:rsidRPr="00974DA2" w14:paraId="25EE4CCC" w14:textId="77777777" w:rsidTr="004E427A">
        <w:trPr>
          <w:trHeight w:val="485"/>
          <w:jc w:val="center"/>
        </w:trPr>
        <w:tc>
          <w:tcPr>
            <w:tcW w:w="1384" w:type="dxa"/>
            <w:shd w:val="clear" w:color="auto" w:fill="auto"/>
            <w:vAlign w:val="center"/>
          </w:tcPr>
          <w:p w14:paraId="6837468A" w14:textId="17123B63" w:rsidR="00732C5B" w:rsidRPr="009E2ECD" w:rsidRDefault="00732C5B" w:rsidP="00732C5B">
            <w:pPr>
              <w:spacing w:after="0" w:line="240" w:lineRule="auto"/>
              <w:rPr>
                <w:rFonts w:ascii="Times New Roman" w:eastAsia="Times New Roman" w:hAnsi="Times New Roman" w:cs="Times New Roman"/>
                <w:sz w:val="20"/>
                <w:szCs w:val="20"/>
              </w:rPr>
            </w:pPr>
            <w:r w:rsidRPr="009E2ECD">
              <w:rPr>
                <w:rFonts w:ascii="Times New Roman" w:eastAsia="Times New Roman" w:hAnsi="Times New Roman" w:cs="Times New Roman"/>
                <w:sz w:val="20"/>
                <w:szCs w:val="20"/>
              </w:rPr>
              <w:t>NextA</w:t>
            </w:r>
          </w:p>
        </w:tc>
        <w:tc>
          <w:tcPr>
            <w:tcW w:w="1134" w:type="dxa"/>
            <w:shd w:val="clear" w:color="auto" w:fill="auto"/>
            <w:vAlign w:val="center"/>
          </w:tcPr>
          <w:p w14:paraId="2B9A1A63" w14:textId="46028778" w:rsidR="00732C5B" w:rsidRPr="009E2ECD" w:rsidRDefault="00732C5B" w:rsidP="009E2ECD">
            <w:pPr>
              <w:jc w:val="center"/>
              <w:rPr>
                <w:rFonts w:ascii="Times New Roman" w:hAnsi="Times New Roman" w:cs="Times New Roman"/>
                <w:sz w:val="20"/>
                <w:szCs w:val="20"/>
              </w:rPr>
            </w:pPr>
            <w:r w:rsidRPr="009E2ECD">
              <w:rPr>
                <w:rFonts w:ascii="Times New Roman" w:hAnsi="Times New Roman" w:cs="Times New Roman"/>
                <w:sz w:val="20"/>
                <w:szCs w:val="20"/>
              </w:rPr>
              <w:t>-228,228</w:t>
            </w:r>
          </w:p>
        </w:tc>
        <w:tc>
          <w:tcPr>
            <w:tcW w:w="992" w:type="dxa"/>
            <w:shd w:val="clear" w:color="auto" w:fill="auto"/>
            <w:vAlign w:val="center"/>
          </w:tcPr>
          <w:p w14:paraId="51F32447" w14:textId="0CA16C9E" w:rsidR="00732C5B" w:rsidRPr="009E2ECD" w:rsidRDefault="00732C5B" w:rsidP="009E2ECD">
            <w:pPr>
              <w:jc w:val="center"/>
              <w:rPr>
                <w:rFonts w:ascii="Times New Roman" w:hAnsi="Times New Roman" w:cs="Times New Roman"/>
                <w:sz w:val="20"/>
                <w:szCs w:val="20"/>
              </w:rPr>
            </w:pPr>
            <w:r w:rsidRPr="009E2ECD">
              <w:rPr>
                <w:rFonts w:ascii="Times New Roman" w:hAnsi="Times New Roman" w:cs="Times New Roman"/>
                <w:sz w:val="20"/>
                <w:szCs w:val="20"/>
              </w:rPr>
              <w:t>317,961</w:t>
            </w:r>
          </w:p>
        </w:tc>
        <w:tc>
          <w:tcPr>
            <w:tcW w:w="1276" w:type="dxa"/>
            <w:shd w:val="clear" w:color="auto" w:fill="auto"/>
            <w:vAlign w:val="center"/>
          </w:tcPr>
          <w:p w14:paraId="77C3893D" w14:textId="46D10015" w:rsidR="00732C5B" w:rsidRPr="009E2ECD" w:rsidRDefault="00732C5B" w:rsidP="009E2ECD">
            <w:pPr>
              <w:jc w:val="center"/>
              <w:rPr>
                <w:rFonts w:ascii="Times New Roman" w:hAnsi="Times New Roman" w:cs="Times New Roman"/>
                <w:sz w:val="20"/>
                <w:szCs w:val="20"/>
              </w:rPr>
            </w:pPr>
            <w:r w:rsidRPr="009E2ECD">
              <w:rPr>
                <w:rFonts w:ascii="Times New Roman" w:hAnsi="Times New Roman" w:cs="Times New Roman"/>
                <w:sz w:val="20"/>
                <w:szCs w:val="20"/>
              </w:rPr>
              <w:t>-125,870</w:t>
            </w:r>
          </w:p>
        </w:tc>
        <w:tc>
          <w:tcPr>
            <w:tcW w:w="1134" w:type="dxa"/>
            <w:shd w:val="clear" w:color="auto" w:fill="auto"/>
            <w:vAlign w:val="center"/>
          </w:tcPr>
          <w:p w14:paraId="2374D403" w14:textId="233045B6" w:rsidR="00732C5B" w:rsidRPr="009E2ECD" w:rsidRDefault="00732C5B" w:rsidP="009E2ECD">
            <w:pPr>
              <w:jc w:val="center"/>
              <w:rPr>
                <w:rFonts w:ascii="Times New Roman" w:hAnsi="Times New Roman" w:cs="Times New Roman"/>
                <w:sz w:val="20"/>
                <w:szCs w:val="20"/>
              </w:rPr>
            </w:pPr>
            <w:r w:rsidRPr="009E2ECD">
              <w:rPr>
                <w:rFonts w:ascii="Times New Roman" w:hAnsi="Times New Roman" w:cs="Times New Roman"/>
                <w:sz w:val="20"/>
                <w:szCs w:val="20"/>
              </w:rPr>
              <w:t>-16,429</w:t>
            </w:r>
          </w:p>
        </w:tc>
        <w:tc>
          <w:tcPr>
            <w:tcW w:w="1282" w:type="dxa"/>
            <w:shd w:val="clear" w:color="auto" w:fill="auto"/>
            <w:vAlign w:val="center"/>
          </w:tcPr>
          <w:p w14:paraId="53F62B77" w14:textId="5A75CB7A" w:rsidR="00732C5B" w:rsidRPr="009E2ECD" w:rsidRDefault="00732C5B">
            <w:pPr>
              <w:spacing w:after="0"/>
              <w:jc w:val="center"/>
              <w:rPr>
                <w:rFonts w:ascii="Times New Roman" w:eastAsia="Calibri" w:hAnsi="Times New Roman" w:cs="Times New Roman"/>
                <w:color w:val="000000"/>
                <w:sz w:val="20"/>
                <w:szCs w:val="20"/>
              </w:rPr>
            </w:pPr>
            <w:r w:rsidRPr="009E2ECD">
              <w:rPr>
                <w:rFonts w:ascii="Times New Roman" w:eastAsia="Calibri" w:hAnsi="Times New Roman" w:cs="Times New Roman"/>
                <w:color w:val="000000"/>
                <w:sz w:val="20"/>
                <w:szCs w:val="20"/>
              </w:rPr>
              <w:t>-52.566</w:t>
            </w:r>
          </w:p>
        </w:tc>
      </w:tr>
      <w:tr w:rsidR="00732C5B" w:rsidRPr="00974DA2" w14:paraId="6F89A730" w14:textId="77777777" w:rsidTr="004E427A">
        <w:trPr>
          <w:jc w:val="center"/>
        </w:trPr>
        <w:tc>
          <w:tcPr>
            <w:tcW w:w="1384" w:type="dxa"/>
            <w:shd w:val="clear" w:color="auto" w:fill="auto"/>
            <w:vAlign w:val="center"/>
          </w:tcPr>
          <w:p w14:paraId="4204FC69" w14:textId="61DCE76A" w:rsidR="00732C5B" w:rsidRPr="009E2ECD" w:rsidRDefault="00732C5B" w:rsidP="00732C5B">
            <w:pPr>
              <w:spacing w:line="240" w:lineRule="auto"/>
              <w:rPr>
                <w:rFonts w:ascii="Times New Roman" w:eastAsia="Times New Roman" w:hAnsi="Times New Roman" w:cs="Times New Roman"/>
                <w:sz w:val="20"/>
                <w:szCs w:val="20"/>
              </w:rPr>
            </w:pPr>
            <w:r w:rsidRPr="009E2ECD">
              <w:rPr>
                <w:rFonts w:ascii="Times New Roman" w:eastAsia="Times New Roman" w:hAnsi="Times New Roman" w:cs="Times New Roman"/>
                <w:sz w:val="20"/>
                <w:szCs w:val="20"/>
              </w:rPr>
              <w:t>41</w:t>
            </w:r>
          </w:p>
        </w:tc>
        <w:tc>
          <w:tcPr>
            <w:tcW w:w="1134" w:type="dxa"/>
            <w:shd w:val="clear" w:color="auto" w:fill="auto"/>
            <w:vAlign w:val="center"/>
          </w:tcPr>
          <w:p w14:paraId="78991FBA" w14:textId="0AD7231F" w:rsidR="00732C5B" w:rsidRPr="009E2ECD" w:rsidRDefault="00732C5B">
            <w:pPr>
              <w:jc w:val="center"/>
              <w:rPr>
                <w:rFonts w:ascii="Times New Roman" w:hAnsi="Times New Roman" w:cs="Times New Roman"/>
                <w:sz w:val="20"/>
                <w:szCs w:val="20"/>
              </w:rPr>
            </w:pPr>
            <w:r w:rsidRPr="009E2ECD">
              <w:rPr>
                <w:rFonts w:ascii="Times New Roman" w:hAnsi="Times New Roman" w:cs="Times New Roman"/>
                <w:sz w:val="20"/>
                <w:szCs w:val="20"/>
              </w:rPr>
              <w:t>-329.636</w:t>
            </w:r>
          </w:p>
          <w:p w14:paraId="54541ADD" w14:textId="7E6BD27E" w:rsidR="00732C5B" w:rsidRPr="009E2ECD" w:rsidRDefault="00732C5B">
            <w:pPr>
              <w:jc w:val="center"/>
              <w:rPr>
                <w:rFonts w:ascii="Times New Roman" w:eastAsia="Calibri" w:hAnsi="Times New Roman" w:cs="Times New Roman"/>
                <w:color w:val="000000"/>
                <w:sz w:val="20"/>
                <w:szCs w:val="20"/>
              </w:rPr>
            </w:pPr>
          </w:p>
        </w:tc>
        <w:tc>
          <w:tcPr>
            <w:tcW w:w="992" w:type="dxa"/>
            <w:shd w:val="clear" w:color="auto" w:fill="auto"/>
            <w:vAlign w:val="center"/>
          </w:tcPr>
          <w:p w14:paraId="39977E81" w14:textId="16D2C0F6" w:rsidR="00732C5B" w:rsidRPr="009E2ECD" w:rsidRDefault="00732C5B">
            <w:pPr>
              <w:jc w:val="center"/>
              <w:rPr>
                <w:rFonts w:ascii="Times New Roman" w:eastAsia="Calibri" w:hAnsi="Times New Roman" w:cs="Times New Roman"/>
                <w:color w:val="000000"/>
                <w:sz w:val="20"/>
                <w:szCs w:val="20"/>
              </w:rPr>
            </w:pPr>
            <w:r w:rsidRPr="009E2ECD">
              <w:rPr>
                <w:rFonts w:ascii="Times New Roman" w:hAnsi="Times New Roman" w:cs="Times New Roman"/>
                <w:color w:val="444444"/>
                <w:sz w:val="20"/>
                <w:szCs w:val="20"/>
                <w:shd w:val="clear" w:color="auto" w:fill="FFFFFF"/>
              </w:rPr>
              <w:t>362.018</w:t>
            </w:r>
          </w:p>
        </w:tc>
        <w:tc>
          <w:tcPr>
            <w:tcW w:w="1276" w:type="dxa"/>
            <w:shd w:val="clear" w:color="auto" w:fill="auto"/>
            <w:vAlign w:val="center"/>
          </w:tcPr>
          <w:p w14:paraId="03DCFC20" w14:textId="38B2A3CE" w:rsidR="00732C5B" w:rsidRPr="009E2ECD" w:rsidRDefault="00732C5B">
            <w:pPr>
              <w:jc w:val="center"/>
              <w:rPr>
                <w:rFonts w:ascii="Times New Roman" w:eastAsia="Calibri" w:hAnsi="Times New Roman" w:cs="Times New Roman"/>
                <w:color w:val="000000"/>
                <w:sz w:val="20"/>
                <w:szCs w:val="20"/>
              </w:rPr>
            </w:pPr>
            <w:r w:rsidRPr="009E2ECD">
              <w:rPr>
                <w:rFonts w:ascii="Times New Roman" w:hAnsi="Times New Roman" w:cs="Times New Roman"/>
                <w:color w:val="444444"/>
                <w:sz w:val="20"/>
                <w:szCs w:val="20"/>
                <w:shd w:val="clear" w:color="auto" w:fill="FFFFFF"/>
              </w:rPr>
              <w:t>-105.743</w:t>
            </w:r>
          </w:p>
        </w:tc>
        <w:tc>
          <w:tcPr>
            <w:tcW w:w="1134" w:type="dxa"/>
            <w:shd w:val="clear" w:color="auto" w:fill="auto"/>
            <w:vAlign w:val="center"/>
          </w:tcPr>
          <w:p w14:paraId="4FC10242" w14:textId="4DB9323F" w:rsidR="00732C5B" w:rsidRPr="009E2ECD" w:rsidRDefault="00732C5B">
            <w:pPr>
              <w:jc w:val="center"/>
              <w:rPr>
                <w:rFonts w:ascii="Times New Roman" w:eastAsia="Calibri" w:hAnsi="Times New Roman" w:cs="Times New Roman"/>
                <w:color w:val="000000"/>
                <w:sz w:val="20"/>
                <w:szCs w:val="20"/>
              </w:rPr>
            </w:pPr>
            <w:r w:rsidRPr="009E2ECD">
              <w:rPr>
                <w:rFonts w:ascii="Times New Roman" w:hAnsi="Times New Roman" w:cs="Times New Roman"/>
                <w:color w:val="444444"/>
                <w:sz w:val="20"/>
                <w:szCs w:val="20"/>
                <w:shd w:val="clear" w:color="auto" w:fill="FFFFFF"/>
              </w:rPr>
              <w:t>-17.583</w:t>
            </w:r>
          </w:p>
        </w:tc>
        <w:tc>
          <w:tcPr>
            <w:tcW w:w="1282" w:type="dxa"/>
            <w:shd w:val="clear" w:color="auto" w:fill="auto"/>
            <w:vAlign w:val="center"/>
          </w:tcPr>
          <w:p w14:paraId="3A808561" w14:textId="58029B65" w:rsidR="00732C5B" w:rsidRPr="009E2ECD" w:rsidRDefault="00732C5B">
            <w:pPr>
              <w:jc w:val="center"/>
              <w:rPr>
                <w:rFonts w:ascii="Times New Roman" w:eastAsia="Calibri" w:hAnsi="Times New Roman" w:cs="Times New Roman"/>
                <w:color w:val="000000"/>
                <w:sz w:val="20"/>
                <w:szCs w:val="20"/>
              </w:rPr>
            </w:pPr>
            <w:r w:rsidRPr="009E2ECD">
              <w:rPr>
                <w:rFonts w:ascii="Times New Roman" w:eastAsia="Calibri" w:hAnsi="Times New Roman" w:cs="Times New Roman"/>
                <w:color w:val="000000"/>
                <w:sz w:val="20"/>
                <w:szCs w:val="20"/>
              </w:rPr>
              <w:t>-90.945</w:t>
            </w:r>
          </w:p>
        </w:tc>
      </w:tr>
      <w:tr w:rsidR="009F16D3" w:rsidRPr="00974DA2" w14:paraId="5F127616" w14:textId="47C5DDA0" w:rsidTr="004E427A">
        <w:trPr>
          <w:trHeight w:val="882"/>
          <w:jc w:val="center"/>
        </w:trPr>
        <w:tc>
          <w:tcPr>
            <w:tcW w:w="1384" w:type="dxa"/>
            <w:shd w:val="clear" w:color="auto" w:fill="auto"/>
            <w:vAlign w:val="center"/>
          </w:tcPr>
          <w:p w14:paraId="4C4A725F" w14:textId="508C72B9" w:rsidR="009F16D3" w:rsidRPr="009E2ECD" w:rsidRDefault="009F16D3" w:rsidP="004E427A">
            <w:pPr>
              <w:pStyle w:val="KeinLeerraum"/>
            </w:pPr>
          </w:p>
        </w:tc>
        <w:tc>
          <w:tcPr>
            <w:tcW w:w="2126" w:type="dxa"/>
            <w:gridSpan w:val="2"/>
            <w:shd w:val="clear" w:color="auto" w:fill="auto"/>
            <w:vAlign w:val="center"/>
          </w:tcPr>
          <w:p w14:paraId="63FB1B3B" w14:textId="32117A72" w:rsidR="009F16D3" w:rsidRPr="009E2ECD" w:rsidRDefault="009F16D3" w:rsidP="00732C5B">
            <w:pPr>
              <w:jc w:val="center"/>
              <w:rPr>
                <w:rFonts w:ascii="Times New Roman" w:eastAsia="Calibri" w:hAnsi="Times New Roman" w:cs="Times New Roman"/>
                <w:color w:val="000000"/>
                <w:sz w:val="20"/>
                <w:szCs w:val="20"/>
              </w:rPr>
            </w:pPr>
            <w:r w:rsidRPr="009E2ECD">
              <w:rPr>
                <w:rFonts w:ascii="Times New Roman" w:eastAsia="Calibri" w:hAnsi="Times New Roman" w:cs="Times New Roman"/>
                <w:color w:val="000000"/>
                <w:sz w:val="20"/>
                <w:szCs w:val="20"/>
              </w:rPr>
              <w:t>Polar contribution</w:t>
            </w:r>
          </w:p>
        </w:tc>
        <w:tc>
          <w:tcPr>
            <w:tcW w:w="2412" w:type="dxa"/>
            <w:gridSpan w:val="2"/>
            <w:shd w:val="clear" w:color="auto" w:fill="auto"/>
            <w:vAlign w:val="center"/>
          </w:tcPr>
          <w:p w14:paraId="09AE7431" w14:textId="392D62B3" w:rsidR="009F16D3" w:rsidRPr="009E2ECD" w:rsidRDefault="009F16D3" w:rsidP="00732C5B">
            <w:pPr>
              <w:jc w:val="center"/>
              <w:rPr>
                <w:rFonts w:ascii="Times New Roman" w:eastAsia="Calibri" w:hAnsi="Times New Roman" w:cs="Times New Roman"/>
                <w:color w:val="000000"/>
                <w:sz w:val="20"/>
                <w:szCs w:val="20"/>
              </w:rPr>
            </w:pPr>
            <w:r w:rsidRPr="009E2ECD">
              <w:rPr>
                <w:rFonts w:ascii="Times New Roman" w:eastAsia="Calibri" w:hAnsi="Times New Roman" w:cs="Times New Roman"/>
                <w:color w:val="000000"/>
                <w:sz w:val="20"/>
                <w:szCs w:val="20"/>
              </w:rPr>
              <w:t>Nonpolar contribution</w:t>
            </w:r>
          </w:p>
        </w:tc>
        <w:tc>
          <w:tcPr>
            <w:tcW w:w="1280" w:type="dxa"/>
            <w:shd w:val="clear" w:color="auto" w:fill="auto"/>
            <w:vAlign w:val="center"/>
          </w:tcPr>
          <w:p w14:paraId="0CD40CB5" w14:textId="77777777" w:rsidR="009F16D3" w:rsidRPr="009E2ECD" w:rsidRDefault="009F16D3" w:rsidP="00732C5B">
            <w:pPr>
              <w:jc w:val="center"/>
              <w:rPr>
                <w:rFonts w:ascii="Times New Roman" w:eastAsia="Calibri" w:hAnsi="Times New Roman" w:cs="Times New Roman"/>
                <w:color w:val="000000"/>
                <w:sz w:val="20"/>
                <w:szCs w:val="20"/>
              </w:rPr>
            </w:pPr>
          </w:p>
        </w:tc>
      </w:tr>
    </w:tbl>
    <w:p w14:paraId="6D36BE17" w14:textId="2ADE9DFB" w:rsidR="00825487" w:rsidRDefault="00825487" w:rsidP="004E427A">
      <w:pPr>
        <w:pStyle w:val="KeinLeerraum"/>
        <w:rPr>
          <w:lang w:val="en-US"/>
        </w:rPr>
      </w:pPr>
    </w:p>
    <w:p w14:paraId="26BBA5B0" w14:textId="09A8F793" w:rsidR="000E48FD" w:rsidRDefault="007D0D05" w:rsidP="004E427A">
      <w:pPr>
        <w:pStyle w:val="KeinLeerraum"/>
        <w:rPr>
          <w:lang w:val="en-US"/>
        </w:rPr>
      </w:pPr>
      <w:r w:rsidRPr="007D0D05">
        <w:rPr>
          <w:rFonts w:ascii="Times New Roman" w:eastAsia="Times New Roman" w:hAnsi="Times New Roman" w:cs="Times New Roman"/>
          <w:b/>
          <w:noProof/>
          <w:szCs w:val="24"/>
        </w:rPr>
        <mc:AlternateContent>
          <mc:Choice Requires="wps">
            <w:drawing>
              <wp:anchor distT="45720" distB="45720" distL="114300" distR="114300" simplePos="0" relativeHeight="251661312" behindDoc="0" locked="0" layoutInCell="1" allowOverlap="1" wp14:anchorId="70B816E8" wp14:editId="322E8337">
                <wp:simplePos x="0" y="0"/>
                <wp:positionH relativeFrom="margin">
                  <wp:align>left</wp:align>
                </wp:positionH>
                <wp:positionV relativeFrom="paragraph">
                  <wp:posOffset>130381</wp:posOffset>
                </wp:positionV>
                <wp:extent cx="320040" cy="302821"/>
                <wp:effectExtent l="0" t="0" r="22860" b="2159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2821"/>
                        </a:xfrm>
                        <a:prstGeom prst="rect">
                          <a:avLst/>
                        </a:prstGeom>
                        <a:solidFill>
                          <a:srgbClr val="FFFFFF"/>
                        </a:solidFill>
                        <a:ln w="9525">
                          <a:solidFill>
                            <a:srgbClr val="000000"/>
                          </a:solidFill>
                          <a:miter lim="800000"/>
                          <a:headEnd/>
                          <a:tailEnd/>
                        </a:ln>
                      </wps:spPr>
                      <wps:txbx>
                        <w:txbxContent>
                          <w:p w14:paraId="63D66B59" w14:textId="77777777" w:rsidR="007D0D05" w:rsidRDefault="007D0D05" w:rsidP="007D0D0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816E8" id="_x0000_t202" coordsize="21600,21600" o:spt="202" path="m,l,21600r21600,l21600,xe">
                <v:stroke joinstyle="miter"/>
                <v:path gradientshapeok="t" o:connecttype="rect"/>
              </v:shapetype>
              <v:shape id="Textfeld 2" o:spid="_x0000_s1026" type="#_x0000_t202" style="position:absolute;margin-left:0;margin-top:10.25pt;width:25.2pt;height:23.8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">
                <v:textbox>
                  <w:txbxContent>
                    <w:p w14:paraId="63D66B59" w14:textId="77777777" w:rsidR="007D0D05" w:rsidRDefault="007D0D05" w:rsidP="007D0D05">
                      <w:r>
                        <w:t>A</w:t>
                      </w:r>
                    </w:p>
                  </w:txbxContent>
                </v:textbox>
                <w10:wrap anchorx="margin"/>
              </v:shape>
            </w:pict>
          </mc:Fallback>
        </mc:AlternateContent>
      </w:r>
    </w:p>
    <w:p w14:paraId="78B44399" w14:textId="4F72FEE2" w:rsidR="0041135F" w:rsidRDefault="0049448C" w:rsidP="004E427A">
      <w:pPr>
        <w:pStyle w:val="KeinLeerraum"/>
        <w:rPr>
          <w:lang w:val="en-US"/>
        </w:rPr>
      </w:pPr>
      <w:r>
        <w:rPr>
          <w:noProof/>
        </w:rPr>
        <w:drawing>
          <wp:inline distT="0" distB="0" distL="0" distR="0" wp14:anchorId="7C9B380F" wp14:editId="2FEC1681">
            <wp:extent cx="5400040" cy="26327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400040" cy="2632710"/>
                    </a:xfrm>
                    <a:prstGeom prst="rect">
                      <a:avLst/>
                    </a:prstGeom>
                  </pic:spPr>
                </pic:pic>
              </a:graphicData>
            </a:graphic>
          </wp:inline>
        </w:drawing>
      </w:r>
    </w:p>
    <w:p w14:paraId="24FDFDD7" w14:textId="6CF6CE4D" w:rsidR="0041135F" w:rsidRDefault="007D0D05" w:rsidP="004E427A">
      <w:pPr>
        <w:pStyle w:val="KeinLeerraum"/>
        <w:rPr>
          <w:lang w:val="en-US"/>
        </w:rPr>
      </w:pPr>
      <w:r w:rsidRPr="007D0D05">
        <w:rPr>
          <w:rFonts w:ascii="Times New Roman" w:eastAsia="Times New Roman" w:hAnsi="Times New Roman" w:cs="Times New Roman"/>
          <w:b/>
          <w:noProof/>
          <w:szCs w:val="24"/>
        </w:rPr>
        <mc:AlternateContent>
          <mc:Choice Requires="wps">
            <w:drawing>
              <wp:anchor distT="45720" distB="45720" distL="114300" distR="114300" simplePos="0" relativeHeight="251659264" behindDoc="0" locked="0" layoutInCell="1" allowOverlap="1" wp14:anchorId="7C9B478D" wp14:editId="34C86D33">
                <wp:simplePos x="0" y="0"/>
                <wp:positionH relativeFrom="margin">
                  <wp:align>left</wp:align>
                </wp:positionH>
                <wp:positionV relativeFrom="paragraph">
                  <wp:posOffset>173470</wp:posOffset>
                </wp:positionV>
                <wp:extent cx="320040" cy="302821"/>
                <wp:effectExtent l="0" t="0" r="22860" b="215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2821"/>
                        </a:xfrm>
                        <a:prstGeom prst="rect">
                          <a:avLst/>
                        </a:prstGeom>
                        <a:solidFill>
                          <a:srgbClr val="FFFFFF"/>
                        </a:solidFill>
                        <a:ln w="9525">
                          <a:solidFill>
                            <a:srgbClr val="000000"/>
                          </a:solidFill>
                          <a:miter lim="800000"/>
                          <a:headEnd/>
                          <a:tailEnd/>
                        </a:ln>
                      </wps:spPr>
                      <wps:txbx>
                        <w:txbxContent>
                          <w:p w14:paraId="6AD47311" w14:textId="0E2AD813" w:rsidR="007D0D05" w:rsidRDefault="007D0D0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478D" id="_x0000_s1027" type="#_x0000_t202" style="position:absolute;margin-left:0;margin-top:13.65pt;width:25.2pt;height:23.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">
                <v:textbox>
                  <w:txbxContent>
                    <w:p w14:paraId="6AD47311" w14:textId="0E2AD813" w:rsidR="007D0D05" w:rsidRDefault="007D0D05">
                      <w:r>
                        <w:t>B</w:t>
                      </w:r>
                    </w:p>
                  </w:txbxContent>
                </v:textbox>
                <w10:wrap anchorx="margin"/>
              </v:shape>
            </w:pict>
          </mc:Fallback>
        </mc:AlternateContent>
      </w:r>
      <w:r w:rsidR="000A22AF">
        <w:rPr>
          <w:noProof/>
        </w:rPr>
        <w:drawing>
          <wp:inline distT="0" distB="0" distL="0" distR="0" wp14:anchorId="1DF6A8C2" wp14:editId="627A2093">
            <wp:extent cx="5400040" cy="26327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00040" cy="2632710"/>
                    </a:xfrm>
                    <a:prstGeom prst="rect">
                      <a:avLst/>
                    </a:prstGeom>
                  </pic:spPr>
                </pic:pic>
              </a:graphicData>
            </a:graphic>
          </wp:inline>
        </w:drawing>
      </w:r>
    </w:p>
    <w:p w14:paraId="02349BF9" w14:textId="77777777" w:rsidR="000A22AF" w:rsidRDefault="000A22AF" w:rsidP="004E427A">
      <w:pPr>
        <w:pStyle w:val="KeinLeerraum"/>
        <w:rPr>
          <w:lang w:val="en-US"/>
        </w:rPr>
      </w:pPr>
    </w:p>
    <w:p w14:paraId="57A70A3B" w14:textId="0712B9DD" w:rsidR="0041135F" w:rsidRDefault="000E48FD" w:rsidP="000E48FD">
      <w:pPr>
        <w:pStyle w:val="KeinLeerraum"/>
        <w:jc w:val="both"/>
        <w:rPr>
          <w:rFonts w:ascii="Calibri" w:eastAsia="Calibri" w:hAnsi="Calibri" w:cs="Calibri"/>
        </w:rPr>
      </w:pPr>
      <w:r w:rsidRPr="000E48FD">
        <w:rPr>
          <w:rFonts w:ascii="Times New Roman" w:eastAsia="Times New Roman" w:hAnsi="Times New Roman" w:cs="Times New Roman"/>
          <w:b/>
          <w:szCs w:val="24"/>
        </w:rPr>
        <w:t>Figure S9</w:t>
      </w:r>
      <w:r w:rsidRPr="000E48FD">
        <w:rPr>
          <w:rFonts w:ascii="Times New Roman" w:eastAsia="Times New Roman" w:hAnsi="Times New Roman" w:cs="Times New Roman"/>
          <w:szCs w:val="24"/>
        </w:rPr>
        <w:t>:</w:t>
      </w:r>
      <w:r w:rsidRPr="00A322B8">
        <w:rPr>
          <w:rFonts w:ascii="Times New Roman" w:eastAsia="Times New Roman" w:hAnsi="Times New Roman" w:cs="Times New Roman"/>
          <w:szCs w:val="24"/>
        </w:rPr>
        <w:t xml:space="preserve"> A) Docking of </w:t>
      </w:r>
      <w:r w:rsidR="00AC57F8">
        <w:rPr>
          <w:rFonts w:ascii="Times New Roman" w:eastAsia="Times New Roman" w:hAnsi="Times New Roman" w:cs="Times New Roman"/>
          <w:szCs w:val="24"/>
        </w:rPr>
        <w:t>NextA</w:t>
      </w:r>
      <w:r w:rsidR="007D0D05">
        <w:rPr>
          <w:rFonts w:ascii="Times New Roman" w:eastAsia="Times New Roman" w:hAnsi="Times New Roman" w:cs="Times New Roman"/>
          <w:szCs w:val="24"/>
        </w:rPr>
        <w:t xml:space="preserve"> (blue) </w:t>
      </w:r>
      <w:r w:rsidR="00AC57F8">
        <w:rPr>
          <w:rFonts w:ascii="Times New Roman" w:eastAsia="Times New Roman" w:hAnsi="Times New Roman" w:cs="Times New Roman"/>
          <w:szCs w:val="24"/>
        </w:rPr>
        <w:t xml:space="preserve">and </w:t>
      </w:r>
      <w:r w:rsidRPr="00A322B8">
        <w:rPr>
          <w:rFonts w:ascii="Times New Roman" w:eastAsia="Times New Roman" w:hAnsi="Times New Roman" w:cs="Times New Roman"/>
          <w:szCs w:val="24"/>
        </w:rPr>
        <w:t xml:space="preserve">compound </w:t>
      </w:r>
      <w:r w:rsidRPr="00A322B8">
        <w:rPr>
          <w:rFonts w:ascii="Times New Roman" w:eastAsia="Times New Roman" w:hAnsi="Times New Roman" w:cs="Times New Roman"/>
          <w:b/>
          <w:szCs w:val="24"/>
        </w:rPr>
        <w:t>41</w:t>
      </w:r>
      <w:r w:rsidR="007D0D05">
        <w:rPr>
          <w:rFonts w:ascii="Times New Roman" w:eastAsia="Times New Roman" w:hAnsi="Times New Roman" w:cs="Times New Roman"/>
          <w:szCs w:val="24"/>
        </w:rPr>
        <w:t xml:space="preserve"> (green)</w:t>
      </w:r>
      <w:r w:rsidRPr="00A322B8">
        <w:rPr>
          <w:rFonts w:ascii="Times New Roman" w:eastAsia="Times New Roman" w:hAnsi="Times New Roman" w:cs="Times New Roman"/>
          <w:szCs w:val="24"/>
        </w:rPr>
        <w:t xml:space="preserve"> in the crystal structure of HDAC1 (PDB 5ICN)</w:t>
      </w:r>
      <w:r>
        <w:rPr>
          <w:rFonts w:ascii="Times New Roman" w:eastAsia="Times New Roman" w:hAnsi="Times New Roman" w:cs="Times New Roman"/>
          <w:szCs w:val="24"/>
        </w:rPr>
        <w:t xml:space="preserve"> </w:t>
      </w:r>
      <w:r w:rsidRPr="00A322B8">
        <w:rPr>
          <w:rFonts w:ascii="Calibri" w:eastAsia="Calibri" w:hAnsi="Calibri" w:cs="Calibri"/>
        </w:rPr>
        <w:fldChar w:fldCharType="begin" w:fldLock="1"/>
      </w:r>
      <w:r w:rsidRPr="00A322B8">
        <w:rPr>
          <w:rFonts w:ascii="Calibri" w:eastAsia="Calibri" w:hAnsi="Calibri" w:cs="Calibri"/>
        </w:rPr>
        <w:instrText>ADDIN CSL_CITATION {"citationItems":[{"id":"ITEM-1","itemData":{"DOI":"10.1038/ncomms11262","abstract":"Histone deacetylases (HDACs) 1, 2 and 3 form the catalytic subunit of several large transcriptional repression complexes. Unexpectedly, the enzymatic activity of HDACs in these complexes has been shown to be regulated by inositol phosphates, which bind in a pocket sandwiched between the HDAC and co-repressor proteins. However, the actual mechanism of activation remains poorly understood. Here we have elucidated the stereochemical requirements for binding and activation by inositol phosphates, demonstrating that activation requires three adjacent phosphate groups and that other positions on the inositol ring can tolerate bulky substituents. We also demonstrate that there is allosteric communication between the inositol-binding site and the active site. The crystal structure of the HDAC1:MTA1 complex bound to a novel peptide-based inhibitor and to inositol hexaphosphate suggests a molecular basis of substrate recognition, and an entropically driven allosteric mechanism of activation.","author":[{"dropping-particle":"","family":"Watson","given":"Peter J","non-dropping-particle":"","parse-names":false,"suffix":""},{"dropping-particle":"","family":"Millard","given":"Christopher J","non-dropping-particle":"","parse-names":false,"suffix":""},{"dropping-particle":"","family":"Riley","given":"Andrew M","non-dropping-particle":"","parse-names":false,"suffix":""},{"dropping-particle":"","family":"Robertson","given":"Naomi S","non-dropping-particle":"","parse-names":false,"suffix":""},{"dropping-particle":"","family":"Wright","given":"Lyndsey C","non-dropping-particle":"","parse-names":false,"suffix":""},{"dropping-particle":"","family":"Godage","given":"Himali Y","non-dropping-particle":"","parse-names":false,"suffix":""},{"dropping-particle":"","family":"Cowley","given":"Shaun M","non-dropping-particle":"","parse-names":false,"suffix":""},{"dropping-particle":"","family":"Jamieson","given":"Andrew G","non-dropping-particle":"","parse-names":false,"suffix":""},{"dropping-particle":"","family":"Potter","given":"Barry V L","non-dropping-particle":"","parse-names":false,"suffix":""},{"dropping-particle":"","family":"Schwabe","given":"John W R","non-dropping-particle":"","parse-names":false,"suffix":""}],"id":"ITEM-1","issued":{"date-parts":[["2016"]]},"title":"ARTICLE Insights into the activation mechanism of class I HDAC complexes by inositol phosphates","type":"article-journal"},"uris":["http://www.mendeley.com/documents/?uuid=6b4e96f4-80cd-3aa0-b8d3-c336d8a32b88"]}],"mendeley":{"formattedCitation":"(Watson et al. 2016)","plainTextFormattedCitation":"(Watson et al. 2016)","previouslyFormattedCitation":"(Watson et al. 2016)"},"properties":{"noteIndex":0},"schema":"https://github.com/citation-style-language/schema/raw/master/csl-citation.json"}</w:instrText>
      </w:r>
      <w:r w:rsidRPr="00A322B8">
        <w:rPr>
          <w:rFonts w:ascii="Calibri" w:eastAsia="Calibri" w:hAnsi="Calibri" w:cs="Calibri"/>
        </w:rPr>
        <w:fldChar w:fldCharType="separate"/>
      </w:r>
      <w:bookmarkStart w:id="1" w:name="__Fieldmark__1315_1340510520"/>
      <w:r w:rsidRPr="00A322B8">
        <w:rPr>
          <w:rFonts w:ascii="Times New Roman" w:eastAsia="Times New Roman" w:hAnsi="Times New Roman" w:cs="Times New Roman"/>
          <w:noProof/>
          <w:szCs w:val="24"/>
        </w:rPr>
        <w:t>(</w:t>
      </w:r>
      <w:bookmarkStart w:id="2" w:name="__Fieldmark__1513_743350679"/>
      <w:r w:rsidRPr="00A322B8">
        <w:rPr>
          <w:rFonts w:ascii="Times New Roman" w:eastAsia="Times New Roman" w:hAnsi="Times New Roman" w:cs="Times New Roman"/>
          <w:noProof/>
          <w:szCs w:val="24"/>
        </w:rPr>
        <w:t>Watson et al. 2016)</w:t>
      </w:r>
      <w:r w:rsidRPr="00A322B8">
        <w:rPr>
          <w:rFonts w:ascii="Calibri" w:eastAsia="Calibri" w:hAnsi="Calibri" w:cs="Calibri"/>
        </w:rPr>
        <w:fldChar w:fldCharType="end"/>
      </w:r>
      <w:bookmarkEnd w:id="1"/>
      <w:bookmarkEnd w:id="2"/>
      <w:r w:rsidRPr="00A322B8">
        <w:rPr>
          <w:rFonts w:ascii="Times New Roman" w:eastAsia="Times New Roman" w:hAnsi="Times New Roman" w:cs="Times New Roman"/>
          <w:szCs w:val="24"/>
        </w:rPr>
        <w:t xml:space="preserve"> B) Docking of </w:t>
      </w:r>
      <w:r w:rsidR="007D0D05">
        <w:rPr>
          <w:rFonts w:ascii="Times New Roman" w:eastAsia="Times New Roman" w:hAnsi="Times New Roman" w:cs="Times New Roman"/>
          <w:szCs w:val="24"/>
        </w:rPr>
        <w:t xml:space="preserve">NextA (blue) and </w:t>
      </w:r>
      <w:r w:rsidR="007D0D05" w:rsidRPr="00A322B8">
        <w:rPr>
          <w:rFonts w:ascii="Times New Roman" w:eastAsia="Times New Roman" w:hAnsi="Times New Roman" w:cs="Times New Roman"/>
          <w:szCs w:val="24"/>
        </w:rPr>
        <w:t xml:space="preserve">compound </w:t>
      </w:r>
      <w:r w:rsidR="007D0D05" w:rsidRPr="00A322B8">
        <w:rPr>
          <w:rFonts w:ascii="Times New Roman" w:eastAsia="Times New Roman" w:hAnsi="Times New Roman" w:cs="Times New Roman"/>
          <w:b/>
          <w:szCs w:val="24"/>
        </w:rPr>
        <w:t>41</w:t>
      </w:r>
      <w:r w:rsidR="007D0D05">
        <w:rPr>
          <w:rFonts w:ascii="Times New Roman" w:eastAsia="Times New Roman" w:hAnsi="Times New Roman" w:cs="Times New Roman"/>
          <w:szCs w:val="24"/>
        </w:rPr>
        <w:t xml:space="preserve"> (green)</w:t>
      </w:r>
      <w:r w:rsidRPr="00A322B8">
        <w:rPr>
          <w:rFonts w:ascii="Times New Roman" w:eastAsia="Times New Roman" w:hAnsi="Times New Roman" w:cs="Times New Roman"/>
          <w:szCs w:val="24"/>
        </w:rPr>
        <w:t xml:space="preserve"> in the crystal structure of HDAC6 (PDB 5ICN)</w:t>
      </w:r>
      <w:r>
        <w:rPr>
          <w:rFonts w:ascii="Times New Roman" w:eastAsia="Times New Roman" w:hAnsi="Times New Roman" w:cs="Times New Roman"/>
          <w:szCs w:val="24"/>
        </w:rPr>
        <w:t xml:space="preserve"> </w:t>
      </w:r>
      <w:r w:rsidRPr="00A322B8">
        <w:rPr>
          <w:rFonts w:ascii="Calibri" w:eastAsia="Calibri" w:hAnsi="Calibri" w:cs="Calibri"/>
        </w:rPr>
        <w:fldChar w:fldCharType="begin" w:fldLock="1"/>
      </w:r>
      <w:r w:rsidRPr="00A322B8">
        <w:rPr>
          <w:rFonts w:ascii="Calibri" w:eastAsia="Calibri" w:hAnsi="Calibri" w:cs="Calibri"/>
        </w:rPr>
        <w:instrText>ADDIN CSL_CITATION {"citationItems":[{"id":"ITEM-1","itemData":{"DOI":"10.1038/nchembio.2134","ISBN":"1552-4450","ISSN":"15524469","PMID":"27454933","abstract":"Histone deacetylase 6 (HDAC6) is a critical target for drug design because of its role in oncogenic transformation and cancer metastasis, and is unique among all histone deacetylases in that it contains tandem catalytic domains designated CD1 and CD2. We now report the crystal structures of CD2 from Homo sapiens HDAC6 and of CD1 and CD2 from Danio rerio HDAC6. We correlated these structures with activity measurements using 13 different substrates. The catalytic activity of CD2 from both species exhibited broad substrate specificity, whereas that of CD1 was highly specific for substrates bearing C-terminal acetyllysine residues. Crystal structures of substrate complexes yielded unprecedented snapshots of the catalytic mechanism. Additionally, crystal structures of complexes with eight different inhibitors, including belinostat and panobinostat (currently used in cancer chemotherapy), the macrocyclic tetrapeptide HC toxin, and the HDAC6-specific inhibitor N-hydroxy-4-(2-((2-hydroxyethyl)(phenyl)amino)-2-oxoethyl)benzamide, revealed surprising new insight regarding changes in Zn(2+) coordination and isozyme-specific inhibition.","author":[{"dropping-particle":"","family":"Hai","given":"Yang","non-dropping-particle":"","parse-names":false,"suffix":""},{"dropping-particle":"","family":"Christianson","given":"David W.","non-dropping-particle":"","parse-names":false,"suffix":""}],"container-title":"Nature Chemical Biology","id":"ITEM-1","issue":"9","issued":{"date-parts":[["2016"]]},"page":"741-747","publisher":"Nature Publishing Group","title":"Histone deacetylase 6 structure and molecular basis of catalysis and inhibition","type":"article-journal","volume":"12"},"uris":["http://www.mendeley.com/documents/?uuid=126d0481-0941-43f9-b4a8-d0805f9ce1eb"]}],"mendeley":{"formattedCitation":"(Hai and Christianson 2016)","plainTextFormattedCitation":"(Hai and Christianson 2016)","previouslyFormattedCitation":"(Hai and Christianson 2016)"},"properties":{"noteIndex":0},"schema":"https://github.com/citation-style-language/schema/raw/master/csl-citation.json"}</w:instrText>
      </w:r>
      <w:r w:rsidRPr="00A322B8">
        <w:rPr>
          <w:rFonts w:ascii="Calibri" w:eastAsia="Calibri" w:hAnsi="Calibri" w:cs="Calibri"/>
        </w:rPr>
        <w:fldChar w:fldCharType="separate"/>
      </w:r>
      <w:bookmarkStart w:id="3" w:name="__Fieldmark__1324_1340510520"/>
      <w:r w:rsidRPr="00A322B8">
        <w:rPr>
          <w:rFonts w:ascii="Times New Roman" w:eastAsia="Times New Roman" w:hAnsi="Times New Roman" w:cs="Times New Roman"/>
          <w:noProof/>
          <w:szCs w:val="24"/>
        </w:rPr>
        <w:t>(Hai and Christianson 2016)</w:t>
      </w:r>
      <w:bookmarkEnd w:id="3"/>
      <w:r w:rsidRPr="00A322B8">
        <w:rPr>
          <w:rFonts w:ascii="Calibri" w:eastAsia="Calibri" w:hAnsi="Calibri" w:cs="Calibri"/>
        </w:rPr>
        <w:fldChar w:fldCharType="end"/>
      </w:r>
      <w:r w:rsidR="00AC57F8">
        <w:rPr>
          <w:rFonts w:ascii="Calibri" w:eastAsia="Calibri" w:hAnsi="Calibri" w:cs="Calibri"/>
        </w:rPr>
        <w:t>.</w:t>
      </w:r>
    </w:p>
    <w:p w14:paraId="2DF7C5FB" w14:textId="77777777" w:rsidR="0041135F" w:rsidRDefault="0041135F">
      <w:pPr>
        <w:rPr>
          <w:rFonts w:ascii="Calibri" w:eastAsia="Calibri" w:hAnsi="Calibri" w:cs="Calibri"/>
        </w:rPr>
      </w:pPr>
      <w:r>
        <w:rPr>
          <w:rFonts w:ascii="Calibri" w:eastAsia="Calibri" w:hAnsi="Calibri" w:cs="Calibri"/>
        </w:rPr>
        <w:br w:type="page"/>
      </w:r>
    </w:p>
    <w:p w14:paraId="075FDD8E" w14:textId="08E8967F" w:rsidR="009F16D3" w:rsidRPr="00974DA2" w:rsidRDefault="003B1A1B" w:rsidP="004E427A">
      <w:pPr>
        <w:pStyle w:val="KeinLeerraum"/>
      </w:pPr>
      <w:r w:rsidRPr="00974DA2">
        <w:rPr>
          <w:noProof/>
          <w:lang w:val="en-US"/>
        </w:rPr>
        <w:lastRenderedPageBreak/>
        <w:drawing>
          <wp:inline distT="0" distB="0" distL="0" distR="0" wp14:anchorId="705E37D1" wp14:editId="667DF338">
            <wp:extent cx="5400675" cy="2247900"/>
            <wp:effectExtent l="0" t="0" r="9525" b="0"/>
            <wp:docPr id="90" name="Bild 90" descr="rmsd_lig_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msd_lig_diz"/>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14:paraId="29E031D8" w14:textId="77777777" w:rsidR="004E427A" w:rsidRDefault="004E427A" w:rsidP="009E2ECD">
      <w:pPr>
        <w:pStyle w:val="Beschriftung"/>
        <w:rPr>
          <w:rFonts w:ascii="Times New Roman" w:hAnsi="Times New Roman" w:cs="Times New Roman"/>
          <w:color w:val="auto"/>
          <w:sz w:val="24"/>
          <w:szCs w:val="24"/>
        </w:rPr>
      </w:pPr>
    </w:p>
    <w:p w14:paraId="234D96E7" w14:textId="01969177" w:rsidR="009F16D3" w:rsidRPr="009E2ECD" w:rsidRDefault="009F16D3" w:rsidP="009E2ECD">
      <w:pPr>
        <w:pStyle w:val="Beschriftung"/>
        <w:rPr>
          <w:rFonts w:ascii="Times New Roman" w:hAnsi="Times New Roman" w:cs="Times New Roman"/>
          <w:sz w:val="24"/>
          <w:szCs w:val="24"/>
          <w:lang w:val="en-US"/>
        </w:rPr>
      </w:pPr>
      <w:r w:rsidRPr="004E427A">
        <w:rPr>
          <w:rFonts w:ascii="Times New Roman" w:hAnsi="Times New Roman" w:cs="Times New Roman"/>
          <w:color w:val="auto"/>
          <w:sz w:val="22"/>
          <w:szCs w:val="22"/>
        </w:rPr>
        <w:t>Figure S</w:t>
      </w:r>
      <w:r w:rsidR="004C0BF3">
        <w:rPr>
          <w:rFonts w:ascii="Times New Roman" w:hAnsi="Times New Roman" w:cs="Times New Roman"/>
          <w:color w:val="auto"/>
          <w:sz w:val="22"/>
          <w:szCs w:val="22"/>
        </w:rPr>
        <w:t>10</w:t>
      </w:r>
      <w:r w:rsidRPr="004E427A">
        <w:rPr>
          <w:rFonts w:ascii="Times New Roman" w:hAnsi="Times New Roman" w:cs="Times New Roman"/>
          <w:color w:val="auto"/>
          <w:sz w:val="22"/>
          <w:szCs w:val="22"/>
        </w:rPr>
        <w:t xml:space="preserve">. </w:t>
      </w:r>
      <w:r w:rsidRPr="004E427A">
        <w:rPr>
          <w:rFonts w:ascii="Times New Roman" w:hAnsi="Times New Roman" w:cs="Times New Roman"/>
          <w:b w:val="0"/>
          <w:color w:val="auto"/>
          <w:sz w:val="22"/>
          <w:szCs w:val="22"/>
          <w:lang w:val="en-US"/>
        </w:rPr>
        <w:t>Root-mean-square deviations (RMSD) for ligand atoms calculated for 20 ns of MD simulation</w:t>
      </w:r>
      <w:r w:rsidRPr="009E2ECD">
        <w:rPr>
          <w:rFonts w:ascii="Times New Roman" w:hAnsi="Times New Roman" w:cs="Times New Roman"/>
          <w:b w:val="0"/>
          <w:color w:val="auto"/>
          <w:sz w:val="24"/>
          <w:szCs w:val="24"/>
          <w:lang w:val="en-US"/>
        </w:rPr>
        <w:t>.</w:t>
      </w:r>
    </w:p>
    <w:p w14:paraId="73CD6357" w14:textId="5C6924B6" w:rsidR="009F16D3" w:rsidRPr="009E2ECD" w:rsidRDefault="003B1A1B" w:rsidP="004E427A">
      <w:pPr>
        <w:pStyle w:val="KeinLeerraum"/>
      </w:pPr>
      <w:r w:rsidRPr="00974DA2">
        <w:rPr>
          <w:noProof/>
          <w:lang w:val="en-US"/>
        </w:rPr>
        <w:drawing>
          <wp:inline distT="0" distB="0" distL="0" distR="0" wp14:anchorId="103CE0D6" wp14:editId="019C189E">
            <wp:extent cx="5400675" cy="2247900"/>
            <wp:effectExtent l="0" t="0" r="9525" b="0"/>
            <wp:docPr id="91" name="Bild 91" descr="rmsd_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msd_diz"/>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14:paraId="64D247A2" w14:textId="77777777" w:rsidR="004E427A" w:rsidRDefault="004E427A">
      <w:pPr>
        <w:pStyle w:val="Beschriftung"/>
        <w:rPr>
          <w:rFonts w:ascii="Times New Roman" w:hAnsi="Times New Roman" w:cs="Times New Roman"/>
          <w:color w:val="auto"/>
          <w:sz w:val="24"/>
          <w:szCs w:val="24"/>
        </w:rPr>
      </w:pPr>
    </w:p>
    <w:p w14:paraId="29690814" w14:textId="15A5A791" w:rsidR="009F16D3" w:rsidRPr="004E427A" w:rsidRDefault="009F16D3">
      <w:pPr>
        <w:pStyle w:val="Beschriftung"/>
        <w:rPr>
          <w:rFonts w:ascii="Times New Roman" w:hAnsi="Times New Roman" w:cs="Times New Roman"/>
          <w:color w:val="auto"/>
          <w:sz w:val="22"/>
          <w:szCs w:val="22"/>
        </w:rPr>
      </w:pPr>
      <w:r w:rsidRPr="004E427A">
        <w:rPr>
          <w:rFonts w:ascii="Times New Roman" w:hAnsi="Times New Roman" w:cs="Times New Roman"/>
          <w:color w:val="auto"/>
          <w:sz w:val="22"/>
          <w:szCs w:val="22"/>
        </w:rPr>
        <w:t>Figure S1</w:t>
      </w:r>
      <w:r w:rsidR="004C0BF3">
        <w:rPr>
          <w:rFonts w:ascii="Times New Roman" w:hAnsi="Times New Roman" w:cs="Times New Roman"/>
          <w:color w:val="auto"/>
          <w:sz w:val="22"/>
          <w:szCs w:val="22"/>
        </w:rPr>
        <w:t>1</w:t>
      </w:r>
      <w:r w:rsidRPr="004E427A">
        <w:rPr>
          <w:rFonts w:ascii="Times New Roman" w:hAnsi="Times New Roman" w:cs="Times New Roman"/>
          <w:color w:val="auto"/>
          <w:sz w:val="22"/>
          <w:szCs w:val="22"/>
        </w:rPr>
        <w:t xml:space="preserve">. </w:t>
      </w:r>
      <w:r w:rsidRPr="004E427A">
        <w:rPr>
          <w:rFonts w:ascii="Times New Roman" w:hAnsi="Times New Roman" w:cs="Times New Roman"/>
          <w:b w:val="0"/>
          <w:color w:val="auto"/>
          <w:sz w:val="22"/>
          <w:szCs w:val="22"/>
          <w:lang w:val="en-US"/>
        </w:rPr>
        <w:t xml:space="preserve">Root-mean-square deviations (RMSD) for </w:t>
      </w:r>
      <w:r w:rsidRPr="004E427A">
        <w:rPr>
          <w:rFonts w:ascii="Times New Roman" w:eastAsia="Times New Roman" w:hAnsi="Times New Roman" w:cs="Times New Roman"/>
          <w:color w:val="auto"/>
          <w:sz w:val="22"/>
          <w:szCs w:val="22"/>
        </w:rPr>
        <w:t>Cα</w:t>
      </w:r>
      <w:r w:rsidRPr="004E427A">
        <w:rPr>
          <w:rFonts w:ascii="Times New Roman" w:hAnsi="Times New Roman" w:cs="Times New Roman"/>
          <w:b w:val="0"/>
          <w:color w:val="auto"/>
          <w:sz w:val="22"/>
          <w:szCs w:val="22"/>
          <w:lang w:val="en-US"/>
        </w:rPr>
        <w:t xml:space="preserve"> atoms calculated for 20 ns of MD simulation.</w:t>
      </w:r>
    </w:p>
    <w:p w14:paraId="4DC43F5B" w14:textId="0FA5926F" w:rsidR="000E48FD" w:rsidRDefault="000E48FD">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r>
    </w:p>
    <w:p w14:paraId="48D0EF7F" w14:textId="6D9ED4D8" w:rsidR="00F3357A" w:rsidRPr="003C5DCF" w:rsidRDefault="00DD703F" w:rsidP="00804D83">
      <w:pPr>
        <w:jc w:val="both"/>
        <w:rPr>
          <w:rFonts w:ascii="Times New Roman" w:eastAsia="Times New Roman" w:hAnsi="Times New Roman" w:cs="Times New Roman"/>
          <w:b/>
          <w:sz w:val="24"/>
          <w:szCs w:val="24"/>
          <w:lang w:val="en-US"/>
        </w:rPr>
      </w:pPr>
      <w:r w:rsidRPr="003C5DCF">
        <w:rPr>
          <w:rFonts w:ascii="Times New Roman" w:eastAsia="Times New Roman" w:hAnsi="Times New Roman" w:cs="Times New Roman"/>
          <w:b/>
          <w:sz w:val="24"/>
          <w:szCs w:val="24"/>
          <w:lang w:val="en-US"/>
        </w:rPr>
        <w:lastRenderedPageBreak/>
        <w:t>R</w:t>
      </w:r>
      <w:r w:rsidR="00304868" w:rsidRPr="003C5DCF">
        <w:rPr>
          <w:rFonts w:ascii="Times New Roman" w:eastAsia="Times New Roman" w:hAnsi="Times New Roman" w:cs="Times New Roman"/>
          <w:b/>
          <w:sz w:val="24"/>
          <w:szCs w:val="24"/>
          <w:lang w:val="en-US"/>
        </w:rPr>
        <w:t>eferences</w:t>
      </w:r>
    </w:p>
    <w:p w14:paraId="251E7BBA" w14:textId="52ED435F" w:rsidR="00EC7F78" w:rsidRPr="00EC7F78" w:rsidRDefault="00AF68DF"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974DA2">
        <w:rPr>
          <w:rFonts w:ascii="Times New Roman" w:eastAsia="Times New Roman" w:hAnsi="Times New Roman" w:cs="Times New Roman"/>
          <w:b/>
          <w:sz w:val="24"/>
          <w:szCs w:val="24"/>
          <w:lang w:val="en-US"/>
        </w:rPr>
        <w:fldChar w:fldCharType="begin" w:fldLock="1"/>
      </w:r>
      <w:r w:rsidRPr="004C0BF3">
        <w:rPr>
          <w:rFonts w:ascii="Times New Roman" w:eastAsia="Times New Roman" w:hAnsi="Times New Roman" w:cs="Times New Roman"/>
          <w:b/>
          <w:sz w:val="24"/>
          <w:szCs w:val="24"/>
          <w:lang w:val="en-US"/>
        </w:rPr>
        <w:instrText xml:space="preserve">ADDIN Mendeley Bibliography CSL_BIBLIOGRAPHY </w:instrText>
      </w:r>
      <w:r w:rsidRPr="00974DA2">
        <w:rPr>
          <w:rFonts w:ascii="Times New Roman" w:eastAsia="Times New Roman" w:hAnsi="Times New Roman" w:cs="Times New Roman"/>
          <w:b/>
          <w:sz w:val="24"/>
          <w:szCs w:val="24"/>
          <w:lang w:val="en-US"/>
        </w:rPr>
        <w:fldChar w:fldCharType="separate"/>
      </w:r>
      <w:r w:rsidR="00EC7F78" w:rsidRPr="00EC7F78">
        <w:rPr>
          <w:rFonts w:ascii="Times New Roman" w:hAnsi="Times New Roman" w:cs="Times New Roman"/>
          <w:noProof/>
          <w:sz w:val="24"/>
          <w:szCs w:val="24"/>
        </w:rPr>
        <w:t xml:space="preserve">Bürli, Roland W., Christopher A. Luckhurst, Omar Aziz, Kim L. Matthews, Dawn Yates, Kathy. A. Lyons, Maria Beconi, et al. 2013. “Design, Synthesis, and Biological Evaluation of Potent and Selective Class IIa Histone Deacetylase (HDAC) Inhibitors as a Potential Therapy for Huntington’s Disease.” </w:t>
      </w:r>
      <w:r w:rsidR="00EC7F78" w:rsidRPr="00EC7F78">
        <w:rPr>
          <w:rFonts w:ascii="Times New Roman" w:hAnsi="Times New Roman" w:cs="Times New Roman"/>
          <w:i/>
          <w:iCs/>
          <w:noProof/>
          <w:sz w:val="24"/>
          <w:szCs w:val="24"/>
        </w:rPr>
        <w:t>Journal of Medicinal Chemistry</w:t>
      </w:r>
      <w:r w:rsidR="00EC7F78" w:rsidRPr="00EC7F78">
        <w:rPr>
          <w:rFonts w:ascii="Times New Roman" w:hAnsi="Times New Roman" w:cs="Times New Roman"/>
          <w:noProof/>
          <w:sz w:val="24"/>
          <w:szCs w:val="24"/>
        </w:rPr>
        <w:t xml:space="preserve"> 56 (24): 9934–54. https://doi.org/10.1021/jm4011884.</w:t>
      </w:r>
    </w:p>
    <w:p w14:paraId="1D7D54B5"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Fass, Daniel M., Rishita Shah, Balaram Ghosh, Krista Hennig, Stephanie Norton, Wen-Ning Zhao, Surya A. Reis, et al. 2011. “Short-Chain HDAC Inhibitors Differentially Affect Vertebrate Development and Neuronal Chromatin.” </w:t>
      </w:r>
      <w:r w:rsidRPr="00EC7F78">
        <w:rPr>
          <w:rFonts w:ascii="Times New Roman" w:hAnsi="Times New Roman" w:cs="Times New Roman"/>
          <w:i/>
          <w:iCs/>
          <w:noProof/>
          <w:sz w:val="24"/>
          <w:szCs w:val="24"/>
        </w:rPr>
        <w:t>ACS Medicinal Chemistry Letters</w:t>
      </w:r>
      <w:r w:rsidRPr="00EC7F78">
        <w:rPr>
          <w:rFonts w:ascii="Times New Roman" w:hAnsi="Times New Roman" w:cs="Times New Roman"/>
          <w:noProof/>
          <w:sz w:val="24"/>
          <w:szCs w:val="24"/>
        </w:rPr>
        <w:t xml:space="preserve"> 2 (1): 39–42. https://doi.org/10.1021/ml1001954.</w:t>
      </w:r>
    </w:p>
    <w:p w14:paraId="6C2757D4"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Giannini, Giuseppe, Loredana Vesci, Gianfranco Battistuzzi, Davide Vignola, Ferdinando M. Milazzo, Mario Berardino Guglielmi, Marcella Barbarino, et al. 2014. “ST7612AA1, a Thioacetate-ω(γ-Lactam Carboxamide) Derivative Selected from a Novel Generation of Oral HDAC Inhibitors.” </w:t>
      </w:r>
      <w:r w:rsidRPr="00EC7F78">
        <w:rPr>
          <w:rFonts w:ascii="Times New Roman" w:hAnsi="Times New Roman" w:cs="Times New Roman"/>
          <w:i/>
          <w:iCs/>
          <w:noProof/>
          <w:sz w:val="24"/>
          <w:szCs w:val="24"/>
        </w:rPr>
        <w:t>Journal of Medicinal Chemistry</w:t>
      </w:r>
      <w:r w:rsidRPr="00EC7F78">
        <w:rPr>
          <w:rFonts w:ascii="Times New Roman" w:hAnsi="Times New Roman" w:cs="Times New Roman"/>
          <w:noProof/>
          <w:sz w:val="24"/>
          <w:szCs w:val="24"/>
        </w:rPr>
        <w:t xml:space="preserve"> 57 (20): 8358–77. https://doi.org/10.1021/jm5008209.</w:t>
      </w:r>
    </w:p>
    <w:p w14:paraId="3C614312"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Hai, Yang, and David W. Christianson. 2016. “Histone Deacetylase 6 Structure and Molecular Basis of Catalysis and Inhibition.” </w:t>
      </w:r>
      <w:r w:rsidRPr="00EC7F78">
        <w:rPr>
          <w:rFonts w:ascii="Times New Roman" w:hAnsi="Times New Roman" w:cs="Times New Roman"/>
          <w:i/>
          <w:iCs/>
          <w:noProof/>
          <w:sz w:val="24"/>
          <w:szCs w:val="24"/>
        </w:rPr>
        <w:t>Nature Chemical Biology</w:t>
      </w:r>
      <w:r w:rsidRPr="00EC7F78">
        <w:rPr>
          <w:rFonts w:ascii="Times New Roman" w:hAnsi="Times New Roman" w:cs="Times New Roman"/>
          <w:noProof/>
          <w:sz w:val="24"/>
          <w:szCs w:val="24"/>
        </w:rPr>
        <w:t xml:space="preserve"> 12 (9): 741–47. https://doi.org/10.1038/nchembio.2134.</w:t>
      </w:r>
    </w:p>
    <w:p w14:paraId="7A56E878"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Jones, Philip, Matthew J. Bottomley, Andrea Carfí, Ottavia Cecchetti, Federica Ferrigno, Paola Lo Surdo, Jesus M. Ontoria, et al. 2008. “2-Trifluoroacetylthiophenes, a Novel Series of Potent and Selective Class II Histone Deacetylase Inhibitors.” </w:t>
      </w:r>
      <w:r w:rsidRPr="00EC7F78">
        <w:rPr>
          <w:rFonts w:ascii="Times New Roman" w:hAnsi="Times New Roman" w:cs="Times New Roman"/>
          <w:i/>
          <w:iCs/>
          <w:noProof/>
          <w:sz w:val="24"/>
          <w:szCs w:val="24"/>
        </w:rPr>
        <w:t>Bioorganic &amp; Medicinal Chemistry Letters</w:t>
      </w:r>
      <w:r w:rsidRPr="00EC7F78">
        <w:rPr>
          <w:rFonts w:ascii="Times New Roman" w:hAnsi="Times New Roman" w:cs="Times New Roman"/>
          <w:noProof/>
          <w:sz w:val="24"/>
          <w:szCs w:val="24"/>
        </w:rPr>
        <w:t xml:space="preserve"> 18 (11): 3456–61. https://doi.org/10.1016/J.BMCL.2008.02.026.</w:t>
      </w:r>
    </w:p>
    <w:p w14:paraId="7321491D"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Kemp, Melissa M., Qiu Wang, Jason H. Fuller, Nathan West, Nicole M. Martinez, Elizabeth M. Morse, Michel Weïwer, Stuart L. Schreiber, James E. Bradner, and Angela N. Koehler. 2011. “A Novel HDAC Inhibitor with a Hydroxy-Pyrimidine Scaffold.” </w:t>
      </w:r>
      <w:r w:rsidRPr="00EC7F78">
        <w:rPr>
          <w:rFonts w:ascii="Times New Roman" w:hAnsi="Times New Roman" w:cs="Times New Roman"/>
          <w:i/>
          <w:iCs/>
          <w:noProof/>
          <w:sz w:val="24"/>
          <w:szCs w:val="24"/>
        </w:rPr>
        <w:t>Bioorganic &amp; Medicinal Chemistry Letters</w:t>
      </w:r>
      <w:r w:rsidRPr="00EC7F78">
        <w:rPr>
          <w:rFonts w:ascii="Times New Roman" w:hAnsi="Times New Roman" w:cs="Times New Roman"/>
          <w:noProof/>
          <w:sz w:val="24"/>
          <w:szCs w:val="24"/>
        </w:rPr>
        <w:t xml:space="preserve"> 21 (14): 4164–69. https://doi.org/10.1016/J.BMCL.2011.05.098.</w:t>
      </w:r>
    </w:p>
    <w:p w14:paraId="5EFED1BF"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KrennHrubec, Keris, Brett L. Marshall, Mark Hedglin, Eric Verdin, and Scott M. Ulrich. 2007. “Design and Evaluation of ‘Linkerless’ Hydroxamic Acids as Selective HDAC8 Inhibitors.” </w:t>
      </w:r>
      <w:r w:rsidRPr="00EC7F78">
        <w:rPr>
          <w:rFonts w:ascii="Times New Roman" w:hAnsi="Times New Roman" w:cs="Times New Roman"/>
          <w:i/>
          <w:iCs/>
          <w:noProof/>
          <w:sz w:val="24"/>
          <w:szCs w:val="24"/>
        </w:rPr>
        <w:t>Bioorganic &amp; Medicinal Chemistry Letters</w:t>
      </w:r>
      <w:r w:rsidRPr="00EC7F78">
        <w:rPr>
          <w:rFonts w:ascii="Times New Roman" w:hAnsi="Times New Roman" w:cs="Times New Roman"/>
          <w:noProof/>
          <w:sz w:val="24"/>
          <w:szCs w:val="24"/>
        </w:rPr>
        <w:t xml:space="preserve"> 17 (10): 2874–78. https://doi.org/10.1016/J.BMCL.2007.02.064.</w:t>
      </w:r>
    </w:p>
    <w:p w14:paraId="70C18219"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Mazitschek, Ralph, Vishal Patel, Dyann F. Wirth, and Jon Clardy. 2008. “Development of a Fluorescence Polarization Based Assay for Histone Deacetylase Ligand Discovery.” </w:t>
      </w:r>
      <w:r w:rsidRPr="00EC7F78">
        <w:rPr>
          <w:rFonts w:ascii="Times New Roman" w:hAnsi="Times New Roman" w:cs="Times New Roman"/>
          <w:i/>
          <w:iCs/>
          <w:noProof/>
          <w:sz w:val="24"/>
          <w:szCs w:val="24"/>
        </w:rPr>
        <w:t>Bioorganic &amp; Medicinal Chemistry Letters</w:t>
      </w:r>
      <w:r w:rsidRPr="00EC7F78">
        <w:rPr>
          <w:rFonts w:ascii="Times New Roman" w:hAnsi="Times New Roman" w:cs="Times New Roman"/>
          <w:noProof/>
          <w:sz w:val="24"/>
          <w:szCs w:val="24"/>
        </w:rPr>
        <w:t xml:space="preserve"> 18 (9): 2809–12. https://doi.org/10.1016/J.BMCL.2008.04.007.</w:t>
      </w:r>
    </w:p>
    <w:p w14:paraId="4AA8E0A2"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Muthyala, Ramaiah, Woo Shik Shin, Jiashu Xie, and Yuk Yin Sham. 2015. “Discovery of 1-Hydroxypyridine-2-Thiones as Selective Histone Deacetylase Inhibitors and Their Potential Application for Treating Leukemia.” </w:t>
      </w:r>
      <w:r w:rsidRPr="00EC7F78">
        <w:rPr>
          <w:rFonts w:ascii="Times New Roman" w:hAnsi="Times New Roman" w:cs="Times New Roman"/>
          <w:i/>
          <w:iCs/>
          <w:noProof/>
          <w:sz w:val="24"/>
          <w:szCs w:val="24"/>
        </w:rPr>
        <w:t>Bioorganic &amp; Medicinal Chemistry Letters</w:t>
      </w:r>
      <w:r w:rsidRPr="00EC7F78">
        <w:rPr>
          <w:rFonts w:ascii="Times New Roman" w:hAnsi="Times New Roman" w:cs="Times New Roman"/>
          <w:noProof/>
          <w:sz w:val="24"/>
          <w:szCs w:val="24"/>
        </w:rPr>
        <w:t xml:space="preserve"> 25 (19): 4320–24. https://doi.org/10.1016/J.BMCL.2015.07.065.</w:t>
      </w:r>
    </w:p>
    <w:p w14:paraId="4BBE81E4"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Olson, David E., Florence F. Wagner, Taner Kaya, Jennifer P. Gale, Nadia Aidoud, Emeline L. Davoine, Fanny Lazzaro, Michel Weïwer, Yan-Ling Zhang, and Edward B. Holson. 2013. “Discovery of the First Histone Deacetylase 6/8 Dual Inhibitors.” </w:t>
      </w:r>
      <w:r w:rsidRPr="00EC7F78">
        <w:rPr>
          <w:rFonts w:ascii="Times New Roman" w:hAnsi="Times New Roman" w:cs="Times New Roman"/>
          <w:i/>
          <w:iCs/>
          <w:noProof/>
          <w:sz w:val="24"/>
          <w:szCs w:val="24"/>
        </w:rPr>
        <w:t>Journal of Medicinal Chemistry</w:t>
      </w:r>
      <w:r w:rsidRPr="00EC7F78">
        <w:rPr>
          <w:rFonts w:ascii="Times New Roman" w:hAnsi="Times New Roman" w:cs="Times New Roman"/>
          <w:noProof/>
          <w:sz w:val="24"/>
          <w:szCs w:val="24"/>
        </w:rPr>
        <w:t xml:space="preserve"> 56 (11): 4816–20. </w:t>
      </w:r>
      <w:r w:rsidRPr="00EC7F78">
        <w:rPr>
          <w:rFonts w:ascii="Times New Roman" w:hAnsi="Times New Roman" w:cs="Times New Roman"/>
          <w:noProof/>
          <w:sz w:val="24"/>
          <w:szCs w:val="24"/>
        </w:rPr>
        <w:lastRenderedPageBreak/>
        <w:t>https://doi.org/10.1021/jm400390r.</w:t>
      </w:r>
    </w:p>
    <w:p w14:paraId="6689D5E7"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 xml:space="preserve">Patil, Vishal, Quaovi H. Sodji, James R. Kornacki, Milan Mrksich, and Adegboyega K. Oyelere. 2013. “3-Hydroxypyridin-2-Thione as Novel Zinc Binding Group for Selective Histone Deacetylase Inhibition.” </w:t>
      </w:r>
      <w:r w:rsidRPr="00EC7F78">
        <w:rPr>
          <w:rFonts w:ascii="Times New Roman" w:hAnsi="Times New Roman" w:cs="Times New Roman"/>
          <w:i/>
          <w:iCs/>
          <w:noProof/>
          <w:sz w:val="24"/>
          <w:szCs w:val="24"/>
        </w:rPr>
        <w:t>Journal of Medicinal Chemistry</w:t>
      </w:r>
      <w:r w:rsidRPr="00EC7F78">
        <w:rPr>
          <w:rFonts w:ascii="Times New Roman" w:hAnsi="Times New Roman" w:cs="Times New Roman"/>
          <w:noProof/>
          <w:sz w:val="24"/>
          <w:szCs w:val="24"/>
        </w:rPr>
        <w:t xml:space="preserve"> 56 (9): 3492–3506. https://doi.org/10.1021/jm301769u.</w:t>
      </w:r>
    </w:p>
    <w:p w14:paraId="50DFE319"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Wagner, Florence F., David E. Olson, Jennifer P. Gale, Taner Kaya, Michel Weïwer, Nadia Aidoud, Méryl Thomas, et al. 2013. “Potent and Selective Inhibition of Histone Deacetylase 6 (HDAC6) Does Not Require a Surface-Binding Motif.” https://doi.org/10.1021/JM301355J.</w:t>
      </w:r>
    </w:p>
    <w:p w14:paraId="38180A4D"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szCs w:val="24"/>
        </w:rPr>
      </w:pPr>
      <w:r w:rsidRPr="00EC7F78">
        <w:rPr>
          <w:rFonts w:ascii="Times New Roman" w:hAnsi="Times New Roman" w:cs="Times New Roman"/>
          <w:noProof/>
          <w:sz w:val="24"/>
          <w:szCs w:val="24"/>
        </w:rPr>
        <w:t>Watson, Peter J, Christopher J Millard, Andrew M Riley, Naomi S Robertson, Lyndsey C Wright, Himali Y Godage, Shaun M Cowley, Andrew G Jamieson, Barry V L Potter, and John W R Schwabe. 2016. “ARTICLE Insights into the Activation Mechanism of Class I HDAC Complexes by Inositol Phosphates.” https://doi.org/10.1038/ncomms11262.</w:t>
      </w:r>
    </w:p>
    <w:p w14:paraId="0D500C1C" w14:textId="77777777" w:rsidR="00EC7F78" w:rsidRPr="00EC7F78" w:rsidRDefault="00EC7F78" w:rsidP="00EC7F78">
      <w:pPr>
        <w:widowControl w:val="0"/>
        <w:autoSpaceDE w:val="0"/>
        <w:autoSpaceDN w:val="0"/>
        <w:adjustRightInd w:val="0"/>
        <w:spacing w:line="240" w:lineRule="auto"/>
        <w:ind w:left="480" w:hanging="480"/>
        <w:rPr>
          <w:rFonts w:ascii="Times New Roman" w:hAnsi="Times New Roman" w:cs="Times New Roman"/>
          <w:noProof/>
          <w:sz w:val="24"/>
        </w:rPr>
      </w:pPr>
      <w:r w:rsidRPr="00EC7F78">
        <w:rPr>
          <w:rFonts w:ascii="Times New Roman" w:hAnsi="Times New Roman" w:cs="Times New Roman"/>
          <w:noProof/>
          <w:sz w:val="24"/>
          <w:szCs w:val="24"/>
        </w:rPr>
        <w:t xml:space="preserve">Wu, Jianghong, Adeboye Adejare, Jeffrey Wang, Jason Wallach, Stephanie Duane, Haiching Ma, Yuren Wang, and Yuan Wang. 2017. “Developing Selective Histone Deacetylases (HDACs) Inhibitors through Ebselen and Analogs.” </w:t>
      </w:r>
      <w:r w:rsidRPr="00EC7F78">
        <w:rPr>
          <w:rFonts w:ascii="Times New Roman" w:hAnsi="Times New Roman" w:cs="Times New Roman"/>
          <w:i/>
          <w:iCs/>
          <w:noProof/>
          <w:sz w:val="24"/>
          <w:szCs w:val="24"/>
        </w:rPr>
        <w:t>Drug Design, Development and Therapy</w:t>
      </w:r>
      <w:r w:rsidRPr="00EC7F78">
        <w:rPr>
          <w:rFonts w:ascii="Times New Roman" w:hAnsi="Times New Roman" w:cs="Times New Roman"/>
          <w:noProof/>
          <w:sz w:val="24"/>
          <w:szCs w:val="24"/>
        </w:rPr>
        <w:t xml:space="preserve"> Volume 11: 1369–82. https://doi.org/10.2147/dddt.s124977.</w:t>
      </w:r>
    </w:p>
    <w:p w14:paraId="446ED499" w14:textId="42940D88" w:rsidR="00751DBC" w:rsidRPr="009E2ECD" w:rsidRDefault="00AF68DF" w:rsidP="00C7726E">
      <w:pPr>
        <w:widowControl w:val="0"/>
        <w:autoSpaceDE w:val="0"/>
        <w:autoSpaceDN w:val="0"/>
        <w:adjustRightInd w:val="0"/>
        <w:spacing w:line="240" w:lineRule="auto"/>
        <w:ind w:left="640" w:hanging="640"/>
        <w:rPr>
          <w:rFonts w:ascii="Times New Roman" w:hAnsi="Times New Roman" w:cs="Times New Roman"/>
          <w:sz w:val="20"/>
          <w:szCs w:val="20"/>
          <w:lang w:val="en-US"/>
        </w:rPr>
      </w:pPr>
      <w:r w:rsidRPr="00974DA2">
        <w:rPr>
          <w:rFonts w:ascii="Times New Roman" w:eastAsia="Times New Roman" w:hAnsi="Times New Roman" w:cs="Times New Roman"/>
          <w:b/>
          <w:sz w:val="24"/>
          <w:szCs w:val="24"/>
          <w:lang w:val="en-US"/>
        </w:rPr>
        <w:fldChar w:fldCharType="end"/>
      </w:r>
    </w:p>
    <w:sectPr w:rsidR="00751DBC" w:rsidRPr="009E2ECD" w:rsidSect="00F17A5D">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D6A67" w14:textId="77777777" w:rsidR="001A6EE6" w:rsidRDefault="001A6EE6" w:rsidP="007B730D">
      <w:pPr>
        <w:spacing w:after="0" w:line="240" w:lineRule="auto"/>
      </w:pPr>
      <w:r>
        <w:separator/>
      </w:r>
    </w:p>
  </w:endnote>
  <w:endnote w:type="continuationSeparator" w:id="0">
    <w:p w14:paraId="56786733" w14:textId="77777777" w:rsidR="001A6EE6" w:rsidRDefault="001A6EE6" w:rsidP="007B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0A0C8" w14:textId="77777777" w:rsidR="001A6EE6" w:rsidRDefault="001A6EE6" w:rsidP="007B730D">
      <w:pPr>
        <w:spacing w:after="0" w:line="240" w:lineRule="auto"/>
      </w:pPr>
      <w:r>
        <w:separator/>
      </w:r>
    </w:p>
  </w:footnote>
  <w:footnote w:type="continuationSeparator" w:id="0">
    <w:p w14:paraId="23D7476F" w14:textId="77777777" w:rsidR="001A6EE6" w:rsidRDefault="001A6EE6" w:rsidP="007B73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C2"/>
    <w:rsid w:val="0000419C"/>
    <w:rsid w:val="000072C6"/>
    <w:rsid w:val="00024A4F"/>
    <w:rsid w:val="00032464"/>
    <w:rsid w:val="00036FDD"/>
    <w:rsid w:val="00044E86"/>
    <w:rsid w:val="000450F2"/>
    <w:rsid w:val="000469CC"/>
    <w:rsid w:val="00050FA1"/>
    <w:rsid w:val="00063807"/>
    <w:rsid w:val="0006394B"/>
    <w:rsid w:val="000678E7"/>
    <w:rsid w:val="000740EA"/>
    <w:rsid w:val="000750EE"/>
    <w:rsid w:val="00082BCC"/>
    <w:rsid w:val="00082D0C"/>
    <w:rsid w:val="00085179"/>
    <w:rsid w:val="00093261"/>
    <w:rsid w:val="00095CE6"/>
    <w:rsid w:val="000961D0"/>
    <w:rsid w:val="000A22AF"/>
    <w:rsid w:val="000B1FCC"/>
    <w:rsid w:val="000B55C1"/>
    <w:rsid w:val="000C0665"/>
    <w:rsid w:val="000C3EFE"/>
    <w:rsid w:val="000C6D6D"/>
    <w:rsid w:val="000C7396"/>
    <w:rsid w:val="000D00A8"/>
    <w:rsid w:val="000D0B28"/>
    <w:rsid w:val="000D0FD9"/>
    <w:rsid w:val="000D59F4"/>
    <w:rsid w:val="000D6868"/>
    <w:rsid w:val="000E457C"/>
    <w:rsid w:val="000E48FD"/>
    <w:rsid w:val="000E56A4"/>
    <w:rsid w:val="000F0E02"/>
    <w:rsid w:val="000F1256"/>
    <w:rsid w:val="00112ABD"/>
    <w:rsid w:val="00121EE6"/>
    <w:rsid w:val="00123E8A"/>
    <w:rsid w:val="00137091"/>
    <w:rsid w:val="001400BF"/>
    <w:rsid w:val="00163200"/>
    <w:rsid w:val="001654B8"/>
    <w:rsid w:val="00174B8D"/>
    <w:rsid w:val="001839EC"/>
    <w:rsid w:val="00187A98"/>
    <w:rsid w:val="001A0974"/>
    <w:rsid w:val="001A0E4B"/>
    <w:rsid w:val="001A6EE6"/>
    <w:rsid w:val="001B6B1B"/>
    <w:rsid w:val="001C2D06"/>
    <w:rsid w:val="001C76A7"/>
    <w:rsid w:val="001D393F"/>
    <w:rsid w:val="001E5645"/>
    <w:rsid w:val="001F0C3B"/>
    <w:rsid w:val="001F4FB7"/>
    <w:rsid w:val="001F6377"/>
    <w:rsid w:val="002011AE"/>
    <w:rsid w:val="00203BE4"/>
    <w:rsid w:val="00204207"/>
    <w:rsid w:val="002117E6"/>
    <w:rsid w:val="00222EB0"/>
    <w:rsid w:val="002246C5"/>
    <w:rsid w:val="002358E9"/>
    <w:rsid w:val="00235E8C"/>
    <w:rsid w:val="002501E6"/>
    <w:rsid w:val="00251015"/>
    <w:rsid w:val="0025692F"/>
    <w:rsid w:val="00256FA7"/>
    <w:rsid w:val="002601EA"/>
    <w:rsid w:val="00261496"/>
    <w:rsid w:val="0026529A"/>
    <w:rsid w:val="00265BE1"/>
    <w:rsid w:val="002706D9"/>
    <w:rsid w:val="00276391"/>
    <w:rsid w:val="00290349"/>
    <w:rsid w:val="00290754"/>
    <w:rsid w:val="002969DA"/>
    <w:rsid w:val="0029712C"/>
    <w:rsid w:val="002A1674"/>
    <w:rsid w:val="002B2E8B"/>
    <w:rsid w:val="002B6623"/>
    <w:rsid w:val="002B6BA1"/>
    <w:rsid w:val="002B737B"/>
    <w:rsid w:val="002C1CD5"/>
    <w:rsid w:val="002C2811"/>
    <w:rsid w:val="002C3F65"/>
    <w:rsid w:val="002E3EDB"/>
    <w:rsid w:val="002E541F"/>
    <w:rsid w:val="002F35B9"/>
    <w:rsid w:val="002F627C"/>
    <w:rsid w:val="00304868"/>
    <w:rsid w:val="00304B4D"/>
    <w:rsid w:val="003062A3"/>
    <w:rsid w:val="00310762"/>
    <w:rsid w:val="00323235"/>
    <w:rsid w:val="00326CA4"/>
    <w:rsid w:val="0035164D"/>
    <w:rsid w:val="003631DE"/>
    <w:rsid w:val="0036321B"/>
    <w:rsid w:val="00365099"/>
    <w:rsid w:val="003664B1"/>
    <w:rsid w:val="003669DC"/>
    <w:rsid w:val="00372B41"/>
    <w:rsid w:val="00376101"/>
    <w:rsid w:val="00386ABC"/>
    <w:rsid w:val="00390E07"/>
    <w:rsid w:val="003950D7"/>
    <w:rsid w:val="003A1785"/>
    <w:rsid w:val="003A1C55"/>
    <w:rsid w:val="003A617F"/>
    <w:rsid w:val="003A6969"/>
    <w:rsid w:val="003A6ED4"/>
    <w:rsid w:val="003B1A1B"/>
    <w:rsid w:val="003B7C75"/>
    <w:rsid w:val="003C5DCF"/>
    <w:rsid w:val="003D1F9C"/>
    <w:rsid w:val="003D3D2C"/>
    <w:rsid w:val="003E1097"/>
    <w:rsid w:val="003E6125"/>
    <w:rsid w:val="003E674C"/>
    <w:rsid w:val="003E7084"/>
    <w:rsid w:val="003F0546"/>
    <w:rsid w:val="004004E0"/>
    <w:rsid w:val="00402A52"/>
    <w:rsid w:val="0040784F"/>
    <w:rsid w:val="00410101"/>
    <w:rsid w:val="0041135F"/>
    <w:rsid w:val="004120A4"/>
    <w:rsid w:val="00414182"/>
    <w:rsid w:val="00430DCF"/>
    <w:rsid w:val="00437951"/>
    <w:rsid w:val="004515E3"/>
    <w:rsid w:val="00452DEB"/>
    <w:rsid w:val="00454E9C"/>
    <w:rsid w:val="00456F50"/>
    <w:rsid w:val="00460492"/>
    <w:rsid w:val="00463773"/>
    <w:rsid w:val="00467271"/>
    <w:rsid w:val="004706F4"/>
    <w:rsid w:val="004766A0"/>
    <w:rsid w:val="00482118"/>
    <w:rsid w:val="004870B1"/>
    <w:rsid w:val="00490140"/>
    <w:rsid w:val="00491994"/>
    <w:rsid w:val="0049448C"/>
    <w:rsid w:val="004A2B03"/>
    <w:rsid w:val="004A3D5E"/>
    <w:rsid w:val="004A5F0B"/>
    <w:rsid w:val="004A7539"/>
    <w:rsid w:val="004B151C"/>
    <w:rsid w:val="004B2E33"/>
    <w:rsid w:val="004B4059"/>
    <w:rsid w:val="004C0BF3"/>
    <w:rsid w:val="004D0788"/>
    <w:rsid w:val="004E427A"/>
    <w:rsid w:val="004F4F78"/>
    <w:rsid w:val="005066A2"/>
    <w:rsid w:val="005224F4"/>
    <w:rsid w:val="00522900"/>
    <w:rsid w:val="0052434F"/>
    <w:rsid w:val="00525BEF"/>
    <w:rsid w:val="005327A4"/>
    <w:rsid w:val="00536CFD"/>
    <w:rsid w:val="00543E69"/>
    <w:rsid w:val="00546AD1"/>
    <w:rsid w:val="0055155F"/>
    <w:rsid w:val="00551A12"/>
    <w:rsid w:val="005528A3"/>
    <w:rsid w:val="005614AE"/>
    <w:rsid w:val="00563898"/>
    <w:rsid w:val="00571AA1"/>
    <w:rsid w:val="005924A6"/>
    <w:rsid w:val="00595AE3"/>
    <w:rsid w:val="0059678F"/>
    <w:rsid w:val="00596D30"/>
    <w:rsid w:val="005B5316"/>
    <w:rsid w:val="005B62AC"/>
    <w:rsid w:val="005B7177"/>
    <w:rsid w:val="005C06B2"/>
    <w:rsid w:val="005C65F7"/>
    <w:rsid w:val="005D0D92"/>
    <w:rsid w:val="005D1E40"/>
    <w:rsid w:val="005D4F1C"/>
    <w:rsid w:val="005D787F"/>
    <w:rsid w:val="005E7178"/>
    <w:rsid w:val="005F2AF5"/>
    <w:rsid w:val="005F71AA"/>
    <w:rsid w:val="00602A66"/>
    <w:rsid w:val="006048F4"/>
    <w:rsid w:val="006055F0"/>
    <w:rsid w:val="006062AB"/>
    <w:rsid w:val="00607711"/>
    <w:rsid w:val="00607F89"/>
    <w:rsid w:val="00612196"/>
    <w:rsid w:val="00624CA2"/>
    <w:rsid w:val="00632C19"/>
    <w:rsid w:val="00637314"/>
    <w:rsid w:val="00641875"/>
    <w:rsid w:val="00641BC1"/>
    <w:rsid w:val="0064258E"/>
    <w:rsid w:val="00646B28"/>
    <w:rsid w:val="006523CE"/>
    <w:rsid w:val="00652F99"/>
    <w:rsid w:val="00661EA3"/>
    <w:rsid w:val="006903BD"/>
    <w:rsid w:val="006910FE"/>
    <w:rsid w:val="00692ACD"/>
    <w:rsid w:val="00692D29"/>
    <w:rsid w:val="00693288"/>
    <w:rsid w:val="00697E08"/>
    <w:rsid w:val="006A16AE"/>
    <w:rsid w:val="006A2022"/>
    <w:rsid w:val="006A6B0D"/>
    <w:rsid w:val="006B4CAC"/>
    <w:rsid w:val="006B6AB5"/>
    <w:rsid w:val="006D201E"/>
    <w:rsid w:val="006E4AF9"/>
    <w:rsid w:val="006F1084"/>
    <w:rsid w:val="006F37E3"/>
    <w:rsid w:val="006F6417"/>
    <w:rsid w:val="006F6776"/>
    <w:rsid w:val="00702DE5"/>
    <w:rsid w:val="00704373"/>
    <w:rsid w:val="007067FE"/>
    <w:rsid w:val="00707687"/>
    <w:rsid w:val="00711873"/>
    <w:rsid w:val="00712F4A"/>
    <w:rsid w:val="0071390B"/>
    <w:rsid w:val="007155D4"/>
    <w:rsid w:val="00716ACC"/>
    <w:rsid w:val="00717CF3"/>
    <w:rsid w:val="00721BB6"/>
    <w:rsid w:val="007233E5"/>
    <w:rsid w:val="0072697D"/>
    <w:rsid w:val="00730B2E"/>
    <w:rsid w:val="00732AC1"/>
    <w:rsid w:val="00732C5B"/>
    <w:rsid w:val="007436B4"/>
    <w:rsid w:val="00747F61"/>
    <w:rsid w:val="00751DBC"/>
    <w:rsid w:val="007531A9"/>
    <w:rsid w:val="00764EFB"/>
    <w:rsid w:val="00765782"/>
    <w:rsid w:val="00765FE9"/>
    <w:rsid w:val="00773B96"/>
    <w:rsid w:val="00781115"/>
    <w:rsid w:val="007812B0"/>
    <w:rsid w:val="0078522E"/>
    <w:rsid w:val="0079423B"/>
    <w:rsid w:val="00796144"/>
    <w:rsid w:val="007961AC"/>
    <w:rsid w:val="007A2F4D"/>
    <w:rsid w:val="007A7D94"/>
    <w:rsid w:val="007B2E07"/>
    <w:rsid w:val="007B730D"/>
    <w:rsid w:val="007C036A"/>
    <w:rsid w:val="007C33AF"/>
    <w:rsid w:val="007C5ECC"/>
    <w:rsid w:val="007D0D05"/>
    <w:rsid w:val="007E135D"/>
    <w:rsid w:val="007E4EB9"/>
    <w:rsid w:val="007E5421"/>
    <w:rsid w:val="007E5B2C"/>
    <w:rsid w:val="00804D83"/>
    <w:rsid w:val="008075A7"/>
    <w:rsid w:val="008118ED"/>
    <w:rsid w:val="0082195E"/>
    <w:rsid w:val="00821C08"/>
    <w:rsid w:val="00824EDC"/>
    <w:rsid w:val="00825487"/>
    <w:rsid w:val="008455BF"/>
    <w:rsid w:val="008458E6"/>
    <w:rsid w:val="00850151"/>
    <w:rsid w:val="008533DC"/>
    <w:rsid w:val="00863583"/>
    <w:rsid w:val="00871F29"/>
    <w:rsid w:val="00883332"/>
    <w:rsid w:val="008846E5"/>
    <w:rsid w:val="008A05A8"/>
    <w:rsid w:val="008A1F20"/>
    <w:rsid w:val="008A33A9"/>
    <w:rsid w:val="008A3B61"/>
    <w:rsid w:val="008B26C1"/>
    <w:rsid w:val="008C2E20"/>
    <w:rsid w:val="008D3A8D"/>
    <w:rsid w:val="008D4FEE"/>
    <w:rsid w:val="008D5646"/>
    <w:rsid w:val="008E19E1"/>
    <w:rsid w:val="008F4F7E"/>
    <w:rsid w:val="00907222"/>
    <w:rsid w:val="0091288D"/>
    <w:rsid w:val="009144D0"/>
    <w:rsid w:val="009209A5"/>
    <w:rsid w:val="009218C2"/>
    <w:rsid w:val="00922F09"/>
    <w:rsid w:val="00924749"/>
    <w:rsid w:val="00935CD0"/>
    <w:rsid w:val="00935ED9"/>
    <w:rsid w:val="00937C4A"/>
    <w:rsid w:val="00950599"/>
    <w:rsid w:val="00957BEE"/>
    <w:rsid w:val="0096294F"/>
    <w:rsid w:val="009656F5"/>
    <w:rsid w:val="009657F6"/>
    <w:rsid w:val="00966F72"/>
    <w:rsid w:val="00974DA2"/>
    <w:rsid w:val="00975947"/>
    <w:rsid w:val="009821E0"/>
    <w:rsid w:val="00987FB7"/>
    <w:rsid w:val="00997F79"/>
    <w:rsid w:val="009A6948"/>
    <w:rsid w:val="009B5687"/>
    <w:rsid w:val="009C316D"/>
    <w:rsid w:val="009C7D72"/>
    <w:rsid w:val="009D26CA"/>
    <w:rsid w:val="009E2ECD"/>
    <w:rsid w:val="009F16D3"/>
    <w:rsid w:val="009F292E"/>
    <w:rsid w:val="009F670E"/>
    <w:rsid w:val="00A0796E"/>
    <w:rsid w:val="00A1015E"/>
    <w:rsid w:val="00A16BD0"/>
    <w:rsid w:val="00A2571C"/>
    <w:rsid w:val="00A277D1"/>
    <w:rsid w:val="00A30BAC"/>
    <w:rsid w:val="00A42674"/>
    <w:rsid w:val="00A513A8"/>
    <w:rsid w:val="00A60021"/>
    <w:rsid w:val="00A656A7"/>
    <w:rsid w:val="00A6737A"/>
    <w:rsid w:val="00A67F92"/>
    <w:rsid w:val="00A701EE"/>
    <w:rsid w:val="00A70635"/>
    <w:rsid w:val="00A71313"/>
    <w:rsid w:val="00A71A3C"/>
    <w:rsid w:val="00A72C63"/>
    <w:rsid w:val="00A7507A"/>
    <w:rsid w:val="00A911BE"/>
    <w:rsid w:val="00A94E2C"/>
    <w:rsid w:val="00AA110A"/>
    <w:rsid w:val="00AC43AD"/>
    <w:rsid w:val="00AC57F8"/>
    <w:rsid w:val="00AD169C"/>
    <w:rsid w:val="00AD1E60"/>
    <w:rsid w:val="00AD2FCF"/>
    <w:rsid w:val="00AE1729"/>
    <w:rsid w:val="00AE5681"/>
    <w:rsid w:val="00AE7E4D"/>
    <w:rsid w:val="00AF09A0"/>
    <w:rsid w:val="00AF4EFD"/>
    <w:rsid w:val="00AF68DF"/>
    <w:rsid w:val="00B01DC1"/>
    <w:rsid w:val="00B10E20"/>
    <w:rsid w:val="00B2030F"/>
    <w:rsid w:val="00B2411D"/>
    <w:rsid w:val="00B319AF"/>
    <w:rsid w:val="00B40CBB"/>
    <w:rsid w:val="00B42470"/>
    <w:rsid w:val="00B4429E"/>
    <w:rsid w:val="00B471D6"/>
    <w:rsid w:val="00B47AF5"/>
    <w:rsid w:val="00B73482"/>
    <w:rsid w:val="00B75D19"/>
    <w:rsid w:val="00B77A09"/>
    <w:rsid w:val="00B81ED7"/>
    <w:rsid w:val="00B82338"/>
    <w:rsid w:val="00B9489C"/>
    <w:rsid w:val="00BA0AE2"/>
    <w:rsid w:val="00BA34D4"/>
    <w:rsid w:val="00BA3827"/>
    <w:rsid w:val="00BA3965"/>
    <w:rsid w:val="00BA42EF"/>
    <w:rsid w:val="00BA4A3C"/>
    <w:rsid w:val="00BA526C"/>
    <w:rsid w:val="00BA7215"/>
    <w:rsid w:val="00BA7A36"/>
    <w:rsid w:val="00BB066A"/>
    <w:rsid w:val="00BB613A"/>
    <w:rsid w:val="00BB78D9"/>
    <w:rsid w:val="00BC003D"/>
    <w:rsid w:val="00BD030A"/>
    <w:rsid w:val="00BD59C9"/>
    <w:rsid w:val="00BD648C"/>
    <w:rsid w:val="00BF3738"/>
    <w:rsid w:val="00BF3E3F"/>
    <w:rsid w:val="00C024CB"/>
    <w:rsid w:val="00C02C32"/>
    <w:rsid w:val="00C223CB"/>
    <w:rsid w:val="00C31169"/>
    <w:rsid w:val="00C37D71"/>
    <w:rsid w:val="00C418A9"/>
    <w:rsid w:val="00C41A16"/>
    <w:rsid w:val="00C4701E"/>
    <w:rsid w:val="00C50582"/>
    <w:rsid w:val="00C7084A"/>
    <w:rsid w:val="00C72BD8"/>
    <w:rsid w:val="00C76FEB"/>
    <w:rsid w:val="00C7726E"/>
    <w:rsid w:val="00C80C23"/>
    <w:rsid w:val="00C91031"/>
    <w:rsid w:val="00C9131D"/>
    <w:rsid w:val="00C97F72"/>
    <w:rsid w:val="00CA16D9"/>
    <w:rsid w:val="00CA39C8"/>
    <w:rsid w:val="00CA6987"/>
    <w:rsid w:val="00CA79AE"/>
    <w:rsid w:val="00CB1049"/>
    <w:rsid w:val="00CB1712"/>
    <w:rsid w:val="00CB6DE4"/>
    <w:rsid w:val="00CB7C9C"/>
    <w:rsid w:val="00CC39C3"/>
    <w:rsid w:val="00CD4149"/>
    <w:rsid w:val="00CD608E"/>
    <w:rsid w:val="00CD6AD4"/>
    <w:rsid w:val="00CE249F"/>
    <w:rsid w:val="00CE52F5"/>
    <w:rsid w:val="00CF7767"/>
    <w:rsid w:val="00D057BE"/>
    <w:rsid w:val="00D11B26"/>
    <w:rsid w:val="00D133C2"/>
    <w:rsid w:val="00D20886"/>
    <w:rsid w:val="00D24A9A"/>
    <w:rsid w:val="00D34E31"/>
    <w:rsid w:val="00D517EF"/>
    <w:rsid w:val="00D553D5"/>
    <w:rsid w:val="00D56413"/>
    <w:rsid w:val="00D57C0B"/>
    <w:rsid w:val="00D60470"/>
    <w:rsid w:val="00D650C8"/>
    <w:rsid w:val="00D71A1C"/>
    <w:rsid w:val="00D71EF9"/>
    <w:rsid w:val="00D7234B"/>
    <w:rsid w:val="00D86FD2"/>
    <w:rsid w:val="00D92F05"/>
    <w:rsid w:val="00D93CF7"/>
    <w:rsid w:val="00D96476"/>
    <w:rsid w:val="00DA08F4"/>
    <w:rsid w:val="00DB150A"/>
    <w:rsid w:val="00DB1635"/>
    <w:rsid w:val="00DB581C"/>
    <w:rsid w:val="00DB624A"/>
    <w:rsid w:val="00DB6DE4"/>
    <w:rsid w:val="00DD14EF"/>
    <w:rsid w:val="00DD291B"/>
    <w:rsid w:val="00DD37A7"/>
    <w:rsid w:val="00DD59C7"/>
    <w:rsid w:val="00DD703F"/>
    <w:rsid w:val="00DE2653"/>
    <w:rsid w:val="00DE4456"/>
    <w:rsid w:val="00DE5854"/>
    <w:rsid w:val="00DE702C"/>
    <w:rsid w:val="00DF5FC9"/>
    <w:rsid w:val="00E00A5E"/>
    <w:rsid w:val="00E118FA"/>
    <w:rsid w:val="00E1259C"/>
    <w:rsid w:val="00E145F2"/>
    <w:rsid w:val="00E20489"/>
    <w:rsid w:val="00E249E6"/>
    <w:rsid w:val="00E31DD8"/>
    <w:rsid w:val="00E32430"/>
    <w:rsid w:val="00E37009"/>
    <w:rsid w:val="00E370A8"/>
    <w:rsid w:val="00E37411"/>
    <w:rsid w:val="00E44995"/>
    <w:rsid w:val="00E47803"/>
    <w:rsid w:val="00E51E49"/>
    <w:rsid w:val="00E55BB1"/>
    <w:rsid w:val="00E567ED"/>
    <w:rsid w:val="00E635A7"/>
    <w:rsid w:val="00E63F0C"/>
    <w:rsid w:val="00E74051"/>
    <w:rsid w:val="00E943E6"/>
    <w:rsid w:val="00E95CC3"/>
    <w:rsid w:val="00EA3E10"/>
    <w:rsid w:val="00EB2996"/>
    <w:rsid w:val="00EC255E"/>
    <w:rsid w:val="00EC3811"/>
    <w:rsid w:val="00EC4523"/>
    <w:rsid w:val="00EC66CC"/>
    <w:rsid w:val="00EC7195"/>
    <w:rsid w:val="00EC7F78"/>
    <w:rsid w:val="00EE08E0"/>
    <w:rsid w:val="00EE25B6"/>
    <w:rsid w:val="00EE2E7C"/>
    <w:rsid w:val="00EE61B4"/>
    <w:rsid w:val="00EF5EAE"/>
    <w:rsid w:val="00EF6018"/>
    <w:rsid w:val="00EF6A1D"/>
    <w:rsid w:val="00F00C96"/>
    <w:rsid w:val="00F00DD5"/>
    <w:rsid w:val="00F0563C"/>
    <w:rsid w:val="00F05869"/>
    <w:rsid w:val="00F1198F"/>
    <w:rsid w:val="00F1489D"/>
    <w:rsid w:val="00F17A5D"/>
    <w:rsid w:val="00F20CF7"/>
    <w:rsid w:val="00F211DC"/>
    <w:rsid w:val="00F25166"/>
    <w:rsid w:val="00F3357A"/>
    <w:rsid w:val="00F356AC"/>
    <w:rsid w:val="00F50227"/>
    <w:rsid w:val="00F503EC"/>
    <w:rsid w:val="00F63997"/>
    <w:rsid w:val="00F64DE5"/>
    <w:rsid w:val="00F70436"/>
    <w:rsid w:val="00F76626"/>
    <w:rsid w:val="00F86D35"/>
    <w:rsid w:val="00FA4907"/>
    <w:rsid w:val="00FB48E9"/>
    <w:rsid w:val="00FC229E"/>
    <w:rsid w:val="00FC3674"/>
    <w:rsid w:val="00FD27FE"/>
    <w:rsid w:val="00FF001E"/>
    <w:rsid w:val="00FF1DFA"/>
    <w:rsid w:val="00FF236D"/>
    <w:rsid w:val="00FF5ECD"/>
    <w:rsid w:val="00FF78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972E1"/>
  <w15:docId w15:val="{DBAF1596-58BA-4821-9F07-B085E41D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Title">
    <w:name w:val="BA_Title"/>
    <w:basedOn w:val="Standard"/>
    <w:next w:val="BBAuthorName"/>
    <w:rsid w:val="00D133C2"/>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Standard"/>
    <w:next w:val="BCAuthorAddress"/>
    <w:rsid w:val="00D133C2"/>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Standard"/>
    <w:next w:val="Standard"/>
    <w:rsid w:val="00D133C2"/>
    <w:pPr>
      <w:spacing w:after="240" w:line="480" w:lineRule="auto"/>
      <w:jc w:val="center"/>
    </w:pPr>
    <w:rPr>
      <w:rFonts w:ascii="Times" w:eastAsia="Times New Roman" w:hAnsi="Times" w:cs="Times New Roman"/>
      <w:sz w:val="24"/>
      <w:szCs w:val="20"/>
      <w:lang w:val="en-US"/>
    </w:rPr>
  </w:style>
  <w:style w:type="paragraph" w:customStyle="1" w:styleId="BDAbstract">
    <w:name w:val="BD_Abstract"/>
    <w:basedOn w:val="Standard"/>
    <w:next w:val="Standard"/>
    <w:rsid w:val="00D133C2"/>
    <w:pPr>
      <w:spacing w:before="360" w:after="360"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Standard"/>
    <w:next w:val="Standard"/>
    <w:rsid w:val="00D133C2"/>
    <w:pPr>
      <w:spacing w:after="200" w:line="480" w:lineRule="auto"/>
      <w:jc w:val="both"/>
    </w:pPr>
    <w:rPr>
      <w:rFonts w:ascii="Times" w:eastAsia="Times New Roman" w:hAnsi="Times" w:cs="Times New Roman"/>
      <w:sz w:val="24"/>
      <w:szCs w:val="20"/>
      <w:lang w:val="en-US"/>
    </w:rPr>
  </w:style>
  <w:style w:type="paragraph" w:customStyle="1" w:styleId="BGKeywords">
    <w:name w:val="BG_Keywords"/>
    <w:basedOn w:val="Standard"/>
    <w:rsid w:val="00D133C2"/>
    <w:pPr>
      <w:spacing w:after="200" w:line="480" w:lineRule="auto"/>
      <w:jc w:val="both"/>
    </w:pPr>
    <w:rPr>
      <w:rFonts w:ascii="Times" w:eastAsia="Times New Roman" w:hAnsi="Times" w:cs="Times New Roman"/>
      <w:sz w:val="24"/>
      <w:szCs w:val="20"/>
      <w:lang w:val="en-US"/>
    </w:rPr>
  </w:style>
  <w:style w:type="table" w:styleId="Tabellenraster">
    <w:name w:val="Table Grid"/>
    <w:basedOn w:val="NormaleTabelle"/>
    <w:uiPriority w:val="39"/>
    <w:rsid w:val="00BA7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533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33DC"/>
    <w:rPr>
      <w:rFonts w:ascii="Tahoma" w:hAnsi="Tahoma" w:cs="Tahoma"/>
      <w:sz w:val="16"/>
      <w:szCs w:val="16"/>
    </w:rPr>
  </w:style>
  <w:style w:type="paragraph" w:styleId="Kopfzeile">
    <w:name w:val="header"/>
    <w:basedOn w:val="Standard"/>
    <w:link w:val="KopfzeileZchn"/>
    <w:uiPriority w:val="99"/>
    <w:unhideWhenUsed/>
    <w:rsid w:val="007B730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B730D"/>
  </w:style>
  <w:style w:type="paragraph" w:styleId="Fuzeile">
    <w:name w:val="footer"/>
    <w:basedOn w:val="Standard"/>
    <w:link w:val="FuzeileZchn"/>
    <w:uiPriority w:val="99"/>
    <w:unhideWhenUsed/>
    <w:rsid w:val="007B730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B730D"/>
  </w:style>
  <w:style w:type="character" w:styleId="Kommentarzeichen">
    <w:name w:val="annotation reference"/>
    <w:basedOn w:val="Absatz-Standardschriftart"/>
    <w:uiPriority w:val="99"/>
    <w:semiHidden/>
    <w:unhideWhenUsed/>
    <w:qFormat/>
    <w:rsid w:val="00B40CBB"/>
    <w:rPr>
      <w:sz w:val="16"/>
      <w:szCs w:val="16"/>
    </w:rPr>
  </w:style>
  <w:style w:type="paragraph" w:styleId="Kommentartext">
    <w:name w:val="annotation text"/>
    <w:basedOn w:val="Standard"/>
    <w:link w:val="KommentartextZchn"/>
    <w:uiPriority w:val="99"/>
    <w:unhideWhenUsed/>
    <w:qFormat/>
    <w:rsid w:val="00B40CBB"/>
    <w:pPr>
      <w:spacing w:line="240" w:lineRule="auto"/>
    </w:pPr>
    <w:rPr>
      <w:sz w:val="20"/>
      <w:szCs w:val="20"/>
    </w:rPr>
  </w:style>
  <w:style w:type="character" w:customStyle="1" w:styleId="KommentartextZchn">
    <w:name w:val="Kommentartext Zchn"/>
    <w:basedOn w:val="Absatz-Standardschriftart"/>
    <w:link w:val="Kommentartext"/>
    <w:uiPriority w:val="99"/>
    <w:qFormat/>
    <w:rsid w:val="00B40CBB"/>
    <w:rPr>
      <w:sz w:val="20"/>
      <w:szCs w:val="20"/>
    </w:rPr>
  </w:style>
  <w:style w:type="paragraph" w:styleId="Kommentarthema">
    <w:name w:val="annotation subject"/>
    <w:basedOn w:val="Kommentartext"/>
    <w:next w:val="Kommentartext"/>
    <w:link w:val="KommentarthemaZchn"/>
    <w:uiPriority w:val="99"/>
    <w:semiHidden/>
    <w:unhideWhenUsed/>
    <w:rsid w:val="00B40CBB"/>
    <w:rPr>
      <w:b/>
      <w:bCs/>
    </w:rPr>
  </w:style>
  <w:style w:type="character" w:customStyle="1" w:styleId="KommentarthemaZchn">
    <w:name w:val="Kommentarthema Zchn"/>
    <w:basedOn w:val="KommentartextZchn"/>
    <w:link w:val="Kommentarthema"/>
    <w:uiPriority w:val="99"/>
    <w:semiHidden/>
    <w:rsid w:val="00B40CBB"/>
    <w:rPr>
      <w:b/>
      <w:bCs/>
      <w:sz w:val="20"/>
      <w:szCs w:val="20"/>
    </w:rPr>
  </w:style>
  <w:style w:type="paragraph" w:styleId="Beschriftung">
    <w:name w:val="caption"/>
    <w:basedOn w:val="Standard"/>
    <w:next w:val="Standard"/>
    <w:uiPriority w:val="35"/>
    <w:unhideWhenUsed/>
    <w:qFormat/>
    <w:rsid w:val="00BB613A"/>
    <w:pPr>
      <w:spacing w:after="200" w:line="240" w:lineRule="auto"/>
    </w:pPr>
    <w:rPr>
      <w:b/>
      <w:bCs/>
      <w:color w:val="DDDDDD" w:themeColor="accent1"/>
      <w:sz w:val="18"/>
      <w:szCs w:val="18"/>
    </w:rPr>
  </w:style>
  <w:style w:type="paragraph" w:styleId="KeinLeerraum">
    <w:name w:val="No Spacing"/>
    <w:uiPriority w:val="1"/>
    <w:qFormat/>
    <w:rsid w:val="00E37009"/>
    <w:pPr>
      <w:spacing w:after="0" w:line="240" w:lineRule="auto"/>
    </w:pPr>
  </w:style>
  <w:style w:type="paragraph" w:styleId="Zitat">
    <w:name w:val="Quote"/>
    <w:basedOn w:val="Standard"/>
    <w:next w:val="Standard"/>
    <w:link w:val="ZitatZchn"/>
    <w:uiPriority w:val="29"/>
    <w:qFormat/>
    <w:rsid w:val="000E48FD"/>
    <w:pPr>
      <w:spacing w:after="240" w:line="480" w:lineRule="auto"/>
      <w:ind w:firstLine="360"/>
    </w:pPr>
    <w:rPr>
      <w:color w:val="5A5A5A" w:themeColor="text1" w:themeTint="A5"/>
      <w:lang w:val="en-US"/>
    </w:rPr>
  </w:style>
  <w:style w:type="character" w:customStyle="1" w:styleId="ZitatZchn">
    <w:name w:val="Zitat Zchn"/>
    <w:basedOn w:val="Absatz-Standardschriftart"/>
    <w:link w:val="Zitat"/>
    <w:uiPriority w:val="29"/>
    <w:rsid w:val="000E48FD"/>
    <w:rPr>
      <w:color w:val="5A5A5A" w:themeColor="text1" w:themeTint="A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2186">
      <w:bodyDiv w:val="1"/>
      <w:marLeft w:val="0"/>
      <w:marRight w:val="0"/>
      <w:marTop w:val="0"/>
      <w:marBottom w:val="0"/>
      <w:divBdr>
        <w:top w:val="none" w:sz="0" w:space="0" w:color="auto"/>
        <w:left w:val="none" w:sz="0" w:space="0" w:color="auto"/>
        <w:bottom w:val="none" w:sz="0" w:space="0" w:color="auto"/>
        <w:right w:val="none" w:sz="0" w:space="0" w:color="auto"/>
      </w:divBdr>
    </w:div>
    <w:div w:id="122816080">
      <w:bodyDiv w:val="1"/>
      <w:marLeft w:val="0"/>
      <w:marRight w:val="0"/>
      <w:marTop w:val="0"/>
      <w:marBottom w:val="0"/>
      <w:divBdr>
        <w:top w:val="none" w:sz="0" w:space="0" w:color="auto"/>
        <w:left w:val="none" w:sz="0" w:space="0" w:color="auto"/>
        <w:bottom w:val="none" w:sz="0" w:space="0" w:color="auto"/>
        <w:right w:val="none" w:sz="0" w:space="0" w:color="auto"/>
      </w:divBdr>
    </w:div>
    <w:div w:id="242641343">
      <w:bodyDiv w:val="1"/>
      <w:marLeft w:val="0"/>
      <w:marRight w:val="0"/>
      <w:marTop w:val="0"/>
      <w:marBottom w:val="0"/>
      <w:divBdr>
        <w:top w:val="none" w:sz="0" w:space="0" w:color="auto"/>
        <w:left w:val="none" w:sz="0" w:space="0" w:color="auto"/>
        <w:bottom w:val="none" w:sz="0" w:space="0" w:color="auto"/>
        <w:right w:val="none" w:sz="0" w:space="0" w:color="auto"/>
      </w:divBdr>
      <w:divsChild>
        <w:div w:id="316497158">
          <w:marLeft w:val="0"/>
          <w:marRight w:val="0"/>
          <w:marTop w:val="0"/>
          <w:marBottom w:val="0"/>
          <w:divBdr>
            <w:top w:val="none" w:sz="0" w:space="0" w:color="auto"/>
            <w:left w:val="none" w:sz="0" w:space="0" w:color="auto"/>
            <w:bottom w:val="none" w:sz="0" w:space="0" w:color="auto"/>
            <w:right w:val="none" w:sz="0" w:space="0" w:color="auto"/>
          </w:divBdr>
        </w:div>
        <w:div w:id="952051703">
          <w:marLeft w:val="0"/>
          <w:marRight w:val="0"/>
          <w:marTop w:val="0"/>
          <w:marBottom w:val="0"/>
          <w:divBdr>
            <w:top w:val="none" w:sz="0" w:space="0" w:color="auto"/>
            <w:left w:val="none" w:sz="0" w:space="0" w:color="auto"/>
            <w:bottom w:val="none" w:sz="0" w:space="0" w:color="auto"/>
            <w:right w:val="none" w:sz="0" w:space="0" w:color="auto"/>
          </w:divBdr>
        </w:div>
        <w:div w:id="1294871935">
          <w:marLeft w:val="0"/>
          <w:marRight w:val="0"/>
          <w:marTop w:val="0"/>
          <w:marBottom w:val="0"/>
          <w:divBdr>
            <w:top w:val="none" w:sz="0" w:space="0" w:color="auto"/>
            <w:left w:val="none" w:sz="0" w:space="0" w:color="auto"/>
            <w:bottom w:val="none" w:sz="0" w:space="0" w:color="auto"/>
            <w:right w:val="none" w:sz="0" w:space="0" w:color="auto"/>
          </w:divBdr>
        </w:div>
        <w:div w:id="1633711726">
          <w:marLeft w:val="0"/>
          <w:marRight w:val="0"/>
          <w:marTop w:val="0"/>
          <w:marBottom w:val="0"/>
          <w:divBdr>
            <w:top w:val="none" w:sz="0" w:space="0" w:color="auto"/>
            <w:left w:val="none" w:sz="0" w:space="0" w:color="auto"/>
            <w:bottom w:val="none" w:sz="0" w:space="0" w:color="auto"/>
            <w:right w:val="none" w:sz="0" w:space="0" w:color="auto"/>
          </w:divBdr>
        </w:div>
        <w:div w:id="1841769155">
          <w:marLeft w:val="0"/>
          <w:marRight w:val="0"/>
          <w:marTop w:val="0"/>
          <w:marBottom w:val="0"/>
          <w:divBdr>
            <w:top w:val="none" w:sz="0" w:space="0" w:color="auto"/>
            <w:left w:val="none" w:sz="0" w:space="0" w:color="auto"/>
            <w:bottom w:val="none" w:sz="0" w:space="0" w:color="auto"/>
            <w:right w:val="none" w:sz="0" w:space="0" w:color="auto"/>
          </w:divBdr>
        </w:div>
        <w:div w:id="1992826270">
          <w:marLeft w:val="0"/>
          <w:marRight w:val="0"/>
          <w:marTop w:val="0"/>
          <w:marBottom w:val="0"/>
          <w:divBdr>
            <w:top w:val="none" w:sz="0" w:space="0" w:color="auto"/>
            <w:left w:val="none" w:sz="0" w:space="0" w:color="auto"/>
            <w:bottom w:val="none" w:sz="0" w:space="0" w:color="auto"/>
            <w:right w:val="none" w:sz="0" w:space="0" w:color="auto"/>
          </w:divBdr>
        </w:div>
      </w:divsChild>
    </w:div>
    <w:div w:id="296254616">
      <w:bodyDiv w:val="1"/>
      <w:marLeft w:val="0"/>
      <w:marRight w:val="0"/>
      <w:marTop w:val="0"/>
      <w:marBottom w:val="0"/>
      <w:divBdr>
        <w:top w:val="none" w:sz="0" w:space="0" w:color="auto"/>
        <w:left w:val="none" w:sz="0" w:space="0" w:color="auto"/>
        <w:bottom w:val="none" w:sz="0" w:space="0" w:color="auto"/>
        <w:right w:val="none" w:sz="0" w:space="0" w:color="auto"/>
      </w:divBdr>
    </w:div>
    <w:div w:id="371809400">
      <w:bodyDiv w:val="1"/>
      <w:marLeft w:val="0"/>
      <w:marRight w:val="0"/>
      <w:marTop w:val="0"/>
      <w:marBottom w:val="0"/>
      <w:divBdr>
        <w:top w:val="none" w:sz="0" w:space="0" w:color="auto"/>
        <w:left w:val="none" w:sz="0" w:space="0" w:color="auto"/>
        <w:bottom w:val="none" w:sz="0" w:space="0" w:color="auto"/>
        <w:right w:val="none" w:sz="0" w:space="0" w:color="auto"/>
      </w:divBdr>
    </w:div>
    <w:div w:id="427316130">
      <w:bodyDiv w:val="1"/>
      <w:marLeft w:val="0"/>
      <w:marRight w:val="0"/>
      <w:marTop w:val="0"/>
      <w:marBottom w:val="0"/>
      <w:divBdr>
        <w:top w:val="none" w:sz="0" w:space="0" w:color="auto"/>
        <w:left w:val="none" w:sz="0" w:space="0" w:color="auto"/>
        <w:bottom w:val="none" w:sz="0" w:space="0" w:color="auto"/>
        <w:right w:val="none" w:sz="0" w:space="0" w:color="auto"/>
      </w:divBdr>
    </w:div>
    <w:div w:id="548613613">
      <w:bodyDiv w:val="1"/>
      <w:marLeft w:val="0"/>
      <w:marRight w:val="0"/>
      <w:marTop w:val="0"/>
      <w:marBottom w:val="0"/>
      <w:divBdr>
        <w:top w:val="none" w:sz="0" w:space="0" w:color="auto"/>
        <w:left w:val="none" w:sz="0" w:space="0" w:color="auto"/>
        <w:bottom w:val="none" w:sz="0" w:space="0" w:color="auto"/>
        <w:right w:val="none" w:sz="0" w:space="0" w:color="auto"/>
      </w:divBdr>
    </w:div>
    <w:div w:id="686489684">
      <w:bodyDiv w:val="1"/>
      <w:marLeft w:val="0"/>
      <w:marRight w:val="0"/>
      <w:marTop w:val="0"/>
      <w:marBottom w:val="0"/>
      <w:divBdr>
        <w:top w:val="none" w:sz="0" w:space="0" w:color="auto"/>
        <w:left w:val="none" w:sz="0" w:space="0" w:color="auto"/>
        <w:bottom w:val="none" w:sz="0" w:space="0" w:color="auto"/>
        <w:right w:val="none" w:sz="0" w:space="0" w:color="auto"/>
      </w:divBdr>
    </w:div>
    <w:div w:id="694505001">
      <w:bodyDiv w:val="1"/>
      <w:marLeft w:val="0"/>
      <w:marRight w:val="0"/>
      <w:marTop w:val="0"/>
      <w:marBottom w:val="0"/>
      <w:divBdr>
        <w:top w:val="none" w:sz="0" w:space="0" w:color="auto"/>
        <w:left w:val="none" w:sz="0" w:space="0" w:color="auto"/>
        <w:bottom w:val="none" w:sz="0" w:space="0" w:color="auto"/>
        <w:right w:val="none" w:sz="0" w:space="0" w:color="auto"/>
      </w:divBdr>
    </w:div>
    <w:div w:id="700473038">
      <w:bodyDiv w:val="1"/>
      <w:marLeft w:val="0"/>
      <w:marRight w:val="0"/>
      <w:marTop w:val="0"/>
      <w:marBottom w:val="0"/>
      <w:divBdr>
        <w:top w:val="none" w:sz="0" w:space="0" w:color="auto"/>
        <w:left w:val="none" w:sz="0" w:space="0" w:color="auto"/>
        <w:bottom w:val="none" w:sz="0" w:space="0" w:color="auto"/>
        <w:right w:val="none" w:sz="0" w:space="0" w:color="auto"/>
      </w:divBdr>
      <w:divsChild>
        <w:div w:id="1565333323">
          <w:marLeft w:val="0"/>
          <w:marRight w:val="0"/>
          <w:marTop w:val="0"/>
          <w:marBottom w:val="0"/>
          <w:divBdr>
            <w:top w:val="none" w:sz="0" w:space="0" w:color="auto"/>
            <w:left w:val="none" w:sz="0" w:space="0" w:color="auto"/>
            <w:bottom w:val="none" w:sz="0" w:space="0" w:color="auto"/>
            <w:right w:val="none" w:sz="0" w:space="0" w:color="auto"/>
          </w:divBdr>
        </w:div>
      </w:divsChild>
    </w:div>
    <w:div w:id="709496703">
      <w:bodyDiv w:val="1"/>
      <w:marLeft w:val="0"/>
      <w:marRight w:val="0"/>
      <w:marTop w:val="0"/>
      <w:marBottom w:val="0"/>
      <w:divBdr>
        <w:top w:val="none" w:sz="0" w:space="0" w:color="auto"/>
        <w:left w:val="none" w:sz="0" w:space="0" w:color="auto"/>
        <w:bottom w:val="none" w:sz="0" w:space="0" w:color="auto"/>
        <w:right w:val="none" w:sz="0" w:space="0" w:color="auto"/>
      </w:divBdr>
      <w:divsChild>
        <w:div w:id="1435907117">
          <w:marLeft w:val="0"/>
          <w:marRight w:val="0"/>
          <w:marTop w:val="0"/>
          <w:marBottom w:val="0"/>
          <w:divBdr>
            <w:top w:val="none" w:sz="0" w:space="0" w:color="auto"/>
            <w:left w:val="none" w:sz="0" w:space="0" w:color="auto"/>
            <w:bottom w:val="none" w:sz="0" w:space="0" w:color="auto"/>
            <w:right w:val="none" w:sz="0" w:space="0" w:color="auto"/>
          </w:divBdr>
        </w:div>
      </w:divsChild>
    </w:div>
    <w:div w:id="714702074">
      <w:bodyDiv w:val="1"/>
      <w:marLeft w:val="0"/>
      <w:marRight w:val="0"/>
      <w:marTop w:val="0"/>
      <w:marBottom w:val="0"/>
      <w:divBdr>
        <w:top w:val="none" w:sz="0" w:space="0" w:color="auto"/>
        <w:left w:val="none" w:sz="0" w:space="0" w:color="auto"/>
        <w:bottom w:val="none" w:sz="0" w:space="0" w:color="auto"/>
        <w:right w:val="none" w:sz="0" w:space="0" w:color="auto"/>
      </w:divBdr>
    </w:div>
    <w:div w:id="764964277">
      <w:bodyDiv w:val="1"/>
      <w:marLeft w:val="0"/>
      <w:marRight w:val="0"/>
      <w:marTop w:val="0"/>
      <w:marBottom w:val="0"/>
      <w:divBdr>
        <w:top w:val="none" w:sz="0" w:space="0" w:color="auto"/>
        <w:left w:val="none" w:sz="0" w:space="0" w:color="auto"/>
        <w:bottom w:val="none" w:sz="0" w:space="0" w:color="auto"/>
        <w:right w:val="none" w:sz="0" w:space="0" w:color="auto"/>
      </w:divBdr>
    </w:div>
    <w:div w:id="791636645">
      <w:bodyDiv w:val="1"/>
      <w:marLeft w:val="0"/>
      <w:marRight w:val="0"/>
      <w:marTop w:val="0"/>
      <w:marBottom w:val="0"/>
      <w:divBdr>
        <w:top w:val="none" w:sz="0" w:space="0" w:color="auto"/>
        <w:left w:val="none" w:sz="0" w:space="0" w:color="auto"/>
        <w:bottom w:val="none" w:sz="0" w:space="0" w:color="auto"/>
        <w:right w:val="none" w:sz="0" w:space="0" w:color="auto"/>
      </w:divBdr>
    </w:div>
    <w:div w:id="798108054">
      <w:bodyDiv w:val="1"/>
      <w:marLeft w:val="0"/>
      <w:marRight w:val="0"/>
      <w:marTop w:val="0"/>
      <w:marBottom w:val="0"/>
      <w:divBdr>
        <w:top w:val="none" w:sz="0" w:space="0" w:color="auto"/>
        <w:left w:val="none" w:sz="0" w:space="0" w:color="auto"/>
        <w:bottom w:val="none" w:sz="0" w:space="0" w:color="auto"/>
        <w:right w:val="none" w:sz="0" w:space="0" w:color="auto"/>
      </w:divBdr>
      <w:divsChild>
        <w:div w:id="1024939495">
          <w:marLeft w:val="0"/>
          <w:marRight w:val="0"/>
          <w:marTop w:val="0"/>
          <w:marBottom w:val="0"/>
          <w:divBdr>
            <w:top w:val="none" w:sz="0" w:space="0" w:color="auto"/>
            <w:left w:val="none" w:sz="0" w:space="0" w:color="auto"/>
            <w:bottom w:val="none" w:sz="0" w:space="0" w:color="auto"/>
            <w:right w:val="none" w:sz="0" w:space="0" w:color="auto"/>
          </w:divBdr>
        </w:div>
      </w:divsChild>
    </w:div>
    <w:div w:id="856895016">
      <w:bodyDiv w:val="1"/>
      <w:marLeft w:val="0"/>
      <w:marRight w:val="0"/>
      <w:marTop w:val="0"/>
      <w:marBottom w:val="0"/>
      <w:divBdr>
        <w:top w:val="none" w:sz="0" w:space="0" w:color="auto"/>
        <w:left w:val="none" w:sz="0" w:space="0" w:color="auto"/>
        <w:bottom w:val="none" w:sz="0" w:space="0" w:color="auto"/>
        <w:right w:val="none" w:sz="0" w:space="0" w:color="auto"/>
      </w:divBdr>
      <w:divsChild>
        <w:div w:id="1785882876">
          <w:marLeft w:val="0"/>
          <w:marRight w:val="0"/>
          <w:marTop w:val="0"/>
          <w:marBottom w:val="0"/>
          <w:divBdr>
            <w:top w:val="none" w:sz="0" w:space="0" w:color="auto"/>
            <w:left w:val="none" w:sz="0" w:space="0" w:color="auto"/>
            <w:bottom w:val="none" w:sz="0" w:space="0" w:color="auto"/>
            <w:right w:val="none" w:sz="0" w:space="0" w:color="auto"/>
          </w:divBdr>
        </w:div>
      </w:divsChild>
    </w:div>
    <w:div w:id="963117561">
      <w:bodyDiv w:val="1"/>
      <w:marLeft w:val="0"/>
      <w:marRight w:val="0"/>
      <w:marTop w:val="0"/>
      <w:marBottom w:val="0"/>
      <w:divBdr>
        <w:top w:val="none" w:sz="0" w:space="0" w:color="auto"/>
        <w:left w:val="none" w:sz="0" w:space="0" w:color="auto"/>
        <w:bottom w:val="none" w:sz="0" w:space="0" w:color="auto"/>
        <w:right w:val="none" w:sz="0" w:space="0" w:color="auto"/>
      </w:divBdr>
    </w:div>
    <w:div w:id="1002780267">
      <w:bodyDiv w:val="1"/>
      <w:marLeft w:val="0"/>
      <w:marRight w:val="0"/>
      <w:marTop w:val="0"/>
      <w:marBottom w:val="0"/>
      <w:divBdr>
        <w:top w:val="none" w:sz="0" w:space="0" w:color="auto"/>
        <w:left w:val="none" w:sz="0" w:space="0" w:color="auto"/>
        <w:bottom w:val="none" w:sz="0" w:space="0" w:color="auto"/>
        <w:right w:val="none" w:sz="0" w:space="0" w:color="auto"/>
      </w:divBdr>
    </w:div>
    <w:div w:id="1009140977">
      <w:bodyDiv w:val="1"/>
      <w:marLeft w:val="0"/>
      <w:marRight w:val="0"/>
      <w:marTop w:val="0"/>
      <w:marBottom w:val="0"/>
      <w:divBdr>
        <w:top w:val="none" w:sz="0" w:space="0" w:color="auto"/>
        <w:left w:val="none" w:sz="0" w:space="0" w:color="auto"/>
        <w:bottom w:val="none" w:sz="0" w:space="0" w:color="auto"/>
        <w:right w:val="none" w:sz="0" w:space="0" w:color="auto"/>
      </w:divBdr>
      <w:divsChild>
        <w:div w:id="341977829">
          <w:marLeft w:val="0"/>
          <w:marRight w:val="0"/>
          <w:marTop w:val="0"/>
          <w:marBottom w:val="0"/>
          <w:divBdr>
            <w:top w:val="none" w:sz="0" w:space="0" w:color="auto"/>
            <w:left w:val="none" w:sz="0" w:space="0" w:color="auto"/>
            <w:bottom w:val="none" w:sz="0" w:space="0" w:color="auto"/>
            <w:right w:val="none" w:sz="0" w:space="0" w:color="auto"/>
          </w:divBdr>
        </w:div>
        <w:div w:id="648901073">
          <w:marLeft w:val="0"/>
          <w:marRight w:val="0"/>
          <w:marTop w:val="0"/>
          <w:marBottom w:val="0"/>
          <w:divBdr>
            <w:top w:val="none" w:sz="0" w:space="0" w:color="auto"/>
            <w:left w:val="none" w:sz="0" w:space="0" w:color="auto"/>
            <w:bottom w:val="none" w:sz="0" w:space="0" w:color="auto"/>
            <w:right w:val="none" w:sz="0" w:space="0" w:color="auto"/>
          </w:divBdr>
        </w:div>
        <w:div w:id="929892494">
          <w:marLeft w:val="0"/>
          <w:marRight w:val="0"/>
          <w:marTop w:val="0"/>
          <w:marBottom w:val="0"/>
          <w:divBdr>
            <w:top w:val="none" w:sz="0" w:space="0" w:color="auto"/>
            <w:left w:val="none" w:sz="0" w:space="0" w:color="auto"/>
            <w:bottom w:val="none" w:sz="0" w:space="0" w:color="auto"/>
            <w:right w:val="none" w:sz="0" w:space="0" w:color="auto"/>
          </w:divBdr>
        </w:div>
        <w:div w:id="1056469593">
          <w:marLeft w:val="0"/>
          <w:marRight w:val="0"/>
          <w:marTop w:val="0"/>
          <w:marBottom w:val="0"/>
          <w:divBdr>
            <w:top w:val="none" w:sz="0" w:space="0" w:color="auto"/>
            <w:left w:val="none" w:sz="0" w:space="0" w:color="auto"/>
            <w:bottom w:val="none" w:sz="0" w:space="0" w:color="auto"/>
            <w:right w:val="none" w:sz="0" w:space="0" w:color="auto"/>
          </w:divBdr>
        </w:div>
        <w:div w:id="1409570690">
          <w:marLeft w:val="0"/>
          <w:marRight w:val="0"/>
          <w:marTop w:val="0"/>
          <w:marBottom w:val="0"/>
          <w:divBdr>
            <w:top w:val="none" w:sz="0" w:space="0" w:color="auto"/>
            <w:left w:val="none" w:sz="0" w:space="0" w:color="auto"/>
            <w:bottom w:val="none" w:sz="0" w:space="0" w:color="auto"/>
            <w:right w:val="none" w:sz="0" w:space="0" w:color="auto"/>
          </w:divBdr>
        </w:div>
        <w:div w:id="1604222615">
          <w:marLeft w:val="0"/>
          <w:marRight w:val="0"/>
          <w:marTop w:val="0"/>
          <w:marBottom w:val="0"/>
          <w:divBdr>
            <w:top w:val="none" w:sz="0" w:space="0" w:color="auto"/>
            <w:left w:val="none" w:sz="0" w:space="0" w:color="auto"/>
            <w:bottom w:val="none" w:sz="0" w:space="0" w:color="auto"/>
            <w:right w:val="none" w:sz="0" w:space="0" w:color="auto"/>
          </w:divBdr>
        </w:div>
      </w:divsChild>
    </w:div>
    <w:div w:id="1218280045">
      <w:bodyDiv w:val="1"/>
      <w:marLeft w:val="0"/>
      <w:marRight w:val="0"/>
      <w:marTop w:val="0"/>
      <w:marBottom w:val="0"/>
      <w:divBdr>
        <w:top w:val="none" w:sz="0" w:space="0" w:color="auto"/>
        <w:left w:val="none" w:sz="0" w:space="0" w:color="auto"/>
        <w:bottom w:val="none" w:sz="0" w:space="0" w:color="auto"/>
        <w:right w:val="none" w:sz="0" w:space="0" w:color="auto"/>
      </w:divBdr>
    </w:div>
    <w:div w:id="1244486627">
      <w:bodyDiv w:val="1"/>
      <w:marLeft w:val="0"/>
      <w:marRight w:val="0"/>
      <w:marTop w:val="0"/>
      <w:marBottom w:val="0"/>
      <w:divBdr>
        <w:top w:val="none" w:sz="0" w:space="0" w:color="auto"/>
        <w:left w:val="none" w:sz="0" w:space="0" w:color="auto"/>
        <w:bottom w:val="none" w:sz="0" w:space="0" w:color="auto"/>
        <w:right w:val="none" w:sz="0" w:space="0" w:color="auto"/>
      </w:divBdr>
      <w:divsChild>
        <w:div w:id="1606813959">
          <w:marLeft w:val="0"/>
          <w:marRight w:val="0"/>
          <w:marTop w:val="0"/>
          <w:marBottom w:val="0"/>
          <w:divBdr>
            <w:top w:val="none" w:sz="0" w:space="0" w:color="auto"/>
            <w:left w:val="none" w:sz="0" w:space="0" w:color="auto"/>
            <w:bottom w:val="none" w:sz="0" w:space="0" w:color="auto"/>
            <w:right w:val="none" w:sz="0" w:space="0" w:color="auto"/>
          </w:divBdr>
        </w:div>
      </w:divsChild>
    </w:div>
    <w:div w:id="1258173163">
      <w:bodyDiv w:val="1"/>
      <w:marLeft w:val="0"/>
      <w:marRight w:val="0"/>
      <w:marTop w:val="0"/>
      <w:marBottom w:val="0"/>
      <w:divBdr>
        <w:top w:val="none" w:sz="0" w:space="0" w:color="auto"/>
        <w:left w:val="none" w:sz="0" w:space="0" w:color="auto"/>
        <w:bottom w:val="none" w:sz="0" w:space="0" w:color="auto"/>
        <w:right w:val="none" w:sz="0" w:space="0" w:color="auto"/>
      </w:divBdr>
    </w:div>
    <w:div w:id="1261447089">
      <w:bodyDiv w:val="1"/>
      <w:marLeft w:val="0"/>
      <w:marRight w:val="0"/>
      <w:marTop w:val="0"/>
      <w:marBottom w:val="0"/>
      <w:divBdr>
        <w:top w:val="none" w:sz="0" w:space="0" w:color="auto"/>
        <w:left w:val="none" w:sz="0" w:space="0" w:color="auto"/>
        <w:bottom w:val="none" w:sz="0" w:space="0" w:color="auto"/>
        <w:right w:val="none" w:sz="0" w:space="0" w:color="auto"/>
      </w:divBdr>
    </w:div>
    <w:div w:id="1457991510">
      <w:bodyDiv w:val="1"/>
      <w:marLeft w:val="0"/>
      <w:marRight w:val="0"/>
      <w:marTop w:val="0"/>
      <w:marBottom w:val="0"/>
      <w:divBdr>
        <w:top w:val="none" w:sz="0" w:space="0" w:color="auto"/>
        <w:left w:val="none" w:sz="0" w:space="0" w:color="auto"/>
        <w:bottom w:val="none" w:sz="0" w:space="0" w:color="auto"/>
        <w:right w:val="none" w:sz="0" w:space="0" w:color="auto"/>
      </w:divBdr>
    </w:div>
    <w:div w:id="1465581694">
      <w:bodyDiv w:val="1"/>
      <w:marLeft w:val="0"/>
      <w:marRight w:val="0"/>
      <w:marTop w:val="0"/>
      <w:marBottom w:val="0"/>
      <w:divBdr>
        <w:top w:val="none" w:sz="0" w:space="0" w:color="auto"/>
        <w:left w:val="none" w:sz="0" w:space="0" w:color="auto"/>
        <w:bottom w:val="none" w:sz="0" w:space="0" w:color="auto"/>
        <w:right w:val="none" w:sz="0" w:space="0" w:color="auto"/>
      </w:divBdr>
    </w:div>
    <w:div w:id="1491097352">
      <w:bodyDiv w:val="1"/>
      <w:marLeft w:val="0"/>
      <w:marRight w:val="0"/>
      <w:marTop w:val="0"/>
      <w:marBottom w:val="0"/>
      <w:divBdr>
        <w:top w:val="none" w:sz="0" w:space="0" w:color="auto"/>
        <w:left w:val="none" w:sz="0" w:space="0" w:color="auto"/>
        <w:bottom w:val="none" w:sz="0" w:space="0" w:color="auto"/>
        <w:right w:val="none" w:sz="0" w:space="0" w:color="auto"/>
      </w:divBdr>
    </w:div>
    <w:div w:id="1538472226">
      <w:bodyDiv w:val="1"/>
      <w:marLeft w:val="0"/>
      <w:marRight w:val="0"/>
      <w:marTop w:val="0"/>
      <w:marBottom w:val="0"/>
      <w:divBdr>
        <w:top w:val="none" w:sz="0" w:space="0" w:color="auto"/>
        <w:left w:val="none" w:sz="0" w:space="0" w:color="auto"/>
        <w:bottom w:val="none" w:sz="0" w:space="0" w:color="auto"/>
        <w:right w:val="none" w:sz="0" w:space="0" w:color="auto"/>
      </w:divBdr>
    </w:div>
    <w:div w:id="1628504813">
      <w:bodyDiv w:val="1"/>
      <w:marLeft w:val="0"/>
      <w:marRight w:val="0"/>
      <w:marTop w:val="0"/>
      <w:marBottom w:val="0"/>
      <w:divBdr>
        <w:top w:val="none" w:sz="0" w:space="0" w:color="auto"/>
        <w:left w:val="none" w:sz="0" w:space="0" w:color="auto"/>
        <w:bottom w:val="none" w:sz="0" w:space="0" w:color="auto"/>
        <w:right w:val="none" w:sz="0" w:space="0" w:color="auto"/>
      </w:divBdr>
    </w:div>
    <w:div w:id="1698240864">
      <w:bodyDiv w:val="1"/>
      <w:marLeft w:val="0"/>
      <w:marRight w:val="0"/>
      <w:marTop w:val="0"/>
      <w:marBottom w:val="0"/>
      <w:divBdr>
        <w:top w:val="none" w:sz="0" w:space="0" w:color="auto"/>
        <w:left w:val="none" w:sz="0" w:space="0" w:color="auto"/>
        <w:bottom w:val="none" w:sz="0" w:space="0" w:color="auto"/>
        <w:right w:val="none" w:sz="0" w:space="0" w:color="auto"/>
      </w:divBdr>
    </w:div>
    <w:div w:id="1700205972">
      <w:bodyDiv w:val="1"/>
      <w:marLeft w:val="0"/>
      <w:marRight w:val="0"/>
      <w:marTop w:val="0"/>
      <w:marBottom w:val="0"/>
      <w:divBdr>
        <w:top w:val="none" w:sz="0" w:space="0" w:color="auto"/>
        <w:left w:val="none" w:sz="0" w:space="0" w:color="auto"/>
        <w:bottom w:val="none" w:sz="0" w:space="0" w:color="auto"/>
        <w:right w:val="none" w:sz="0" w:space="0" w:color="auto"/>
      </w:divBdr>
    </w:div>
    <w:div w:id="1738626355">
      <w:bodyDiv w:val="1"/>
      <w:marLeft w:val="0"/>
      <w:marRight w:val="0"/>
      <w:marTop w:val="0"/>
      <w:marBottom w:val="0"/>
      <w:divBdr>
        <w:top w:val="none" w:sz="0" w:space="0" w:color="auto"/>
        <w:left w:val="none" w:sz="0" w:space="0" w:color="auto"/>
        <w:bottom w:val="none" w:sz="0" w:space="0" w:color="auto"/>
        <w:right w:val="none" w:sz="0" w:space="0" w:color="auto"/>
      </w:divBdr>
    </w:div>
    <w:div w:id="1805661168">
      <w:bodyDiv w:val="1"/>
      <w:marLeft w:val="0"/>
      <w:marRight w:val="0"/>
      <w:marTop w:val="0"/>
      <w:marBottom w:val="0"/>
      <w:divBdr>
        <w:top w:val="none" w:sz="0" w:space="0" w:color="auto"/>
        <w:left w:val="none" w:sz="0" w:space="0" w:color="auto"/>
        <w:bottom w:val="none" w:sz="0" w:space="0" w:color="auto"/>
        <w:right w:val="none" w:sz="0" w:space="0" w:color="auto"/>
      </w:divBdr>
    </w:div>
    <w:div w:id="1874884523">
      <w:bodyDiv w:val="1"/>
      <w:marLeft w:val="0"/>
      <w:marRight w:val="0"/>
      <w:marTop w:val="0"/>
      <w:marBottom w:val="0"/>
      <w:divBdr>
        <w:top w:val="none" w:sz="0" w:space="0" w:color="auto"/>
        <w:left w:val="none" w:sz="0" w:space="0" w:color="auto"/>
        <w:bottom w:val="none" w:sz="0" w:space="0" w:color="auto"/>
        <w:right w:val="none" w:sz="0" w:space="0" w:color="auto"/>
      </w:divBdr>
      <w:divsChild>
        <w:div w:id="1247224647">
          <w:marLeft w:val="0"/>
          <w:marRight w:val="0"/>
          <w:marTop w:val="0"/>
          <w:marBottom w:val="0"/>
          <w:divBdr>
            <w:top w:val="none" w:sz="0" w:space="0" w:color="auto"/>
            <w:left w:val="none" w:sz="0" w:space="0" w:color="auto"/>
            <w:bottom w:val="none" w:sz="0" w:space="0" w:color="auto"/>
            <w:right w:val="none" w:sz="0" w:space="0" w:color="auto"/>
          </w:divBdr>
        </w:div>
      </w:divsChild>
    </w:div>
    <w:div w:id="1979649684">
      <w:bodyDiv w:val="1"/>
      <w:marLeft w:val="0"/>
      <w:marRight w:val="0"/>
      <w:marTop w:val="0"/>
      <w:marBottom w:val="0"/>
      <w:divBdr>
        <w:top w:val="none" w:sz="0" w:space="0" w:color="auto"/>
        <w:left w:val="none" w:sz="0" w:space="0" w:color="auto"/>
        <w:bottom w:val="none" w:sz="0" w:space="0" w:color="auto"/>
        <w:right w:val="none" w:sz="0" w:space="0" w:color="auto"/>
      </w:divBdr>
      <w:divsChild>
        <w:div w:id="360328358">
          <w:marLeft w:val="0"/>
          <w:marRight w:val="0"/>
          <w:marTop w:val="0"/>
          <w:marBottom w:val="0"/>
          <w:divBdr>
            <w:top w:val="none" w:sz="0" w:space="0" w:color="auto"/>
            <w:left w:val="none" w:sz="0" w:space="0" w:color="auto"/>
            <w:bottom w:val="none" w:sz="0" w:space="0" w:color="auto"/>
            <w:right w:val="none" w:sz="0" w:space="0" w:color="auto"/>
          </w:divBdr>
        </w:div>
      </w:divsChild>
    </w:div>
    <w:div w:id="2048021909">
      <w:bodyDiv w:val="1"/>
      <w:marLeft w:val="0"/>
      <w:marRight w:val="0"/>
      <w:marTop w:val="0"/>
      <w:marBottom w:val="0"/>
      <w:divBdr>
        <w:top w:val="none" w:sz="0" w:space="0" w:color="auto"/>
        <w:left w:val="none" w:sz="0" w:space="0" w:color="auto"/>
        <w:bottom w:val="none" w:sz="0" w:space="0" w:color="auto"/>
        <w:right w:val="none" w:sz="0" w:space="0" w:color="auto"/>
      </w:divBdr>
    </w:div>
    <w:div w:id="2068264149">
      <w:bodyDiv w:val="1"/>
      <w:marLeft w:val="0"/>
      <w:marRight w:val="0"/>
      <w:marTop w:val="0"/>
      <w:marBottom w:val="0"/>
      <w:divBdr>
        <w:top w:val="none" w:sz="0" w:space="0" w:color="auto"/>
        <w:left w:val="none" w:sz="0" w:space="0" w:color="auto"/>
        <w:bottom w:val="none" w:sz="0" w:space="0" w:color="auto"/>
        <w:right w:val="none" w:sz="0" w:space="0" w:color="auto"/>
      </w:divBdr>
    </w:div>
    <w:div w:id="2099131427">
      <w:bodyDiv w:val="1"/>
      <w:marLeft w:val="0"/>
      <w:marRight w:val="0"/>
      <w:marTop w:val="0"/>
      <w:marBottom w:val="0"/>
      <w:divBdr>
        <w:top w:val="none" w:sz="0" w:space="0" w:color="auto"/>
        <w:left w:val="none" w:sz="0" w:space="0" w:color="auto"/>
        <w:bottom w:val="none" w:sz="0" w:space="0" w:color="auto"/>
        <w:right w:val="none" w:sz="0" w:space="0" w:color="auto"/>
      </w:divBdr>
      <w:divsChild>
        <w:div w:id="90414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8.emf"/><Relationship Id="rId42" Type="http://schemas.openxmlformats.org/officeDocument/2006/relationships/oleObject" Target="embeddings/oleObject18.bin"/><Relationship Id="rId63" Type="http://schemas.openxmlformats.org/officeDocument/2006/relationships/image" Target="media/image29.emf"/><Relationship Id="rId84" Type="http://schemas.openxmlformats.org/officeDocument/2006/relationships/oleObject" Target="embeddings/oleObject39.bin"/><Relationship Id="rId138" Type="http://schemas.openxmlformats.org/officeDocument/2006/relationships/oleObject" Target="embeddings/oleObject80.bin"/><Relationship Id="rId107" Type="http://schemas.openxmlformats.org/officeDocument/2006/relationships/oleObject" Target="embeddings/oleObject51.bin"/><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emf"/><Relationship Id="rId74" Type="http://schemas.openxmlformats.org/officeDocument/2006/relationships/oleObject" Target="embeddings/oleObject34.bin"/><Relationship Id="rId128" Type="http://schemas.openxmlformats.org/officeDocument/2006/relationships/oleObject" Target="embeddings/oleObject70.bin"/><Relationship Id="rId149" Type="http://schemas.openxmlformats.org/officeDocument/2006/relationships/image" Target="media/image62.png"/><Relationship Id="rId5" Type="http://schemas.openxmlformats.org/officeDocument/2006/relationships/footnotes" Target="footnotes.xml"/><Relationship Id="rId95" Type="http://schemas.openxmlformats.org/officeDocument/2006/relationships/oleObject" Target="embeddings/oleObject45.bin"/><Relationship Id="rId22" Type="http://schemas.openxmlformats.org/officeDocument/2006/relationships/oleObject" Target="embeddings/oleObject8.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emf"/><Relationship Id="rId113" Type="http://schemas.openxmlformats.org/officeDocument/2006/relationships/oleObject" Target="embeddings/oleObject55.bin"/><Relationship Id="rId118" Type="http://schemas.openxmlformats.org/officeDocument/2006/relationships/oleObject" Target="embeddings/oleObject60.bin"/><Relationship Id="rId134" Type="http://schemas.openxmlformats.org/officeDocument/2006/relationships/oleObject" Target="embeddings/oleObject76.bin"/><Relationship Id="rId139" Type="http://schemas.openxmlformats.org/officeDocument/2006/relationships/image" Target="media/image53.emf"/><Relationship Id="rId80" Type="http://schemas.openxmlformats.org/officeDocument/2006/relationships/oleObject" Target="embeddings/oleObject37.bin"/><Relationship Id="rId85" Type="http://schemas.openxmlformats.org/officeDocument/2006/relationships/image" Target="media/image40.emf"/><Relationship Id="rId150" Type="http://schemas.openxmlformats.org/officeDocument/2006/relationships/image" Target="media/image63.png"/><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6.bin"/><Relationship Id="rId59" Type="http://schemas.openxmlformats.org/officeDocument/2006/relationships/image" Target="media/image27.emf"/><Relationship Id="rId103" Type="http://schemas.openxmlformats.org/officeDocument/2006/relationships/oleObject" Target="embeddings/oleObject49.bin"/><Relationship Id="rId108" Type="http://schemas.openxmlformats.org/officeDocument/2006/relationships/image" Target="media/image51.emf"/><Relationship Id="rId124" Type="http://schemas.openxmlformats.org/officeDocument/2006/relationships/oleObject" Target="embeddings/oleObject66.bin"/><Relationship Id="rId129" Type="http://schemas.openxmlformats.org/officeDocument/2006/relationships/oleObject" Target="embeddings/oleObject71.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emf"/><Relationship Id="rId91" Type="http://schemas.openxmlformats.org/officeDocument/2006/relationships/oleObject" Target="embeddings/oleObject43.bin"/><Relationship Id="rId96" Type="http://schemas.openxmlformats.org/officeDocument/2006/relationships/image" Target="media/image45.emf"/><Relationship Id="rId140" Type="http://schemas.openxmlformats.org/officeDocument/2006/relationships/oleObject" Target="embeddings/oleObject81.bin"/><Relationship Id="rId14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emf"/><Relationship Id="rId28" Type="http://schemas.openxmlformats.org/officeDocument/2006/relationships/oleObject" Target="embeddings/oleObject11.bin"/><Relationship Id="rId49" Type="http://schemas.openxmlformats.org/officeDocument/2006/relationships/image" Target="media/image22.emf"/><Relationship Id="rId114" Type="http://schemas.openxmlformats.org/officeDocument/2006/relationships/oleObject" Target="embeddings/oleObject56.bin"/><Relationship Id="rId119" Type="http://schemas.openxmlformats.org/officeDocument/2006/relationships/oleObject" Target="embeddings/oleObject61.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40.bin"/><Relationship Id="rId130" Type="http://schemas.openxmlformats.org/officeDocument/2006/relationships/oleObject" Target="embeddings/oleObject72.bin"/><Relationship Id="rId135" Type="http://schemas.openxmlformats.org/officeDocument/2006/relationships/oleObject" Target="embeddings/oleObject77.bin"/><Relationship Id="rId151" Type="http://schemas.openxmlformats.org/officeDocument/2006/relationships/image" Target="media/image64.png"/><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image" Target="media/image49.emf"/><Relationship Id="rId120" Type="http://schemas.openxmlformats.org/officeDocument/2006/relationships/oleObject" Target="embeddings/oleObject62.bin"/><Relationship Id="rId125" Type="http://schemas.openxmlformats.org/officeDocument/2006/relationships/oleObject" Target="embeddings/oleObject67.bin"/><Relationship Id="rId141" Type="http://schemas.openxmlformats.org/officeDocument/2006/relationships/image" Target="media/image54.png"/><Relationship Id="rId146" Type="http://schemas.openxmlformats.org/officeDocument/2006/relationships/image" Target="media/image59.png"/><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image" Target="media/image43.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image" Target="media/image52.emf"/><Relationship Id="rId115" Type="http://schemas.openxmlformats.org/officeDocument/2006/relationships/oleObject" Target="embeddings/oleObject57.bin"/><Relationship Id="rId131" Type="http://schemas.openxmlformats.org/officeDocument/2006/relationships/oleObject" Target="embeddings/oleObject73.bin"/><Relationship Id="rId136" Type="http://schemas.openxmlformats.org/officeDocument/2006/relationships/oleObject" Target="embeddings/oleObject78.bin"/><Relationship Id="rId61" Type="http://schemas.openxmlformats.org/officeDocument/2006/relationships/image" Target="media/image28.emf"/><Relationship Id="rId82" Type="http://schemas.openxmlformats.org/officeDocument/2006/relationships/oleObject" Target="embeddings/oleObject38.bin"/><Relationship Id="rId152" Type="http://schemas.openxmlformats.org/officeDocument/2006/relationships/image" Target="media/image65.png"/><Relationship Id="rId19" Type="http://schemas.openxmlformats.org/officeDocument/2006/relationships/image" Target="media/image7.e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image" Target="media/image47.emf"/><Relationship Id="rId105" Type="http://schemas.openxmlformats.org/officeDocument/2006/relationships/oleObject" Target="embeddings/oleObject50.bin"/><Relationship Id="rId126" Type="http://schemas.openxmlformats.org/officeDocument/2006/relationships/oleObject" Target="embeddings/oleObject68.bin"/><Relationship Id="rId147" Type="http://schemas.openxmlformats.org/officeDocument/2006/relationships/image" Target="media/image60.png"/><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6.emf"/><Relationship Id="rId121" Type="http://schemas.openxmlformats.org/officeDocument/2006/relationships/oleObject" Target="embeddings/oleObject63.bin"/><Relationship Id="rId142"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oleObject" Target="embeddings/oleObject20.bin"/><Relationship Id="rId67" Type="http://schemas.openxmlformats.org/officeDocument/2006/relationships/image" Target="media/image31.emf"/><Relationship Id="rId116" Type="http://schemas.openxmlformats.org/officeDocument/2006/relationships/oleObject" Target="embeddings/oleObject58.bin"/><Relationship Id="rId137" Type="http://schemas.openxmlformats.org/officeDocument/2006/relationships/oleObject" Target="embeddings/oleObject79.bin"/><Relationship Id="rId20" Type="http://schemas.openxmlformats.org/officeDocument/2006/relationships/oleObject" Target="embeddings/oleObject7.bin"/><Relationship Id="rId41" Type="http://schemas.openxmlformats.org/officeDocument/2006/relationships/image" Target="media/image18.emf"/><Relationship Id="rId62" Type="http://schemas.openxmlformats.org/officeDocument/2006/relationships/oleObject" Target="embeddings/oleObject28.bin"/><Relationship Id="rId83" Type="http://schemas.openxmlformats.org/officeDocument/2006/relationships/image" Target="media/image39.emf"/><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74.bin"/><Relationship Id="rId153"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image" Target="media/image26.emf"/><Relationship Id="rId106" Type="http://schemas.openxmlformats.org/officeDocument/2006/relationships/image" Target="media/image50.emf"/><Relationship Id="rId127" Type="http://schemas.openxmlformats.org/officeDocument/2006/relationships/oleObject" Target="embeddings/oleObject69.bin"/><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image" Target="media/image34.emf"/><Relationship Id="rId78" Type="http://schemas.openxmlformats.org/officeDocument/2006/relationships/oleObject" Target="embeddings/oleObject36.bin"/><Relationship Id="rId94" Type="http://schemas.openxmlformats.org/officeDocument/2006/relationships/image" Target="media/image44.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4.bin"/><Relationship Id="rId143" Type="http://schemas.openxmlformats.org/officeDocument/2006/relationships/image" Target="media/image56.png"/><Relationship Id="rId148"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oleObject" Target="embeddings/oleObject10.bin"/><Relationship Id="rId47" Type="http://schemas.openxmlformats.org/officeDocument/2006/relationships/image" Target="media/image21.e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75.bin"/><Relationship Id="rId154" Type="http://schemas.openxmlformats.org/officeDocument/2006/relationships/theme" Target="theme/theme1.xml"/><Relationship Id="rId16" Type="http://schemas.openxmlformats.org/officeDocument/2006/relationships/oleObject" Target="embeddings/oleObject5.bin"/><Relationship Id="rId37" Type="http://schemas.openxmlformats.org/officeDocument/2006/relationships/image" Target="media/image16.emf"/><Relationship Id="rId58" Type="http://schemas.openxmlformats.org/officeDocument/2006/relationships/oleObject" Target="embeddings/oleObject26.bin"/><Relationship Id="rId79" Type="http://schemas.openxmlformats.org/officeDocument/2006/relationships/image" Target="media/image37.emf"/><Relationship Id="rId102" Type="http://schemas.openxmlformats.org/officeDocument/2006/relationships/image" Target="media/image48.emf"/><Relationship Id="rId123" Type="http://schemas.openxmlformats.org/officeDocument/2006/relationships/oleObject" Target="embeddings/oleObject65.bin"/><Relationship Id="rId144" Type="http://schemas.openxmlformats.org/officeDocument/2006/relationships/image" Target="media/image57.png"/><Relationship Id="rId90" Type="http://schemas.openxmlformats.org/officeDocument/2006/relationships/image" Target="media/image42.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CSCitSeq(1).xsl" StyleName="ACS - Citation Sequence (italic)"/>
</file>

<file path=customXml/itemProps1.xml><?xml version="1.0" encoding="utf-8"?>
<ds:datastoreItem xmlns:ds="http://schemas.openxmlformats.org/officeDocument/2006/customXml" ds:itemID="{8F4B1783-2DB1-47F2-B0F6-EF657BA5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13833</Words>
  <Characters>87153</Characters>
  <Application>Microsoft Office Word</Application>
  <DocSecurity>0</DocSecurity>
  <Lines>726</Lines>
  <Paragraphs>201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Univerzitet u Beogradu - Farmaceutski fakultet</Company>
  <LinksUpToDate>false</LinksUpToDate>
  <CharactersWithSpaces>100785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Leandro</dc:creator>
  <cp:lastModifiedBy>PC</cp:lastModifiedBy>
  <cp:revision>3</cp:revision>
  <dcterms:created xsi:type="dcterms:W3CDTF">2019-07-26T10:35:00Z</dcterms:created>
  <dcterms:modified xsi:type="dcterms:W3CDTF">2019-07-27T08:46:00Z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b2e9e50c-dde8-3086-ae7a-e3ee559fb093</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