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E6A02" w14:textId="557B57E3" w:rsidR="00AE7893" w:rsidRPr="00AE7893" w:rsidRDefault="00AE7893" w:rsidP="00892F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Supplementary tables </w:t>
      </w:r>
    </w:p>
    <w:p w14:paraId="4E9295CF" w14:textId="5DDE58A8" w:rsidR="002812C8" w:rsidRDefault="00B22F96" w:rsidP="00892F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1. </w:t>
      </w:r>
      <w:r w:rsidR="00E71891" w:rsidRPr="00E71891">
        <w:rPr>
          <w:rFonts w:ascii="Times New Roman" w:hAnsi="Times New Roman" w:cs="Times New Roman"/>
          <w:sz w:val="24"/>
          <w:szCs w:val="24"/>
          <w:lang w:val="en-US"/>
        </w:rPr>
        <w:t>Alloy composition of filler materials (information on flux composition for filler materials of F1-F6 not available)</w:t>
      </w:r>
      <w:r w:rsidR="001C1D7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1C1D74">
        <w:rPr>
          <w:rFonts w:ascii="Times New Roman" w:hAnsi="Times New Roman" w:cs="Times New Roman"/>
          <w:sz w:val="24"/>
          <w:szCs w:val="24"/>
          <w:lang w:val="en-US"/>
        </w:rPr>
        <w:t>wt</w:t>
      </w:r>
      <w:proofErr w:type="spellEnd"/>
      <w:r w:rsidR="001C1D74">
        <w:rPr>
          <w:rFonts w:ascii="Times New Roman" w:hAnsi="Times New Roman" w:cs="Times New Roman"/>
          <w:sz w:val="24"/>
          <w:szCs w:val="24"/>
          <w:lang w:val="en-US"/>
        </w:rPr>
        <w:t>-%</w:t>
      </w:r>
      <w:r w:rsidR="00E71891" w:rsidRPr="00E71891">
        <w:rPr>
          <w:rFonts w:ascii="Times New Roman" w:hAnsi="Times New Roman" w:cs="Times New Roman"/>
          <w:sz w:val="24"/>
          <w:szCs w:val="24"/>
          <w:lang w:val="en-US"/>
        </w:rPr>
        <w:t>, based on supplier information</w:t>
      </w:r>
      <w:r w:rsidR="002812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993"/>
        <w:gridCol w:w="992"/>
        <w:gridCol w:w="992"/>
        <w:gridCol w:w="2323"/>
      </w:tblGrid>
      <w:tr w:rsidR="003778AD" w:rsidRPr="009558F3" w14:paraId="65542C48" w14:textId="77777777" w:rsidTr="00E14F1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1FE2F" w14:textId="2A697EAB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b/>
                <w:sz w:val="24"/>
              </w:rPr>
              <w:t>Filler material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10DFE" w14:textId="5AA8E3D4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558F3">
              <w:rPr>
                <w:rFonts w:ascii="Times New Roman" w:hAnsi="Times New Roman" w:cs="Times New Roman"/>
                <w:b/>
                <w:sz w:val="24"/>
              </w:rPr>
              <w:t>Cr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2969A" w14:textId="57050D57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b/>
                <w:sz w:val="24"/>
              </w:rPr>
              <w:t>Ni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856CE" w14:textId="0BA234C5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558F3">
              <w:rPr>
                <w:rFonts w:ascii="Times New Roman" w:hAnsi="Times New Roman" w:cs="Times New Roman"/>
                <w:b/>
                <w:sz w:val="24"/>
              </w:rPr>
              <w:t>Mn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6F3E7" w14:textId="53637FD9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b/>
                <w:sz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7C14D" w14:textId="32006D0A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b/>
                <w:sz w:val="24"/>
              </w:rPr>
              <w:t>Mo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FA5C0" w14:textId="7446158D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558F3">
              <w:rPr>
                <w:rFonts w:ascii="Times New Roman" w:hAnsi="Times New Roman" w:cs="Times New Roman"/>
                <w:b/>
                <w:sz w:val="24"/>
              </w:rPr>
              <w:t>Others</w:t>
            </w:r>
            <w:proofErr w:type="spellEnd"/>
          </w:p>
        </w:tc>
      </w:tr>
      <w:tr w:rsidR="003778AD" w:rsidRPr="002812C8" w14:paraId="53810807" w14:textId="77777777" w:rsidTr="00E14F13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83542" w14:textId="3ED9FF6E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9558F3">
              <w:rPr>
                <w:rFonts w:ascii="Times New Roman" w:hAnsi="Times New Roman" w:cs="Times New Roman"/>
                <w:b/>
                <w:sz w:val="24"/>
                <w:lang w:val="en-GB"/>
              </w:rPr>
              <w:t>308L</w:t>
            </w:r>
          </w:p>
          <w:p w14:paraId="6933B3A0" w14:textId="3B6FF18E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b/>
                <w:sz w:val="20"/>
                <w:lang w:val="en-GB"/>
              </w:rPr>
              <w:t>(S1, F1, F2)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EE96C" w14:textId="2423B553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sz w:val="24"/>
                <w:lang w:val="en-GB"/>
              </w:rPr>
              <w:t>19-20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DCE71" w14:textId="7BB48603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5A8C7" w14:textId="4E08DF64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sz w:val="24"/>
                <w:lang w:val="en-GB"/>
              </w:rPr>
              <w:t>1.2-1.8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8D16D" w14:textId="67885D5C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sz w:val="24"/>
                <w:lang w:val="en-GB"/>
              </w:rPr>
              <w:t>0.7-0.8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73B9C" w14:textId="2BAB7ED8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sz w:val="24"/>
                <w:lang w:val="en-GB"/>
              </w:rPr>
              <w:t>0.1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690A3" w14:textId="149C7B40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sz w:val="24"/>
                <w:lang w:val="en-GB"/>
              </w:rPr>
              <w:t>C&lt;0.03, P 0.015, S 0.015, Cu 0.1</w:t>
            </w:r>
          </w:p>
        </w:tc>
      </w:tr>
      <w:tr w:rsidR="003778AD" w:rsidRPr="002812C8" w14:paraId="2F29FB7D" w14:textId="77777777" w:rsidTr="00E14F13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C147D" w14:textId="77777777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9558F3">
              <w:rPr>
                <w:rFonts w:ascii="Times New Roman" w:hAnsi="Times New Roman" w:cs="Times New Roman"/>
                <w:b/>
                <w:sz w:val="24"/>
                <w:lang w:val="en-GB"/>
              </w:rPr>
              <w:t>UNS S32101</w:t>
            </w:r>
          </w:p>
          <w:p w14:paraId="181DDFEB" w14:textId="2B0AB9EE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b/>
                <w:sz w:val="20"/>
                <w:lang w:val="en-GB"/>
              </w:rPr>
              <w:t>(M2, F3-F6)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3F903" w14:textId="6B8479D3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sz w:val="24"/>
                <w:lang w:val="en-GB"/>
              </w:rPr>
              <w:t>21-23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4BC3B" w14:textId="16F8C3DC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sz w:val="24"/>
                <w:lang w:val="en-GB"/>
              </w:rPr>
              <w:t>8-10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622F6" w14:textId="735152B6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sz w:val="24"/>
                <w:lang w:val="en-GB"/>
              </w:rPr>
              <w:t>0.5-1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81734" w14:textId="42F7C945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sz w:val="24"/>
                <w:lang w:val="en-GB"/>
              </w:rPr>
              <w:t>0.5-0.9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EE594" w14:textId="02A051D5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sz w:val="24"/>
                <w:lang w:val="en-GB"/>
              </w:rPr>
              <w:t>2.8-3.3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A47BD" w14:textId="74A9008C" w:rsidR="003778AD" w:rsidRPr="009558F3" w:rsidRDefault="003778AD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8F3">
              <w:rPr>
                <w:rFonts w:ascii="Times New Roman" w:hAnsi="Times New Roman" w:cs="Times New Roman"/>
                <w:sz w:val="24"/>
                <w:lang w:val="en-GB"/>
              </w:rPr>
              <w:t>N 0.11-0.17, C&lt;0.03, P&lt;0.03, S&lt;0.025</w:t>
            </w:r>
          </w:p>
        </w:tc>
      </w:tr>
    </w:tbl>
    <w:p w14:paraId="32D6BD60" w14:textId="6C97DEBF" w:rsidR="00AE7893" w:rsidRDefault="00AE7893" w:rsidP="00892F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E977CB" w14:textId="7B1C412A" w:rsidR="00892F73" w:rsidRDefault="00851320" w:rsidP="00892F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98401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5A7C44">
        <w:rPr>
          <w:rFonts w:ascii="Times New Roman" w:hAnsi="Times New Roman" w:cs="Times New Roman"/>
          <w:b/>
          <w:sz w:val="24"/>
          <w:szCs w:val="24"/>
          <w:lang w:val="en-US"/>
        </w:rPr>
        <w:t>able 2</w:t>
      </w:r>
      <w:r w:rsidR="00892F73" w:rsidRPr="00005D3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92F73">
        <w:rPr>
          <w:rFonts w:ascii="Times New Roman" w:hAnsi="Times New Roman" w:cs="Times New Roman"/>
          <w:sz w:val="24"/>
          <w:szCs w:val="24"/>
          <w:lang w:val="en-US"/>
        </w:rPr>
        <w:t xml:space="preserve">. Elemental composition </w:t>
      </w:r>
      <w:r w:rsidR="001C1D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1C1D74">
        <w:rPr>
          <w:rFonts w:ascii="Times New Roman" w:hAnsi="Times New Roman" w:cs="Times New Roman"/>
          <w:sz w:val="24"/>
          <w:szCs w:val="24"/>
          <w:lang w:val="en-US"/>
        </w:rPr>
        <w:t>wt</w:t>
      </w:r>
      <w:proofErr w:type="spellEnd"/>
      <w:r w:rsidR="001C1D74">
        <w:rPr>
          <w:rFonts w:ascii="Times New Roman" w:hAnsi="Times New Roman" w:cs="Times New Roman"/>
          <w:sz w:val="24"/>
          <w:szCs w:val="24"/>
          <w:lang w:val="en-US"/>
        </w:rPr>
        <w:t xml:space="preserve">-% </w:t>
      </w:r>
      <w:r w:rsidR="00892F7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bookmarkStart w:id="0" w:name="OLE_LINK1127"/>
      <w:bookmarkStart w:id="1" w:name="OLE_LINK1128"/>
      <w:bookmarkStart w:id="2" w:name="OLE_LINK1129"/>
      <w:bookmarkStart w:id="3" w:name="OLE_LINK1130"/>
      <w:r w:rsidR="00617096">
        <w:rPr>
          <w:rFonts w:ascii="Times New Roman" w:hAnsi="Times New Roman" w:cs="Times New Roman"/>
          <w:sz w:val="24"/>
          <w:szCs w:val="24"/>
          <w:lang w:val="en-US"/>
        </w:rPr>
        <w:t xml:space="preserve">fume </w:t>
      </w:r>
      <w:r w:rsidR="00F364C9">
        <w:rPr>
          <w:rFonts w:ascii="Times New Roman" w:hAnsi="Times New Roman" w:cs="Times New Roman"/>
          <w:sz w:val="24"/>
          <w:szCs w:val="24"/>
          <w:lang w:val="en-US"/>
        </w:rPr>
        <w:t>particles</w:t>
      </w:r>
      <w:r w:rsidR="006E2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bookmarkEnd w:id="1"/>
      <w:bookmarkEnd w:id="2"/>
      <w:bookmarkEnd w:id="3"/>
      <w:r w:rsidR="00892F73">
        <w:rPr>
          <w:rFonts w:ascii="Times New Roman" w:hAnsi="Times New Roman" w:cs="Times New Roman"/>
          <w:sz w:val="24"/>
          <w:szCs w:val="24"/>
          <w:lang w:val="en-US"/>
        </w:rPr>
        <w:t>S1, F1-F6, based on EDS</w:t>
      </w:r>
      <w:r w:rsidR="006E29C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2F7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6E29C3">
        <w:rPr>
          <w:rFonts w:ascii="Times New Roman" w:hAnsi="Times New Roman" w:cs="Times New Roman"/>
          <w:sz w:val="24"/>
          <w:szCs w:val="24"/>
          <w:lang w:val="en-US"/>
        </w:rPr>
        <w:t>-content</w:t>
      </w:r>
      <w:r w:rsidR="00892F73">
        <w:rPr>
          <w:rFonts w:ascii="Times New Roman" w:hAnsi="Times New Roman" w:cs="Times New Roman"/>
          <w:sz w:val="24"/>
          <w:szCs w:val="24"/>
          <w:lang w:val="en-US"/>
        </w:rPr>
        <w:t xml:space="preserve"> excluded. Data shows the average and standard deviation of 4-11 individual spectra.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1419"/>
        <w:gridCol w:w="1106"/>
        <w:gridCol w:w="1188"/>
        <w:gridCol w:w="1188"/>
        <w:gridCol w:w="1110"/>
        <w:gridCol w:w="1110"/>
        <w:gridCol w:w="1110"/>
      </w:tblGrid>
      <w:tr w:rsidR="003C1ACC" w:rsidRPr="00F352F5" w14:paraId="5638C9F3" w14:textId="77777777" w:rsidTr="009C30DD"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580E3" w14:textId="77777777" w:rsidR="00892F73" w:rsidRPr="00605737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4E4BA6" w14:textId="77777777" w:rsidR="00892F73" w:rsidRPr="00605737" w:rsidRDefault="00892F73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B8E836" w14:textId="77777777" w:rsidR="00892F73" w:rsidRPr="00605737" w:rsidRDefault="00892F73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B12F57" w14:textId="77777777" w:rsidR="00892F73" w:rsidRPr="00605737" w:rsidRDefault="00892F73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7200A3" w14:textId="77777777" w:rsidR="00892F73" w:rsidRPr="00605737" w:rsidRDefault="00892F73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8F3380" w14:textId="77777777" w:rsidR="00892F73" w:rsidRPr="00605737" w:rsidRDefault="00892F73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Mg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B77783" w14:textId="77777777" w:rsidR="00892F73" w:rsidRPr="00605737" w:rsidRDefault="00892F73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70B767" w14:textId="77777777" w:rsidR="00892F73" w:rsidRPr="00605737" w:rsidRDefault="00892F73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05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</w:t>
            </w:r>
            <w:proofErr w:type="spellEnd"/>
          </w:p>
        </w:tc>
      </w:tr>
      <w:tr w:rsidR="003C1ACC" w:rsidRPr="00F352F5" w14:paraId="73F40D1B" w14:textId="77777777" w:rsidTr="009C30DD"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85FD1" w14:textId="77777777" w:rsidR="00892F73" w:rsidRPr="00605737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70CE62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45±17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AA704D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A306A0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0.11±0.17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41FB00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46DE6E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1.8±3.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CFFAF9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29±2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DC1A92" w14:textId="77777777" w:rsidR="00892F73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92F73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±4.</w:t>
            </w: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C1ACC" w:rsidRPr="00F352F5" w14:paraId="5C4EF96F" w14:textId="77777777" w:rsidTr="009C30D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7BC3E" w14:textId="77777777" w:rsidR="00892F73" w:rsidRPr="00605737" w:rsidRDefault="00766A3B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="00892F73" w:rsidRPr="00605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D9BF8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40±5.3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56643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13±3.9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10B21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9.4±4.8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4D552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6.3±4.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86695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43A06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5.1±3.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2AE21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±1.9</w:t>
            </w:r>
          </w:p>
        </w:tc>
      </w:tr>
      <w:tr w:rsidR="003C1ACC" w:rsidRPr="00F352F5" w14:paraId="3BDCB48B" w14:textId="77777777" w:rsidTr="009C30D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41008" w14:textId="77777777" w:rsidR="00892F73" w:rsidRPr="00605737" w:rsidRDefault="00766A3B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="00892F73" w:rsidRPr="00605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7F4A5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±2.7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153CF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8D4F6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6.9±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EB404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5.2±6.1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CBE57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EF4FC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9382C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±2.7</w:t>
            </w:r>
          </w:p>
        </w:tc>
      </w:tr>
      <w:tr w:rsidR="003C1ACC" w:rsidRPr="00F352F5" w14:paraId="3E3C51B0" w14:textId="77777777" w:rsidTr="009C30D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71A0E" w14:textId="77777777" w:rsidR="00892F73" w:rsidRPr="00605737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F5198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41±1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A0B23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A0C2A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8.9±6.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187EA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6.8±4.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801FC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1028D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±5.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BCB8B" w14:textId="77777777" w:rsidR="00892F73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92F73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</w:t>
            </w: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1ACC" w:rsidRPr="00F352F5" w14:paraId="1BEB0C3E" w14:textId="77777777" w:rsidTr="009C30D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69DA3" w14:textId="77777777" w:rsidR="00892F73" w:rsidRPr="00605737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A41BF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42±12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8F376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0BCC1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±8.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5E526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49CA6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A6ED6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1.5±2.8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ADC1C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±3.5</w:t>
            </w:r>
          </w:p>
        </w:tc>
      </w:tr>
      <w:tr w:rsidR="003C1ACC" w:rsidRPr="00F352F5" w14:paraId="00EEB5E0" w14:textId="77777777" w:rsidTr="009C30D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179D9" w14:textId="77777777" w:rsidR="00892F73" w:rsidRPr="00605737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C2CB6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46±1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C0267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19±17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523C7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27±18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A5498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0.44±0.98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C3A1C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E3DC8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4F3EE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</w:tr>
      <w:tr w:rsidR="003C1ACC" w:rsidRPr="00F352F5" w14:paraId="4654B8F0" w14:textId="77777777" w:rsidTr="009C30DD"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3FFA1" w14:textId="77777777" w:rsidR="00892F73" w:rsidRPr="00605737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2B89A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0CD93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B743E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14±9.1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E74151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0.47±0.49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1B59D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1252C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±2.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BDA5C" w14:textId="77777777" w:rsidR="00892F73" w:rsidRPr="00F352F5" w:rsidRDefault="00892F73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4.9±5.</w:t>
            </w:r>
            <w:r w:rsidR="003C1ACC" w:rsidRPr="0060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3B47ADE6" w14:textId="77777777" w:rsidR="00892F73" w:rsidRDefault="00892F73" w:rsidP="00892F7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E71ACF" w14:textId="559819B0" w:rsidR="003C1ACC" w:rsidRDefault="00851320" w:rsidP="00892F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98401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5A7C44">
        <w:rPr>
          <w:rFonts w:ascii="Times New Roman" w:hAnsi="Times New Roman" w:cs="Times New Roman"/>
          <w:b/>
          <w:sz w:val="24"/>
          <w:szCs w:val="24"/>
          <w:lang w:val="en-US"/>
        </w:rPr>
        <w:t>able 2</w:t>
      </w:r>
      <w:r w:rsidR="003C1ACC" w:rsidRPr="00005D3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C1ACC">
        <w:rPr>
          <w:rFonts w:ascii="Times New Roman" w:hAnsi="Times New Roman" w:cs="Times New Roman"/>
          <w:sz w:val="24"/>
          <w:szCs w:val="24"/>
          <w:lang w:val="en-US"/>
        </w:rPr>
        <w:t xml:space="preserve">. Elemental composition </w:t>
      </w:r>
      <w:r w:rsidR="001C1D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1C1D74">
        <w:rPr>
          <w:rFonts w:ascii="Times New Roman" w:hAnsi="Times New Roman" w:cs="Times New Roman"/>
          <w:sz w:val="24"/>
          <w:szCs w:val="24"/>
          <w:lang w:val="en-US"/>
        </w:rPr>
        <w:t>wt</w:t>
      </w:r>
      <w:proofErr w:type="spellEnd"/>
      <w:r w:rsidR="001C1D74">
        <w:rPr>
          <w:rFonts w:ascii="Times New Roman" w:hAnsi="Times New Roman" w:cs="Times New Roman"/>
          <w:sz w:val="24"/>
          <w:szCs w:val="24"/>
          <w:lang w:val="en-US"/>
        </w:rPr>
        <w:t xml:space="preserve">-% </w:t>
      </w:r>
      <w:r w:rsidR="003C1A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17096">
        <w:rPr>
          <w:rFonts w:ascii="Times New Roman" w:hAnsi="Times New Roman" w:cs="Times New Roman"/>
          <w:sz w:val="24"/>
          <w:szCs w:val="24"/>
          <w:lang w:val="en-US"/>
        </w:rPr>
        <w:t xml:space="preserve">fume </w:t>
      </w:r>
      <w:r w:rsidR="00F364C9">
        <w:rPr>
          <w:rFonts w:ascii="Times New Roman" w:hAnsi="Times New Roman" w:cs="Times New Roman"/>
          <w:sz w:val="24"/>
          <w:szCs w:val="24"/>
          <w:lang w:val="en-US"/>
        </w:rPr>
        <w:t>particles</w:t>
      </w:r>
      <w:r w:rsidR="00617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1ACC">
        <w:rPr>
          <w:rFonts w:ascii="Times New Roman" w:hAnsi="Times New Roman" w:cs="Times New Roman"/>
          <w:sz w:val="24"/>
          <w:szCs w:val="24"/>
          <w:lang w:val="en-US"/>
        </w:rPr>
        <w:t>S1, F1-F6, based on EDS</w:t>
      </w:r>
      <w:r w:rsidR="006170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1AC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617096">
        <w:rPr>
          <w:rFonts w:ascii="Times New Roman" w:hAnsi="Times New Roman" w:cs="Times New Roman"/>
          <w:sz w:val="24"/>
          <w:szCs w:val="24"/>
          <w:lang w:val="en-US"/>
        </w:rPr>
        <w:t>-content</w:t>
      </w:r>
      <w:r w:rsidR="003C1ACC">
        <w:rPr>
          <w:rFonts w:ascii="Times New Roman" w:hAnsi="Times New Roman" w:cs="Times New Roman"/>
          <w:sz w:val="24"/>
          <w:szCs w:val="24"/>
          <w:lang w:val="en-US"/>
        </w:rPr>
        <w:t xml:space="preserve"> excluded. Data shows the average and standard deviation of 4-11 individual spectra.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1422"/>
        <w:gridCol w:w="1188"/>
        <w:gridCol w:w="1106"/>
        <w:gridCol w:w="1110"/>
        <w:gridCol w:w="1188"/>
        <w:gridCol w:w="1110"/>
        <w:gridCol w:w="1110"/>
      </w:tblGrid>
      <w:tr w:rsidR="00CF3821" w:rsidRPr="00F352F5" w14:paraId="03AADD30" w14:textId="77777777" w:rsidTr="009C30DD"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C5144" w14:textId="77777777" w:rsidR="003C1ACC" w:rsidRPr="00CF3821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C65DEA" w14:textId="77777777" w:rsidR="003C1ACC" w:rsidRPr="00CF3821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F3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0DCD65" w14:textId="77777777" w:rsidR="003C1ACC" w:rsidRPr="00CF3821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8D9167" w14:textId="77777777" w:rsidR="003C1ACC" w:rsidRPr="00CF3821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1003F8" w14:textId="77777777" w:rsidR="003C1ACC" w:rsidRPr="00CF3821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F3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Zr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751BFC" w14:textId="77777777" w:rsidR="003C1ACC" w:rsidRPr="00CF3821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BF52AF" w14:textId="77777777" w:rsidR="003C1ACC" w:rsidRPr="00CF3821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3EFFE" w14:textId="77777777" w:rsidR="003C1ACC" w:rsidRPr="00CF3821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F3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</w:t>
            </w:r>
            <w:proofErr w:type="spellEnd"/>
          </w:p>
        </w:tc>
      </w:tr>
      <w:tr w:rsidR="00CF3821" w:rsidRPr="00F352F5" w14:paraId="373EBF50" w14:textId="77777777" w:rsidTr="009C30DD"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F41BDB" w14:textId="77777777" w:rsidR="003C1ACC" w:rsidRPr="00CF3821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DD7AD9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7.2±4.8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BEABF4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3.4±3.5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D7704E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FC30D0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E9522F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02BEE0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2.6±3.9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615D22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0.3±0.5</w:t>
            </w:r>
          </w:p>
        </w:tc>
      </w:tr>
      <w:tr w:rsidR="00CF3821" w:rsidRPr="00F352F5" w14:paraId="774511F3" w14:textId="77777777" w:rsidTr="009C30D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E315B" w14:textId="77777777" w:rsidR="003C1ACC" w:rsidRPr="00CF3821" w:rsidRDefault="00766A3B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="003C1ACC" w:rsidRPr="00CF3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87355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4.7±3.1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D66B6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0.30±0.36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A1DFE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9.3±17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D9D39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1.9±3.7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5689A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1.4±1.4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AAE11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3.4±2.2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49F03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</w:tr>
      <w:tr w:rsidR="00CF3821" w:rsidRPr="00F352F5" w14:paraId="1F44A9A6" w14:textId="77777777" w:rsidTr="009C30D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E8BA4" w14:textId="77777777" w:rsidR="003C1ACC" w:rsidRPr="00CF3821" w:rsidRDefault="00766A3B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="003C1ACC" w:rsidRPr="00CF3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FEFDE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1D098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C32DB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18±21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7DB04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3.7±4.3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A1207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2.8±1.3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26DC3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4.1±5.1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995CD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</w:tr>
      <w:tr w:rsidR="00CF3821" w:rsidRPr="00F352F5" w14:paraId="779B21A6" w14:textId="77777777" w:rsidTr="009C30D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D066B" w14:textId="77777777" w:rsidR="003C1ACC" w:rsidRPr="00CF3821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C0ACA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3.8±5.1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6D203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35C6A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7.6±11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CFF22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4C4C9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0.38±0.49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E5060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2.3±2.9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E485E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</w:tr>
      <w:tr w:rsidR="00CF3821" w:rsidRPr="00F352F5" w14:paraId="628DB934" w14:textId="77777777" w:rsidTr="009C30D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6E5E7" w14:textId="77777777" w:rsidR="003C1ACC" w:rsidRPr="00CF3821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E877E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4.6±2.5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0A592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C9FBE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16±24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8FD5D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C9B3E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C9E26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2.5±1.7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BDEC3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</w:tr>
      <w:tr w:rsidR="00CF3821" w:rsidRPr="00F352F5" w14:paraId="2B3717B4" w14:textId="77777777" w:rsidTr="009C30D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6DBFA" w14:textId="77777777" w:rsidR="003C1ACC" w:rsidRPr="00CF3821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1E8BB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9F86A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BFA57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F8A96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4720F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893EC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7.5±7.8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FA2D7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</w:tr>
      <w:tr w:rsidR="00CF3821" w:rsidRPr="00F352F5" w14:paraId="3ADE1596" w14:textId="77777777" w:rsidTr="009C30DD"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52922" w14:textId="77777777" w:rsidR="003C1ACC" w:rsidRPr="00CF3821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7E7E7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3.7±4.1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847C8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96ACB5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12±19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C688F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3F066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A203E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2.0±1.7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93C44A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</w:tr>
    </w:tbl>
    <w:p w14:paraId="5F783254" w14:textId="011D12FC" w:rsidR="00EC73DD" w:rsidRDefault="00EC73DD" w:rsidP="005E72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2FA812" w14:textId="09CF5623" w:rsidR="003C1ACC" w:rsidRDefault="00851320" w:rsidP="005E72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98401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5A7C44">
        <w:rPr>
          <w:rFonts w:ascii="Times New Roman" w:hAnsi="Times New Roman" w:cs="Times New Roman"/>
          <w:b/>
          <w:sz w:val="24"/>
          <w:szCs w:val="24"/>
          <w:lang w:val="en-US"/>
        </w:rPr>
        <w:t>able 2</w:t>
      </w:r>
      <w:r w:rsidR="003C1ACC" w:rsidRPr="00005D3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3C1ACC">
        <w:rPr>
          <w:rFonts w:ascii="Times New Roman" w:hAnsi="Times New Roman" w:cs="Times New Roman"/>
          <w:sz w:val="24"/>
          <w:szCs w:val="24"/>
          <w:lang w:val="en-US"/>
        </w:rPr>
        <w:t xml:space="preserve">. Elemental composition </w:t>
      </w:r>
      <w:r w:rsidR="001C1D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1C1D74">
        <w:rPr>
          <w:rFonts w:ascii="Times New Roman" w:hAnsi="Times New Roman" w:cs="Times New Roman"/>
          <w:sz w:val="24"/>
          <w:szCs w:val="24"/>
          <w:lang w:val="en-US"/>
        </w:rPr>
        <w:t>wt</w:t>
      </w:r>
      <w:proofErr w:type="spellEnd"/>
      <w:r w:rsidR="001C1D74">
        <w:rPr>
          <w:rFonts w:ascii="Times New Roman" w:hAnsi="Times New Roman" w:cs="Times New Roman"/>
          <w:sz w:val="24"/>
          <w:szCs w:val="24"/>
          <w:lang w:val="en-US"/>
        </w:rPr>
        <w:t xml:space="preserve">-% </w:t>
      </w:r>
      <w:r w:rsidR="003C1A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076F7">
        <w:rPr>
          <w:rFonts w:ascii="Times New Roman" w:hAnsi="Times New Roman" w:cs="Times New Roman"/>
          <w:sz w:val="24"/>
          <w:szCs w:val="24"/>
          <w:lang w:val="en-US"/>
        </w:rPr>
        <w:t xml:space="preserve">fume </w:t>
      </w:r>
      <w:r w:rsidR="00F364C9">
        <w:rPr>
          <w:rFonts w:ascii="Times New Roman" w:hAnsi="Times New Roman" w:cs="Times New Roman"/>
          <w:sz w:val="24"/>
          <w:szCs w:val="24"/>
          <w:lang w:val="en-US"/>
        </w:rPr>
        <w:t>particles</w:t>
      </w:r>
      <w:r w:rsidR="00307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1ACC">
        <w:rPr>
          <w:rFonts w:ascii="Times New Roman" w:hAnsi="Times New Roman" w:cs="Times New Roman"/>
          <w:sz w:val="24"/>
          <w:szCs w:val="24"/>
          <w:lang w:val="en-US"/>
        </w:rPr>
        <w:t>S1, F1-F6, based on EDS</w:t>
      </w:r>
      <w:r w:rsidR="003076F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1AC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3076F7">
        <w:rPr>
          <w:rFonts w:ascii="Times New Roman" w:hAnsi="Times New Roman" w:cs="Times New Roman"/>
          <w:sz w:val="24"/>
          <w:szCs w:val="24"/>
          <w:lang w:val="en-US"/>
        </w:rPr>
        <w:t>-content</w:t>
      </w:r>
      <w:r w:rsidR="003C1ACC">
        <w:rPr>
          <w:rFonts w:ascii="Times New Roman" w:hAnsi="Times New Roman" w:cs="Times New Roman"/>
          <w:sz w:val="24"/>
          <w:szCs w:val="24"/>
          <w:lang w:val="en-US"/>
        </w:rPr>
        <w:t xml:space="preserve"> excluded. Data shows the average and standard deviation of 4-11 individual spectra.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458"/>
        <w:gridCol w:w="1188"/>
        <w:gridCol w:w="1188"/>
        <w:gridCol w:w="1308"/>
      </w:tblGrid>
      <w:tr w:rsidR="003C1ACC" w:rsidRPr="00F352F5" w14:paraId="47FF6766" w14:textId="77777777" w:rsidTr="009C30DD"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F6F10" w14:textId="77777777" w:rsidR="003C1ACC" w:rsidRPr="00E870CF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649F50" w14:textId="77777777" w:rsidR="003C1ACC" w:rsidRPr="00E870CF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40AC7D" w14:textId="77777777" w:rsidR="003C1ACC" w:rsidRPr="00E870CF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25E485" w14:textId="77777777" w:rsidR="003C1ACC" w:rsidRPr="00E870CF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7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BC8321" w14:textId="77777777" w:rsidR="003C1ACC" w:rsidRPr="00E870CF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</w:t>
            </w:r>
          </w:p>
        </w:tc>
      </w:tr>
      <w:tr w:rsidR="003C1ACC" w:rsidRPr="00F352F5" w14:paraId="5025B85F" w14:textId="77777777" w:rsidTr="009C30DD"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2E88CD" w14:textId="77777777" w:rsidR="003C1ACC" w:rsidRPr="00E870CF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42E4A9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0.060±0.10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4AE61B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6A9B48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D41490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</w:tr>
      <w:tr w:rsidR="003C1ACC" w:rsidRPr="00F352F5" w14:paraId="2A3E6AE0" w14:textId="77777777" w:rsidTr="009C30D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EE91B" w14:textId="77777777" w:rsidR="003C1ACC" w:rsidRPr="00E870CF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18D6C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0.060±0.12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B2F32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0.66±0.86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E452A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0.18±0.36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03858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</w:tr>
      <w:tr w:rsidR="003C1ACC" w:rsidRPr="00F352F5" w14:paraId="6CBC9826" w14:textId="77777777" w:rsidTr="009C30D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6E439" w14:textId="77777777" w:rsidR="003C1ACC" w:rsidRPr="00E870CF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E382C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DC52E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23D57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82553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</w:tr>
      <w:tr w:rsidR="003C1ACC" w:rsidRPr="00F352F5" w14:paraId="26185A78" w14:textId="77777777" w:rsidTr="009C30D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5D016" w14:textId="77777777" w:rsidR="003C1ACC" w:rsidRPr="00E870CF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C8D39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0.15±0.19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28425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0.19±0.64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4615F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862F0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0.060±0.20</w:t>
            </w:r>
          </w:p>
        </w:tc>
      </w:tr>
      <w:tr w:rsidR="003C1ACC" w:rsidRPr="00F352F5" w14:paraId="28E449CC" w14:textId="77777777" w:rsidTr="009C30D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379CD" w14:textId="77777777" w:rsidR="003C1ACC" w:rsidRPr="00E870CF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45689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88DED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993DD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A6C2A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</w:tr>
      <w:tr w:rsidR="003C1ACC" w:rsidRPr="00F352F5" w14:paraId="10CC63A7" w14:textId="77777777" w:rsidTr="009C30D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FD5F9" w14:textId="77777777" w:rsidR="003C1ACC" w:rsidRPr="00E870CF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09A83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43A07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2FF59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AED3F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</w:tr>
      <w:tr w:rsidR="003C1ACC" w:rsidRPr="00F352F5" w14:paraId="6D5D2541" w14:textId="77777777" w:rsidTr="009C30DD"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7C860" w14:textId="77777777" w:rsidR="003C1ACC" w:rsidRPr="00E870CF" w:rsidRDefault="003C1ACC" w:rsidP="00E14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EC207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62E08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0B82E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69D4B" w14:textId="77777777" w:rsidR="003C1ACC" w:rsidRPr="00F352F5" w:rsidRDefault="003C1ACC" w:rsidP="00E14F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&lt;LOD</w:t>
            </w:r>
          </w:p>
        </w:tc>
      </w:tr>
    </w:tbl>
    <w:p w14:paraId="296B14BE" w14:textId="77777777" w:rsidR="000C0553" w:rsidRDefault="000C0553" w:rsidP="005E72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7E9552" w14:textId="77777777" w:rsidR="00456E3F" w:rsidRDefault="00456E3F" w:rsidP="000C05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18A66E" w14:textId="77777777" w:rsidR="00456E3F" w:rsidRDefault="00456E3F" w:rsidP="000C05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719EA9" w14:textId="77777777" w:rsidR="00EA73D3" w:rsidRDefault="00EA73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F36F3C3" w14:textId="46CF1610" w:rsidR="00A77ADE" w:rsidRDefault="00851320" w:rsidP="001106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</w:t>
      </w:r>
      <w:r w:rsidR="0098401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5A7C44">
        <w:rPr>
          <w:rFonts w:ascii="Times New Roman" w:hAnsi="Times New Roman" w:cs="Times New Roman"/>
          <w:b/>
          <w:sz w:val="24"/>
          <w:szCs w:val="24"/>
          <w:lang w:val="en-US"/>
        </w:rPr>
        <w:t>able 3</w:t>
      </w:r>
      <w:r w:rsidR="00757C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356C">
        <w:rPr>
          <w:rFonts w:ascii="Times New Roman" w:hAnsi="Times New Roman" w:cs="Times New Roman"/>
          <w:sz w:val="24"/>
          <w:szCs w:val="24"/>
          <w:lang w:val="en-US"/>
        </w:rPr>
        <w:t>Average r</w:t>
      </w:r>
      <w:r w:rsidR="00F75033">
        <w:rPr>
          <w:rFonts w:ascii="Times New Roman" w:hAnsi="Times New Roman" w:cs="Times New Roman"/>
          <w:sz w:val="24"/>
          <w:szCs w:val="24"/>
          <w:lang w:val="en-US"/>
        </w:rPr>
        <w:t xml:space="preserve">elease </w:t>
      </w:r>
      <w:r w:rsidR="0077356C">
        <w:rPr>
          <w:rFonts w:ascii="Times New Roman" w:hAnsi="Times New Roman" w:cs="Times New Roman"/>
          <w:sz w:val="24"/>
          <w:szCs w:val="24"/>
          <w:lang w:val="en-US"/>
        </w:rPr>
        <w:t xml:space="preserve">(n=3) </w:t>
      </w:r>
      <w:r w:rsidR="00F75033">
        <w:rPr>
          <w:rFonts w:ascii="Times New Roman" w:hAnsi="Times New Roman" w:cs="Times New Roman"/>
          <w:sz w:val="24"/>
          <w:szCs w:val="24"/>
          <w:lang w:val="en-US"/>
        </w:rPr>
        <w:t xml:space="preserve">of Cr(VI), Cr(III), </w:t>
      </w:r>
      <w:proofErr w:type="spellStart"/>
      <w:r w:rsidR="00F75033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F75033">
        <w:rPr>
          <w:rFonts w:ascii="Times New Roman" w:hAnsi="Times New Roman" w:cs="Times New Roman"/>
          <w:sz w:val="24"/>
          <w:szCs w:val="24"/>
          <w:lang w:val="en-US"/>
        </w:rPr>
        <w:t>, and Fe</w:t>
      </w:r>
      <w:r w:rsidR="0077356C">
        <w:rPr>
          <w:rFonts w:ascii="Times New Roman" w:hAnsi="Times New Roman" w:cs="Times New Roman"/>
          <w:sz w:val="24"/>
          <w:szCs w:val="24"/>
          <w:lang w:val="en-US"/>
        </w:rPr>
        <w:t xml:space="preserve"> in PBS </w:t>
      </w:r>
      <w:r w:rsidR="00E054CD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77356C">
        <w:rPr>
          <w:rFonts w:ascii="Times New Roman" w:hAnsi="Times New Roman" w:cs="Times New Roman"/>
          <w:sz w:val="24"/>
          <w:szCs w:val="24"/>
          <w:lang w:val="en-US"/>
        </w:rPr>
        <w:t xml:space="preserve">24 h at 37 °C </w:t>
      </w:r>
      <w:r w:rsidR="00E054CD">
        <w:rPr>
          <w:rFonts w:ascii="Times New Roman" w:hAnsi="Times New Roman" w:cs="Times New Roman"/>
          <w:sz w:val="24"/>
          <w:szCs w:val="24"/>
          <w:lang w:val="en-US"/>
        </w:rPr>
        <w:t xml:space="preserve">expressed </w:t>
      </w:r>
      <w:r w:rsidR="0077356C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E054C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7356C">
        <w:rPr>
          <w:rFonts w:ascii="Times New Roman" w:hAnsi="Times New Roman" w:cs="Times New Roman"/>
          <w:sz w:val="24"/>
          <w:szCs w:val="24"/>
          <w:lang w:val="en-US"/>
        </w:rPr>
        <w:t xml:space="preserve">percentage of </w:t>
      </w:r>
      <w:r w:rsidR="00E054C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7356C">
        <w:rPr>
          <w:rFonts w:ascii="Times New Roman" w:hAnsi="Times New Roman" w:cs="Times New Roman"/>
          <w:sz w:val="24"/>
          <w:szCs w:val="24"/>
          <w:lang w:val="en-US"/>
        </w:rPr>
        <w:t xml:space="preserve">total corresponding metal </w:t>
      </w:r>
      <w:r w:rsidR="00E054CD">
        <w:rPr>
          <w:rFonts w:ascii="Times New Roman" w:hAnsi="Times New Roman" w:cs="Times New Roman"/>
          <w:sz w:val="24"/>
          <w:szCs w:val="24"/>
          <w:lang w:val="en-US"/>
        </w:rPr>
        <w:t xml:space="preserve">content of the fume </w:t>
      </w:r>
      <w:r w:rsidR="00F364C9">
        <w:rPr>
          <w:rFonts w:ascii="Times New Roman" w:hAnsi="Times New Roman" w:cs="Times New Roman"/>
          <w:sz w:val="24"/>
          <w:szCs w:val="24"/>
          <w:lang w:val="en-US"/>
        </w:rPr>
        <w:t>particles</w:t>
      </w:r>
      <w:r w:rsidR="00E05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56C">
        <w:rPr>
          <w:rFonts w:ascii="Times New Roman" w:hAnsi="Times New Roman" w:cs="Times New Roman"/>
          <w:sz w:val="24"/>
          <w:szCs w:val="24"/>
          <w:lang w:val="en-US"/>
        </w:rPr>
        <w:t xml:space="preserve">(after digestion) </w:t>
      </w:r>
      <w:r w:rsidR="00E054CD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77356C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5E2B92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77356C">
        <w:rPr>
          <w:rFonts w:ascii="Times New Roman" w:hAnsi="Times New Roman" w:cs="Times New Roman"/>
          <w:sz w:val="24"/>
          <w:szCs w:val="24"/>
          <w:lang w:val="en-US"/>
        </w:rPr>
        <w:t>welding occasions.</w:t>
      </w:r>
      <w:r w:rsidR="00D74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6E6" w:rsidRPr="000C0553" w:rsidDel="00110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1"/>
        <w:tblW w:w="8897" w:type="dxa"/>
        <w:tblLayout w:type="fixed"/>
        <w:tblLook w:val="04A0" w:firstRow="1" w:lastRow="0" w:firstColumn="1" w:lastColumn="0" w:noHBand="0" w:noVBand="1"/>
      </w:tblPr>
      <w:tblGrid>
        <w:gridCol w:w="978"/>
        <w:gridCol w:w="1511"/>
        <w:gridCol w:w="1730"/>
        <w:gridCol w:w="1126"/>
        <w:gridCol w:w="1435"/>
        <w:gridCol w:w="915"/>
        <w:gridCol w:w="1202"/>
      </w:tblGrid>
      <w:tr w:rsidR="00541447" w:rsidRPr="00AD0AA0" w14:paraId="2F910282" w14:textId="77777777" w:rsidTr="001106E6">
        <w:trPr>
          <w:trHeight w:val="681"/>
        </w:trPr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050D0" w14:textId="299D3505" w:rsidR="00541447" w:rsidRPr="006F252D" w:rsidRDefault="00541447" w:rsidP="00995C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Sample name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36F30" w14:textId="16B211D2" w:rsidR="00541447" w:rsidRPr="006F252D" w:rsidRDefault="00541447" w:rsidP="00995C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F25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Base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/filler</w:t>
            </w:r>
            <w:r w:rsidRPr="006F25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metal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21F46" w14:textId="5589C7D8" w:rsidR="00541447" w:rsidRPr="006F252D" w:rsidRDefault="00541447" w:rsidP="00995C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Shielding gas/melting rate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CF35F" w14:textId="77777777" w:rsidR="00541447" w:rsidRPr="006F252D" w:rsidRDefault="00541447" w:rsidP="00995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6F25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Metal release of total metal (%</w:t>
            </w:r>
            <w:proofErr w:type="spellStart"/>
            <w:r w:rsidRPr="006F25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wt</w:t>
            </w:r>
            <w:proofErr w:type="spellEnd"/>
            <w:r w:rsidRPr="006F25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367131D1" w14:textId="4B71B750" w:rsidR="00541447" w:rsidRPr="006F252D" w:rsidRDefault="00541447" w:rsidP="00995C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975D1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Cr(VI) of Cr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    </w:t>
            </w:r>
            <w:proofErr w:type="spellStart"/>
            <w:r w:rsidRPr="002975D1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Cr</w:t>
            </w:r>
            <w:proofErr w:type="spellEnd"/>
            <w:r w:rsidRPr="002975D1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(III) of Cr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Mn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         </w:t>
            </w:r>
            <w:r w:rsidRPr="002975D1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Fe</w:t>
            </w:r>
          </w:p>
        </w:tc>
      </w:tr>
      <w:tr w:rsidR="00541447" w:rsidRPr="00AD0AA0" w14:paraId="3E048529" w14:textId="77777777" w:rsidTr="009D12A0">
        <w:trPr>
          <w:trHeight w:val="26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7B69139" w14:textId="44D48BCE" w:rsidR="00541447" w:rsidRPr="001106E6" w:rsidRDefault="00541447" w:rsidP="00995C53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A6F3530" w14:textId="29044012" w:rsidR="00541447" w:rsidRPr="001106E6" w:rsidRDefault="00541447" w:rsidP="00995C53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23CBD670" w14:textId="77777777" w:rsidR="00541447" w:rsidRPr="001106E6" w:rsidRDefault="00541447" w:rsidP="00995C53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A50AB5E" w14:textId="6079D1AF" w:rsidR="00541447" w:rsidRPr="001106E6" w:rsidRDefault="00541447" w:rsidP="00995C53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3CAF9C9" w14:textId="3C6E1971" w:rsidR="00541447" w:rsidRPr="001106E6" w:rsidRDefault="00541447" w:rsidP="00995C53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CDD562F" w14:textId="66D2C8FC" w:rsidR="00541447" w:rsidRPr="001106E6" w:rsidRDefault="00541447" w:rsidP="00995C53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2400B77" w14:textId="3F754995" w:rsidR="00541447" w:rsidRPr="001106E6" w:rsidRDefault="00541447" w:rsidP="00995C53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  <w:tr w:rsidR="00541447" w:rsidRPr="000C0553" w14:paraId="436C7E73" w14:textId="77777777" w:rsidTr="001106E6"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29776E4" w14:textId="3A22DECD" w:rsidR="00541447" w:rsidRPr="001106E6" w:rsidRDefault="00541447" w:rsidP="00995C53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F1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E7540D3" w14:textId="6F6FF3E1" w:rsidR="00541447" w:rsidRPr="001106E6" w:rsidRDefault="00541447" w:rsidP="00995C53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304L, FCW 308L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7C55A33D" w14:textId="059A5948" w:rsidR="00541447" w:rsidRPr="001106E6" w:rsidRDefault="00541447" w:rsidP="00995C53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Ar</w:t>
            </w:r>
            <w:proofErr w:type="spellEnd"/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, 18% CO</w:t>
            </w: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  <w:lang w:val="en-GB"/>
              </w:rPr>
              <w:t xml:space="preserve">2, </w:t>
            </w: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0.03% NO, High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FA7B7C2" w14:textId="1194B166" w:rsidR="00541447" w:rsidRPr="001106E6" w:rsidRDefault="00541447" w:rsidP="00995C53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55; 68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0414C0B" w14:textId="77777777" w:rsidR="00541447" w:rsidRPr="001106E6" w:rsidRDefault="00541447" w:rsidP="00995C53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17; 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0F0F2B" w14:textId="77777777" w:rsidR="00541447" w:rsidRPr="001106E6" w:rsidRDefault="00541447" w:rsidP="00995C53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15; 14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0C5E846" w14:textId="77777777" w:rsidR="00541447" w:rsidRPr="001106E6" w:rsidRDefault="00541447" w:rsidP="00995C53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&lt;LOD; 0.4</w:t>
            </w:r>
          </w:p>
        </w:tc>
      </w:tr>
      <w:tr w:rsidR="009D12A0" w:rsidRPr="000C0553" w14:paraId="2A2ABAD3" w14:textId="77777777" w:rsidTr="001106E6"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CAAD017" w14:textId="06DCB0C5" w:rsidR="009D12A0" w:rsidRPr="001106E6" w:rsidRDefault="009D12A0" w:rsidP="00995C53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F2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1FFDFBF7" w14:textId="5B763BC6" w:rsidR="009D12A0" w:rsidRPr="001106E6" w:rsidRDefault="009D12A0" w:rsidP="00995C53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304L, FCW 308L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6DB80500" w14:textId="6D13C2CF" w:rsidR="009D12A0" w:rsidRPr="001106E6" w:rsidRDefault="009D12A0" w:rsidP="009D12A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proofErr w:type="spellStart"/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Ar</w:t>
            </w:r>
            <w:proofErr w:type="spellEnd"/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, 18% CO</w:t>
            </w: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  <w:lang w:val="en-GB"/>
              </w:rPr>
              <w:t>2</w:t>
            </w: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,High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7A4BBC6" w14:textId="55A592F4" w:rsidR="009D12A0" w:rsidRPr="001106E6" w:rsidRDefault="009D12A0" w:rsidP="00995C53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56; 62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5C46EA1" w14:textId="0023F383" w:rsidR="009D12A0" w:rsidRPr="001106E6" w:rsidRDefault="009D12A0" w:rsidP="00995C53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4.8; &lt;LOD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BD4C5D8" w14:textId="7E418FEC" w:rsidR="009D12A0" w:rsidRPr="001106E6" w:rsidRDefault="009D12A0" w:rsidP="00995C53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12; 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CB6C185" w14:textId="343B5ECD" w:rsidR="009D12A0" w:rsidRPr="001106E6" w:rsidRDefault="009D12A0" w:rsidP="00995C53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0.2; 0.2</w:t>
            </w:r>
          </w:p>
        </w:tc>
      </w:tr>
      <w:tr w:rsidR="009D12A0" w:rsidRPr="001106E6" w14:paraId="490DB9C9" w14:textId="77777777" w:rsidTr="003D088A"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20A472E" w14:textId="77777777" w:rsidR="009D12A0" w:rsidRPr="001106E6" w:rsidRDefault="009D12A0" w:rsidP="003D088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F3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F596415" w14:textId="77777777" w:rsidR="009D12A0" w:rsidRPr="001106E6" w:rsidRDefault="009D12A0" w:rsidP="003D088A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 xml:space="preserve">UNS S32101, </w:t>
            </w: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FCW UNS S32101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2361788F" w14:textId="77777777" w:rsidR="009D12A0" w:rsidRPr="001106E6" w:rsidRDefault="009D12A0" w:rsidP="003D088A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Ar</w:t>
            </w:r>
            <w:proofErr w:type="spellEnd"/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, 18% CO</w:t>
            </w: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  <w:lang w:val="en-GB"/>
              </w:rPr>
              <w:t xml:space="preserve">2, </w:t>
            </w: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0.03% NO, High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D5AD43F" w14:textId="4C0370CF" w:rsidR="009D12A0" w:rsidRPr="001106E6" w:rsidRDefault="009D12A0" w:rsidP="003D088A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68; 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08D6DF8" w14:textId="77777777" w:rsidR="009D12A0" w:rsidRPr="001106E6" w:rsidRDefault="009D12A0" w:rsidP="003D088A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15; &lt;LOD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CC0B150" w14:textId="77777777" w:rsidR="009D12A0" w:rsidRPr="001106E6" w:rsidRDefault="009D12A0" w:rsidP="003D088A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8.8; 7.2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75F2B51" w14:textId="77777777" w:rsidR="009D12A0" w:rsidRPr="001106E6" w:rsidRDefault="009D12A0" w:rsidP="003D088A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0.6; &lt;LOD</w:t>
            </w:r>
          </w:p>
        </w:tc>
      </w:tr>
      <w:tr w:rsidR="00541447" w:rsidRPr="000C0553" w14:paraId="0103DFBB" w14:textId="77777777" w:rsidTr="001106E6"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741D54F" w14:textId="66CA2CB2" w:rsidR="00541447" w:rsidRPr="001106E6" w:rsidRDefault="00541447" w:rsidP="00995C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F4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43BE463" w14:textId="6865F1CE" w:rsidR="00541447" w:rsidRPr="001106E6" w:rsidRDefault="00541447" w:rsidP="00995C53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 xml:space="preserve">UNS S32101, </w:t>
            </w: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FCW UNS S32101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62BFD359" w14:textId="56813872" w:rsidR="00541447" w:rsidRPr="001106E6" w:rsidRDefault="00541447" w:rsidP="00995C53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Ar</w:t>
            </w:r>
            <w:proofErr w:type="spellEnd"/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, 18% CO</w:t>
            </w: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  <w:lang w:val="en-GB"/>
              </w:rPr>
              <w:t>2</w:t>
            </w: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, High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D7069C1" w14:textId="1066487C" w:rsidR="00541447" w:rsidRPr="001106E6" w:rsidRDefault="00541447" w:rsidP="00995C53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77; 57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C9603D5" w14:textId="77777777" w:rsidR="00541447" w:rsidRPr="001106E6" w:rsidRDefault="00541447" w:rsidP="00995C53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15; &lt;LOD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21DB973" w14:textId="77777777" w:rsidR="00541447" w:rsidRPr="001106E6" w:rsidRDefault="00541447" w:rsidP="00995C53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9.1; 6.1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9605E05" w14:textId="77777777" w:rsidR="00541447" w:rsidRPr="001106E6" w:rsidRDefault="00541447" w:rsidP="00995C53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1.3; &lt;LOD</w:t>
            </w:r>
          </w:p>
        </w:tc>
      </w:tr>
      <w:tr w:rsidR="00541447" w:rsidRPr="000C0553" w14:paraId="71187E40" w14:textId="77777777" w:rsidTr="009D12A0"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C4BF907" w14:textId="1AB234C2" w:rsidR="00541447" w:rsidRPr="001106E6" w:rsidRDefault="00541447" w:rsidP="00995C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F5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949D7D1" w14:textId="05EE89AA" w:rsidR="00541447" w:rsidRPr="001106E6" w:rsidRDefault="00541447" w:rsidP="00995C53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 xml:space="preserve">UNS S32101, </w:t>
            </w: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FCW UNS S32101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70553E7C" w14:textId="22F909AC" w:rsidR="00541447" w:rsidRPr="001106E6" w:rsidRDefault="00541447" w:rsidP="00995C53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Ar</w:t>
            </w:r>
            <w:proofErr w:type="spellEnd"/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, 18% CO</w:t>
            </w: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  <w:lang w:val="en-GB"/>
              </w:rPr>
              <w:t xml:space="preserve">2, </w:t>
            </w: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0.03% NO, Low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775AE0A" w14:textId="3EF779E4" w:rsidR="00541447" w:rsidRPr="001106E6" w:rsidRDefault="00541447" w:rsidP="00995C53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83; 67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8A276D2" w14:textId="0D8033A7" w:rsidR="00541447" w:rsidRPr="001106E6" w:rsidRDefault="00541447" w:rsidP="00995C53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15; &lt;LOD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BB5312E" w14:textId="270BDF3F" w:rsidR="00541447" w:rsidRPr="001106E6" w:rsidRDefault="00541447" w:rsidP="00995C53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35; 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12C71DA" w14:textId="46FB056C" w:rsidR="00541447" w:rsidRPr="001106E6" w:rsidRDefault="00541447" w:rsidP="00995C53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&lt;LOD; 0.6</w:t>
            </w:r>
          </w:p>
        </w:tc>
      </w:tr>
      <w:tr w:rsidR="009D12A0" w:rsidRPr="000C0553" w14:paraId="558D8CC2" w14:textId="77777777" w:rsidTr="001106E6"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DE4FE" w14:textId="1856C4D5" w:rsidR="009D12A0" w:rsidRPr="001106E6" w:rsidRDefault="009D12A0" w:rsidP="00995C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F6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6CF6C" w14:textId="53C9EFDA" w:rsidR="009D12A0" w:rsidRPr="001106E6" w:rsidRDefault="009D12A0" w:rsidP="00995C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 xml:space="preserve">UNS S32101, </w:t>
            </w: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FCW UNS S32101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03255" w14:textId="05035B2F" w:rsidR="009D12A0" w:rsidRPr="001106E6" w:rsidRDefault="009D12A0" w:rsidP="00995C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proofErr w:type="spellStart"/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Ar</w:t>
            </w:r>
            <w:proofErr w:type="spellEnd"/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, 18% CO</w:t>
            </w: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  <w:lang w:val="en-GB"/>
              </w:rPr>
              <w:t>2</w:t>
            </w:r>
            <w:r w:rsidRPr="001106E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, Low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7C762" w14:textId="6CCDDD82" w:rsidR="009D12A0" w:rsidRPr="001106E6" w:rsidRDefault="009D12A0" w:rsidP="00995C53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69; 55</w:t>
            </w:r>
            <w:r w:rsidRPr="001106E6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8F901" w14:textId="30B7B059" w:rsidR="009D12A0" w:rsidRPr="001106E6" w:rsidRDefault="009D12A0" w:rsidP="00995C53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&lt;LOD; &lt;LOD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5859C" w14:textId="11F5245F" w:rsidR="009D12A0" w:rsidRPr="001106E6" w:rsidRDefault="009D12A0" w:rsidP="00995C53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33; 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3A13D" w14:textId="0481026B" w:rsidR="009D12A0" w:rsidRPr="001106E6" w:rsidRDefault="009D12A0" w:rsidP="00995C53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1106E6">
              <w:rPr>
                <w:rFonts w:ascii="Times New Roman" w:eastAsia="Calibri" w:hAnsi="Times New Roman" w:cs="Times New Roman"/>
                <w:szCs w:val="24"/>
                <w:lang w:val="en-US"/>
              </w:rPr>
              <w:t>2.1; &lt;LOD</w:t>
            </w:r>
          </w:p>
        </w:tc>
      </w:tr>
    </w:tbl>
    <w:p w14:paraId="21F0FAD1" w14:textId="77777777" w:rsidR="00E72F0E" w:rsidRDefault="00E72F0E" w:rsidP="007A3AB8">
      <w:pPr>
        <w:rPr>
          <w:rFonts w:ascii="Times New Roman" w:hAnsi="Times New Roman" w:cs="Times New Roman"/>
          <w:b/>
          <w:sz w:val="24"/>
          <w:lang w:val="en-US"/>
        </w:rPr>
      </w:pPr>
    </w:p>
    <w:p w14:paraId="43E5BF3C" w14:textId="33C15702" w:rsidR="00E72F0E" w:rsidRPr="00E72F0E" w:rsidRDefault="00E72F0E" w:rsidP="00E72F0E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</w:t>
      </w:r>
      <w:r w:rsidRPr="009D12A0">
        <w:rPr>
          <w:rFonts w:ascii="Times New Roman" w:hAnsi="Times New Roman" w:cs="Times New Roman"/>
          <w:b/>
          <w:sz w:val="24"/>
          <w:lang w:val="en-US"/>
        </w:rPr>
        <w:t>upplementary Table 4.</w:t>
      </w:r>
      <w:r w:rsidRPr="00AD0AA0">
        <w:rPr>
          <w:lang w:val="en-GB"/>
        </w:rPr>
        <w:t xml:space="preserve"> </w:t>
      </w:r>
      <w:r w:rsidRPr="00AD0AA0">
        <w:rPr>
          <w:rFonts w:ascii="Times New Roman" w:hAnsi="Times New Roman" w:cs="Times New Roman"/>
          <w:sz w:val="24"/>
          <w:lang w:val="en-US"/>
        </w:rPr>
        <w:t>Probability (p) values of differences between different groups of welding fumes and for different released metals into PBS (24 h, 37 °C). p-values smaller than 0.05 are considered as a statistically significant difference. Statistical analysis is based on a student's t-test of unpaired data with unequal variance (KaleidaGraph version 4.0).</w:t>
      </w: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134"/>
        <w:gridCol w:w="992"/>
        <w:gridCol w:w="992"/>
        <w:gridCol w:w="709"/>
      </w:tblGrid>
      <w:tr w:rsidR="00E72F0E" w14:paraId="29464F5B" w14:textId="77777777" w:rsidTr="00AD0AA0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5B2C2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v-SE"/>
              </w:rPr>
              <w:t>Difference between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7AB11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v-SE"/>
              </w:rPr>
              <w:t>Difference 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AAF46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v-SE"/>
              </w:rPr>
              <w:t>Cr</w:t>
            </w:r>
            <w:proofErr w:type="spellEnd"/>
            <w:r w:rsidRPr="00AD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v-SE"/>
              </w:rPr>
              <w:t>(VI)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2F342" w14:textId="77777777" w:rsidR="00E72F0E" w:rsidRPr="00AD0AA0" w:rsidRDefault="00E72F0E" w:rsidP="00694F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v-SE"/>
              </w:rPr>
            </w:pPr>
            <w:proofErr w:type="spellStart"/>
            <w:r w:rsidRPr="00AD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v-SE"/>
              </w:rPr>
              <w:t>Cr</w:t>
            </w:r>
            <w:proofErr w:type="spellEnd"/>
            <w:r w:rsidRPr="00AD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v-SE"/>
              </w:rPr>
              <w:t>(III)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B1B37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v-SE"/>
              </w:rPr>
              <w:t>Mn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010EE" w14:textId="77777777" w:rsidR="00E72F0E" w:rsidRPr="00AD0AA0" w:rsidRDefault="00E72F0E" w:rsidP="00694F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v-SE"/>
              </w:rPr>
            </w:pPr>
            <w:r w:rsidRPr="00AD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v-SE"/>
              </w:rPr>
              <w:t>Fe</w:t>
            </w:r>
          </w:p>
        </w:tc>
      </w:tr>
      <w:tr w:rsidR="00E72F0E" w14:paraId="14388232" w14:textId="77777777" w:rsidTr="00AD0AA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F282F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F1-F2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5498D" w14:textId="77777777" w:rsidR="00E72F0E" w:rsidRPr="00AD0AA0" w:rsidRDefault="00E72F0E" w:rsidP="00694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</w:pPr>
          </w:p>
          <w:p w14:paraId="54335BB8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shielding gas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29635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94C76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74992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E45CD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≈1</w:t>
            </w:r>
          </w:p>
        </w:tc>
      </w:tr>
      <w:tr w:rsidR="00E72F0E" w14:paraId="5BEAB308" w14:textId="77777777" w:rsidTr="00AD0AA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77EE5" w14:textId="77777777" w:rsidR="00E72F0E" w:rsidRPr="00AD0AA0" w:rsidRDefault="00E72F0E" w:rsidP="00694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F3-F4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C0304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0C728B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92F9EB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≈1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8A616B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C836CA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0,69</w:t>
            </w:r>
          </w:p>
        </w:tc>
      </w:tr>
      <w:tr w:rsidR="00E72F0E" w14:paraId="31C26C9E" w14:textId="77777777" w:rsidTr="00AD0AA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E316F7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F5-F6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4F280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07DA23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484F0D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0D737F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14BDCF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0,6</w:t>
            </w:r>
          </w:p>
        </w:tc>
      </w:tr>
      <w:tr w:rsidR="00E72F0E" w14:paraId="45773DD6" w14:textId="77777777" w:rsidTr="00AD0AA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DA8A4" w14:textId="77777777" w:rsidR="00E72F0E" w:rsidRPr="00AD0AA0" w:rsidRDefault="00E72F0E" w:rsidP="00694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(F1;F2,F3;F4)-(F5;F6)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B5ABF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melting rate (arc mode)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50996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D7BD0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39681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v-SE"/>
              </w:rPr>
              <w:t>0,0058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1B8B1" w14:textId="77777777" w:rsidR="00E72F0E" w:rsidRPr="00AD0AA0" w:rsidRDefault="00E72F0E" w:rsidP="00694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A0">
              <w:rPr>
                <w:rFonts w:ascii="Times New Roman" w:eastAsia="Times New Roman" w:hAnsi="Times New Roman" w:cs="Times New Roman"/>
                <w:color w:val="000000"/>
                <w:sz w:val="24"/>
                <w:lang w:eastAsia="sv-SE"/>
              </w:rPr>
              <w:t>0,56</w:t>
            </w:r>
          </w:p>
        </w:tc>
      </w:tr>
    </w:tbl>
    <w:p w14:paraId="364B670E" w14:textId="5772C63D" w:rsidR="00AD0AA0" w:rsidRDefault="00AD0AA0" w:rsidP="007A3AB8">
      <w:pPr>
        <w:rPr>
          <w:rFonts w:ascii="Times New Roman" w:hAnsi="Times New Roman" w:cs="Times New Roman"/>
          <w:b/>
          <w:sz w:val="24"/>
          <w:lang w:val="en-US"/>
        </w:rPr>
      </w:pPr>
    </w:p>
    <w:p w14:paraId="692BF956" w14:textId="77777777" w:rsidR="00AD0AA0" w:rsidRDefault="00AD0AA0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14:paraId="6B207699" w14:textId="77777777" w:rsidR="00E72F0E" w:rsidRDefault="00E72F0E" w:rsidP="007A3AB8">
      <w:pPr>
        <w:rPr>
          <w:rFonts w:ascii="Times New Roman" w:hAnsi="Times New Roman" w:cs="Times New Roman"/>
          <w:b/>
          <w:sz w:val="24"/>
          <w:lang w:val="en-US"/>
        </w:rPr>
      </w:pPr>
    </w:p>
    <w:p w14:paraId="313C163E" w14:textId="16BCB354" w:rsidR="007A3AB8" w:rsidRPr="009D12A0" w:rsidRDefault="00E72F0E" w:rsidP="007A3AB8">
      <w:pPr>
        <w:rPr>
          <w:rFonts w:ascii="Times New Roman" w:hAnsi="Times New Roman" w:cs="Times New Roman"/>
          <w:i/>
          <w:sz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S</w:t>
      </w:r>
      <w:r w:rsidR="007F2C99" w:rsidRPr="009D12A0">
        <w:rPr>
          <w:rFonts w:ascii="Times New Roman" w:hAnsi="Times New Roman" w:cs="Times New Roman"/>
          <w:b/>
          <w:sz w:val="24"/>
          <w:lang w:val="en-US"/>
        </w:rPr>
        <w:t xml:space="preserve">upplementary </w:t>
      </w:r>
      <w:r w:rsidR="00984011" w:rsidRPr="009D12A0">
        <w:rPr>
          <w:rFonts w:ascii="Times New Roman" w:hAnsi="Times New Roman" w:cs="Times New Roman"/>
          <w:b/>
          <w:sz w:val="24"/>
          <w:lang w:val="en-US"/>
        </w:rPr>
        <w:t>T</w:t>
      </w:r>
      <w:r w:rsidR="007A3AB8" w:rsidRPr="009D12A0">
        <w:rPr>
          <w:rFonts w:ascii="Times New Roman" w:hAnsi="Times New Roman" w:cs="Times New Roman"/>
          <w:b/>
          <w:sz w:val="24"/>
          <w:lang w:val="en-US"/>
        </w:rPr>
        <w:t xml:space="preserve">able </w:t>
      </w:r>
      <w:r>
        <w:rPr>
          <w:rFonts w:ascii="Times New Roman" w:hAnsi="Times New Roman" w:cs="Times New Roman"/>
          <w:b/>
          <w:sz w:val="24"/>
          <w:lang w:val="en-US"/>
        </w:rPr>
        <w:t>5</w:t>
      </w:r>
      <w:r w:rsidR="007A3AB8" w:rsidRPr="009D12A0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="007A3AB8" w:rsidRPr="009D12A0">
        <w:rPr>
          <w:rFonts w:ascii="Times New Roman" w:hAnsi="Times New Roman" w:cs="Times New Roman"/>
          <w:sz w:val="24"/>
          <w:lang w:val="en-US"/>
        </w:rPr>
        <w:t xml:space="preserve"> </w:t>
      </w:r>
      <w:bookmarkStart w:id="4" w:name="OLE_LINK1131"/>
      <w:bookmarkStart w:id="5" w:name="OLE_LINK1132"/>
      <w:r w:rsidR="00CF31A9" w:rsidRPr="009D12A0">
        <w:rPr>
          <w:rFonts w:ascii="Times New Roman" w:hAnsi="Times New Roman" w:cs="Times New Roman"/>
          <w:sz w:val="24"/>
          <w:lang w:val="en-US"/>
        </w:rPr>
        <w:t xml:space="preserve">Present </w:t>
      </w:r>
      <w:r w:rsidR="007A3AB8" w:rsidRPr="009D12A0">
        <w:rPr>
          <w:rFonts w:ascii="Times New Roman" w:hAnsi="Times New Roman" w:cs="Times New Roman"/>
          <w:sz w:val="24"/>
          <w:lang w:val="en-US"/>
        </w:rPr>
        <w:t>occupational exposure limits</w:t>
      </w:r>
      <w:bookmarkEnd w:id="4"/>
      <w:bookmarkEnd w:id="5"/>
      <w:r w:rsidR="007A3AB8" w:rsidRPr="009D12A0">
        <w:rPr>
          <w:rFonts w:ascii="Times New Roman" w:hAnsi="Times New Roman" w:cs="Times New Roman"/>
          <w:sz w:val="24"/>
          <w:lang w:val="en-US"/>
        </w:rPr>
        <w:t xml:space="preserve"> (OELs) in Sweden and the European Union </w:t>
      </w:r>
      <w:r w:rsidR="007A3AB8" w:rsidRPr="009D12A0">
        <w:rPr>
          <w:rFonts w:ascii="Times New Roman" w:hAnsi="Times New Roman" w:cs="Times New Roman"/>
          <w:sz w:val="24"/>
          <w:lang w:val="en-US"/>
        </w:rPr>
        <w:fldChar w:fldCharType="begin"/>
      </w:r>
      <w:r w:rsidR="007A3AB8" w:rsidRPr="009D12A0">
        <w:rPr>
          <w:rFonts w:ascii="Times New Roman" w:hAnsi="Times New Roman" w:cs="Times New Roman"/>
          <w:sz w:val="24"/>
          <w:lang w:val="en-US"/>
        </w:rPr>
        <w:instrText xml:space="preserve"> ADDIN EN.CITE &lt;EndNote&gt;&lt;Cite&gt;&lt;Author&gt;Swedish Work Environment Authority&lt;/Author&gt;&lt;Year&gt;2018&lt;/Year&gt;&lt;RecNum&gt;2628&lt;/RecNum&gt;&lt;DisplayText&gt;(Swedish Work Environment Authority 2018)&lt;/DisplayText&gt;&lt;record&gt;&lt;rec-number&gt;2628&lt;/rec-number&gt;&lt;foreign-keys&gt;&lt;key app="EN" db-id="rrasevwaaewxpcepfx75pd2g9zz009rd952v"&gt;2628&lt;/key&gt;&lt;/foreign-keys&gt;&lt;ref-type name="Journal Article"&gt;17&lt;/ref-type&gt;&lt;contributors&gt;&lt;authors&gt;&lt;author&gt;Swedish Work Environment Authority,&lt;/author&gt;&lt;/authors&gt;&lt;/contributors&gt;&lt;titles&gt;&lt;title&gt;Hygieniska gränsvärden (AFS 2018:1), föreskrifter&lt;/title&gt;&lt;secondary-title&gt;https://www.av.se/arbetsmiljoarbete-och-inspektioner/publikationer/foreskrifter/hygieniska-gransvarden-afs-20181-foreskrifter/&lt;/secondary-title&gt;&lt;/titles&gt;&lt;periodical&gt;&lt;full-title&gt;https://www.av.se/arbetsmiljoarbete-och-inspektioner/publikationer/foreskrifter/hygieniska-gransvarden-afs-20181-foreskrifter/&lt;/full-title&gt;&lt;/periodical&gt;&lt;volume&gt;, accessed 2018-11-07&lt;/volume&gt;&lt;dates&gt;&lt;year&gt;2018&lt;/year&gt;&lt;/dates&gt;&lt;urls&gt;&lt;/urls&gt;&lt;/record&gt;&lt;/Cite&gt;&lt;/EndNote&gt;</w:instrText>
      </w:r>
      <w:r w:rsidR="007A3AB8" w:rsidRPr="009D12A0">
        <w:rPr>
          <w:rFonts w:ascii="Times New Roman" w:hAnsi="Times New Roman" w:cs="Times New Roman"/>
          <w:sz w:val="24"/>
          <w:lang w:val="en-US"/>
        </w:rPr>
        <w:fldChar w:fldCharType="separate"/>
      </w:r>
      <w:r w:rsidR="007A3AB8" w:rsidRPr="009D12A0">
        <w:rPr>
          <w:rFonts w:ascii="Times New Roman" w:hAnsi="Times New Roman" w:cs="Times New Roman"/>
          <w:noProof/>
          <w:sz w:val="24"/>
          <w:lang w:val="en-US"/>
        </w:rPr>
        <w:t>(Swedish Work Environment Authority</w:t>
      </w:r>
      <w:r w:rsidR="00F364C9" w:rsidRPr="009D12A0">
        <w:rPr>
          <w:rFonts w:ascii="Times New Roman" w:hAnsi="Times New Roman" w:cs="Times New Roman"/>
          <w:noProof/>
          <w:sz w:val="24"/>
          <w:lang w:val="en-US"/>
        </w:rPr>
        <w:t>,</w:t>
      </w:r>
      <w:r w:rsidR="007A3AB8" w:rsidRPr="009D12A0">
        <w:rPr>
          <w:rFonts w:ascii="Times New Roman" w:hAnsi="Times New Roman" w:cs="Times New Roman"/>
          <w:noProof/>
          <w:sz w:val="24"/>
          <w:lang w:val="en-US"/>
        </w:rPr>
        <w:t xml:space="preserve"> 2018)</w:t>
      </w:r>
      <w:r w:rsidR="007A3AB8" w:rsidRPr="009D12A0">
        <w:rPr>
          <w:rFonts w:ascii="Times New Roman" w:hAnsi="Times New Roman" w:cs="Times New Roman"/>
          <w:sz w:val="24"/>
          <w:lang w:val="en-US"/>
        </w:rPr>
        <w:fldChar w:fldCharType="end"/>
      </w:r>
      <w:r w:rsidR="007A3AB8" w:rsidRPr="009D12A0">
        <w:rPr>
          <w:rFonts w:ascii="Times New Roman" w:hAnsi="Times New Roman" w:cs="Times New Roman"/>
          <w:sz w:val="24"/>
          <w:lang w:val="en-US"/>
        </w:rPr>
        <w:t>. Most OELs are available as average values for a</w:t>
      </w:r>
      <w:r w:rsidR="00CF31A9" w:rsidRPr="009D12A0">
        <w:rPr>
          <w:rFonts w:ascii="Times New Roman" w:hAnsi="Times New Roman" w:cs="Times New Roman"/>
          <w:sz w:val="24"/>
          <w:lang w:val="en-US"/>
        </w:rPr>
        <w:t>n</w:t>
      </w:r>
      <w:r w:rsidR="007A3AB8" w:rsidRPr="009D12A0">
        <w:rPr>
          <w:rFonts w:ascii="Times New Roman" w:hAnsi="Times New Roman" w:cs="Times New Roman"/>
          <w:sz w:val="24"/>
          <w:lang w:val="en-US"/>
        </w:rPr>
        <w:t xml:space="preserve"> 8 h working day. For Cr(VI), a short term OEL is defined as an average value during 15 min. Since the </w:t>
      </w:r>
      <w:r w:rsidR="00A75769" w:rsidRPr="009D12A0">
        <w:rPr>
          <w:rFonts w:ascii="Times New Roman" w:hAnsi="Times New Roman" w:cs="Times New Roman"/>
          <w:sz w:val="24"/>
          <w:lang w:val="en-US"/>
        </w:rPr>
        <w:t xml:space="preserve">welding fume particles </w:t>
      </w:r>
      <w:r w:rsidR="007A3AB8" w:rsidRPr="009D12A0">
        <w:rPr>
          <w:rFonts w:ascii="Times New Roman" w:hAnsi="Times New Roman" w:cs="Times New Roman"/>
          <w:sz w:val="24"/>
          <w:lang w:val="en-US"/>
        </w:rPr>
        <w:t xml:space="preserve">in this study are mainly smaller than 4 µm, they are equal to the respirable fraction. Some OELs shown in the </w:t>
      </w:r>
      <w:r w:rsidR="00A75769" w:rsidRPr="009D12A0">
        <w:rPr>
          <w:rFonts w:ascii="Times New Roman" w:hAnsi="Times New Roman" w:cs="Times New Roman"/>
          <w:sz w:val="24"/>
          <w:lang w:val="en-US"/>
        </w:rPr>
        <w:t>t</w:t>
      </w:r>
      <w:r w:rsidR="007A3AB8" w:rsidRPr="009D12A0">
        <w:rPr>
          <w:rFonts w:ascii="Times New Roman" w:hAnsi="Times New Roman" w:cs="Times New Roman"/>
          <w:sz w:val="24"/>
          <w:lang w:val="en-US"/>
        </w:rPr>
        <w:t>able are defined for the total dust</w:t>
      </w:r>
      <w:r w:rsidR="00A75769" w:rsidRPr="009D12A0">
        <w:rPr>
          <w:rFonts w:ascii="Times New Roman" w:hAnsi="Times New Roman" w:cs="Times New Roman"/>
          <w:sz w:val="24"/>
          <w:lang w:val="en-US"/>
        </w:rPr>
        <w:t xml:space="preserve"> mass</w:t>
      </w:r>
      <w:r w:rsidR="007A3AB8" w:rsidRPr="009D12A0">
        <w:rPr>
          <w:rFonts w:ascii="Times New Roman" w:hAnsi="Times New Roman" w:cs="Times New Roman"/>
          <w:sz w:val="24"/>
          <w:lang w:val="en-US"/>
        </w:rPr>
        <w:t xml:space="preserve">, and some for the respirable fraction, </w:t>
      </w:r>
      <w:r w:rsidR="00F364C9" w:rsidRPr="009D12A0">
        <w:rPr>
          <w:rFonts w:ascii="Times New Roman" w:hAnsi="Times New Roman" w:cs="Times New Roman"/>
          <w:sz w:val="24"/>
          <w:lang w:val="en-US"/>
        </w:rPr>
        <w:t xml:space="preserve">in this study the same.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A3AB8" w:rsidRPr="00AD0AA0" w14:paraId="5077EAF0" w14:textId="77777777" w:rsidTr="009C30DD"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E1ACB" w14:textId="77777777" w:rsidR="007A3AB8" w:rsidRPr="009C30DD" w:rsidRDefault="007A3AB8" w:rsidP="00B0438C">
            <w:pPr>
              <w:rPr>
                <w:b/>
                <w:lang w:val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6C885" w14:textId="77777777" w:rsidR="007A3AB8" w:rsidRPr="009C30DD" w:rsidRDefault="007A3AB8" w:rsidP="00B0438C">
            <w:pPr>
              <w:rPr>
                <w:b/>
                <w:lang w:val="en-US"/>
              </w:rPr>
            </w:pPr>
            <w:r w:rsidRPr="009C30DD">
              <w:rPr>
                <w:b/>
                <w:lang w:val="en-US"/>
              </w:rPr>
              <w:t>OEL working day (µg/m³)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769EF" w14:textId="77777777" w:rsidR="007A3AB8" w:rsidRPr="009C30DD" w:rsidRDefault="007A3AB8" w:rsidP="00B0438C">
            <w:pPr>
              <w:rPr>
                <w:b/>
                <w:lang w:val="en-US"/>
              </w:rPr>
            </w:pPr>
            <w:r w:rsidRPr="009C30DD">
              <w:rPr>
                <w:b/>
                <w:lang w:val="en-US"/>
              </w:rPr>
              <w:t>OEL short term (µg/m³)</w:t>
            </w:r>
          </w:p>
        </w:tc>
      </w:tr>
      <w:tr w:rsidR="007A3AB8" w14:paraId="30F0C901" w14:textId="77777777" w:rsidTr="009C30DD"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CCF6F" w14:textId="77777777" w:rsidR="007A3AB8" w:rsidRPr="009C30DD" w:rsidRDefault="007A3AB8" w:rsidP="00B0438C">
            <w:pPr>
              <w:rPr>
                <w:b/>
                <w:lang w:val="en-US"/>
              </w:rPr>
            </w:pPr>
            <w:r w:rsidRPr="009C30DD">
              <w:rPr>
                <w:b/>
                <w:lang w:val="en-US"/>
              </w:rPr>
              <w:t>Chromium(VI)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E8B6D" w14:textId="77777777" w:rsidR="007A3AB8" w:rsidRDefault="007A3AB8" w:rsidP="00B0438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78D9E" w14:textId="77777777" w:rsidR="007A3AB8" w:rsidRDefault="007A3AB8" w:rsidP="00B0438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7A3AB8" w14:paraId="57DC39AC" w14:textId="77777777" w:rsidTr="009C30DD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05C06B4" w14:textId="77777777" w:rsidR="007A3AB8" w:rsidRPr="009C30DD" w:rsidRDefault="007A3AB8" w:rsidP="00B0438C">
            <w:pPr>
              <w:rPr>
                <w:b/>
                <w:lang w:val="en-US"/>
              </w:rPr>
            </w:pPr>
            <w:r w:rsidRPr="009C30DD">
              <w:rPr>
                <w:b/>
                <w:lang w:val="en-US"/>
              </w:rPr>
              <w:t>Iron oxides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0579EAFB" w14:textId="77777777" w:rsidR="007A3AB8" w:rsidRDefault="007A3AB8" w:rsidP="00B0438C">
            <w:pPr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1384C84" w14:textId="77777777" w:rsidR="007A3AB8" w:rsidRDefault="007A3AB8" w:rsidP="00B0438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A3AB8" w14:paraId="32512922" w14:textId="77777777" w:rsidTr="009C30DD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69D4D88" w14:textId="77777777" w:rsidR="007A3AB8" w:rsidRPr="009C30DD" w:rsidRDefault="007A3AB8" w:rsidP="00B0438C">
            <w:pPr>
              <w:rPr>
                <w:b/>
                <w:lang w:val="en-US"/>
              </w:rPr>
            </w:pPr>
            <w:r w:rsidRPr="009C30DD">
              <w:rPr>
                <w:b/>
                <w:lang w:val="en-US"/>
              </w:rPr>
              <w:t>Manganese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BB43046" w14:textId="77777777" w:rsidR="007A3AB8" w:rsidRDefault="007A3AB8" w:rsidP="00B0438C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5AACCD69" w14:textId="77777777" w:rsidR="007A3AB8" w:rsidRDefault="007A3AB8" w:rsidP="00B0438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A3AB8" w14:paraId="585449F4" w14:textId="77777777" w:rsidTr="009C30DD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EA3DE15" w14:textId="77777777" w:rsidR="007A3AB8" w:rsidRPr="009C30DD" w:rsidRDefault="007A3AB8" w:rsidP="00B0438C">
            <w:pPr>
              <w:rPr>
                <w:b/>
                <w:lang w:val="en-US"/>
              </w:rPr>
            </w:pPr>
            <w:r w:rsidRPr="009C30DD">
              <w:rPr>
                <w:b/>
                <w:lang w:val="en-US"/>
              </w:rPr>
              <w:t>Nickel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F8BB894" w14:textId="77777777" w:rsidR="007A3AB8" w:rsidRDefault="007A3AB8" w:rsidP="00B0438C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E34BD70" w14:textId="77777777" w:rsidR="007A3AB8" w:rsidRDefault="007A3AB8" w:rsidP="00B0438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A3AB8" w14:paraId="78B79E29" w14:textId="77777777" w:rsidTr="009C30DD"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5EE6F" w14:textId="77777777" w:rsidR="007A3AB8" w:rsidRPr="009C30DD" w:rsidRDefault="007A3AB8" w:rsidP="00B0438C">
            <w:pPr>
              <w:rPr>
                <w:b/>
                <w:lang w:val="en-US"/>
              </w:rPr>
            </w:pPr>
            <w:r w:rsidRPr="009C30DD">
              <w:rPr>
                <w:b/>
                <w:lang w:val="en-US"/>
              </w:rPr>
              <w:t>Fluorides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8D52A" w14:textId="77777777" w:rsidR="007A3AB8" w:rsidRDefault="007A3AB8" w:rsidP="00B0438C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98FB" w14:textId="77777777" w:rsidR="007A3AB8" w:rsidRDefault="007A3AB8" w:rsidP="00B0438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373B87F3" w14:textId="34CD809C" w:rsidR="007A3AB8" w:rsidRPr="00F54DEE" w:rsidRDefault="007F2C99" w:rsidP="007A3AB8">
      <w:pPr>
        <w:rPr>
          <w:lang w:val="en-US"/>
        </w:rPr>
      </w:pPr>
      <w:r w:rsidRPr="00F54DEE">
        <w:rPr>
          <w:lang w:val="en-US"/>
        </w:rPr>
        <w:t xml:space="preserve">Swedish Work Environment Authority, </w:t>
      </w:r>
      <w:r w:rsidR="00A75769" w:rsidRPr="00F54DEE">
        <w:rPr>
          <w:lang w:val="en-US"/>
        </w:rPr>
        <w:t>Exposure lim</w:t>
      </w:r>
      <w:r w:rsidR="00F364C9">
        <w:rPr>
          <w:lang w:val="en-US"/>
        </w:rPr>
        <w:t>i</w:t>
      </w:r>
      <w:r w:rsidR="00A75769" w:rsidRPr="00F54DEE">
        <w:rPr>
          <w:lang w:val="en-US"/>
        </w:rPr>
        <w:t>t values</w:t>
      </w:r>
      <w:r w:rsidRPr="00F54DEE">
        <w:rPr>
          <w:lang w:val="en-US"/>
        </w:rPr>
        <w:t xml:space="preserve"> (AFS 2018:1), </w:t>
      </w:r>
      <w:r w:rsidR="00A75769" w:rsidRPr="00F54DEE">
        <w:rPr>
          <w:lang w:val="en-US"/>
        </w:rPr>
        <w:t>regulations</w:t>
      </w:r>
      <w:r w:rsidRPr="00F54DEE">
        <w:rPr>
          <w:lang w:val="en-US"/>
        </w:rPr>
        <w:t>, https://www.av.se/arbetsmiljoarbete-och-inspektioner/publikationer/foreskrifter/hygieniska-gransvarden-afs-20181-foreskrifter/, accessed 2019-02-13.</w:t>
      </w:r>
      <w:r w:rsidR="00A75769">
        <w:rPr>
          <w:lang w:val="en-US"/>
        </w:rPr>
        <w:t xml:space="preserve"> (in Swedish)</w:t>
      </w:r>
    </w:p>
    <w:p w14:paraId="1782796A" w14:textId="77777777" w:rsidR="00AD0AA0" w:rsidRDefault="00AD0AA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  <w:bookmarkStart w:id="6" w:name="_GoBack"/>
      <w:bookmarkEnd w:id="6"/>
    </w:p>
    <w:p w14:paraId="7D6D313B" w14:textId="570936A7" w:rsidR="005208A4" w:rsidRPr="001106E6" w:rsidRDefault="001106E6" w:rsidP="005E72A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06E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Supplementary Figures</w:t>
      </w:r>
    </w:p>
    <w:p w14:paraId="6E45DD16" w14:textId="18B03CD6" w:rsidR="005208A4" w:rsidRDefault="00D62C97" w:rsidP="005E72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2C9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2A0DB91" wp14:editId="52387307">
            <wp:extent cx="5267325" cy="7381945"/>
            <wp:effectExtent l="0" t="0" r="0" b="9525"/>
            <wp:docPr id="7" name="Picture 7" descr="C:\Users\sarmcc\Desktop\Layout 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mcc\Desktop\Layout 1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955" cy="73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06DCE" w14:textId="3475BCA7" w:rsidR="00F40E9E" w:rsidRPr="005E72A3" w:rsidRDefault="00DA7588" w:rsidP="005E72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5D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</w:t>
      </w:r>
      <w:r w:rsidR="00005D36" w:rsidRPr="00005D3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40E9E">
        <w:rPr>
          <w:rFonts w:ascii="Times New Roman" w:hAnsi="Times New Roman" w:cs="Times New Roman"/>
          <w:sz w:val="24"/>
          <w:szCs w:val="24"/>
          <w:lang w:val="en-US"/>
        </w:rPr>
        <w:t>. Correlation</w:t>
      </w:r>
      <w:r w:rsidR="00F40E9E" w:rsidRPr="00AD244A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="00F40E9E">
        <w:rPr>
          <w:rFonts w:ascii="Times New Roman" w:hAnsi="Times New Roman" w:cs="Times New Roman"/>
          <w:sz w:val="24"/>
          <w:szCs w:val="24"/>
          <w:lang w:val="en-US"/>
        </w:rPr>
        <w:t xml:space="preserve">metal release and toxicity. The upper figure shows linear regression between the </w:t>
      </w:r>
      <w:proofErr w:type="spellStart"/>
      <w:r w:rsidR="00F40E9E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F40E9E" w:rsidRPr="00AD244A">
        <w:rPr>
          <w:rFonts w:ascii="Times New Roman" w:hAnsi="Times New Roman" w:cs="Times New Roman"/>
          <w:sz w:val="24"/>
          <w:szCs w:val="24"/>
          <w:lang w:val="en-US"/>
        </w:rPr>
        <w:t xml:space="preserve"> release in PBS and </w:t>
      </w:r>
      <w:proofErr w:type="spellStart"/>
      <w:r w:rsidR="00F40E9E" w:rsidRPr="00AD244A">
        <w:rPr>
          <w:rFonts w:ascii="Times New Roman" w:hAnsi="Times New Roman" w:cs="Times New Roman"/>
          <w:sz w:val="24"/>
          <w:szCs w:val="24"/>
          <w:lang w:val="en-US"/>
        </w:rPr>
        <w:t>cytoxicity</w:t>
      </w:r>
      <w:proofErr w:type="spellEnd"/>
      <w:r w:rsidR="00F40E9E" w:rsidRPr="00AD244A">
        <w:rPr>
          <w:rFonts w:ascii="Times New Roman" w:hAnsi="Times New Roman" w:cs="Times New Roman"/>
          <w:sz w:val="24"/>
          <w:szCs w:val="24"/>
          <w:lang w:val="en-US"/>
        </w:rPr>
        <w:t xml:space="preserve"> observed after exposure to 50 µg/m</w:t>
      </w:r>
      <w:r w:rsidR="00F52DB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40E9E" w:rsidRPr="00AD244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40E9E">
        <w:rPr>
          <w:rFonts w:ascii="Times New Roman" w:hAnsi="Times New Roman" w:cs="Times New Roman"/>
          <w:sz w:val="24"/>
          <w:szCs w:val="24"/>
          <w:lang w:val="en-US"/>
        </w:rPr>
        <w:t xml:space="preserve">welding </w:t>
      </w:r>
      <w:r w:rsidR="00F52DB6">
        <w:rPr>
          <w:rFonts w:ascii="Times New Roman" w:hAnsi="Times New Roman" w:cs="Times New Roman"/>
          <w:sz w:val="24"/>
          <w:szCs w:val="24"/>
          <w:lang w:val="en-US"/>
        </w:rPr>
        <w:t xml:space="preserve">fume </w:t>
      </w:r>
      <w:r w:rsidR="00F40E9E">
        <w:rPr>
          <w:rFonts w:ascii="Times New Roman" w:hAnsi="Times New Roman" w:cs="Times New Roman"/>
          <w:sz w:val="24"/>
          <w:szCs w:val="24"/>
          <w:lang w:val="en-US"/>
        </w:rPr>
        <w:t>particles</w:t>
      </w:r>
      <w:r w:rsidR="00F40E9E" w:rsidRPr="00AD244A">
        <w:rPr>
          <w:rFonts w:ascii="Times New Roman" w:hAnsi="Times New Roman" w:cs="Times New Roman"/>
          <w:sz w:val="24"/>
          <w:szCs w:val="24"/>
          <w:lang w:val="en-US"/>
        </w:rPr>
        <w:t xml:space="preserve"> for 24 h. </w:t>
      </w:r>
      <w:r w:rsidR="00F40E9E">
        <w:rPr>
          <w:rFonts w:ascii="Times New Roman" w:hAnsi="Times New Roman" w:cs="Times New Roman"/>
          <w:sz w:val="24"/>
          <w:szCs w:val="24"/>
          <w:lang w:val="en-US"/>
        </w:rPr>
        <w:t>The lower figure shows the correlation between Cr(VI)</w:t>
      </w:r>
      <w:r w:rsidR="00F40E9E" w:rsidRPr="00113771">
        <w:rPr>
          <w:rFonts w:ascii="Times New Roman" w:hAnsi="Times New Roman" w:cs="Times New Roman"/>
          <w:sz w:val="24"/>
          <w:szCs w:val="24"/>
          <w:lang w:val="en-US"/>
        </w:rPr>
        <w:t xml:space="preserve"> release in PBS and induction of acellular ROS assessed by DCFH-DA.</w:t>
      </w:r>
    </w:p>
    <w:sectPr w:rsidR="00F40E9E" w:rsidRPr="005E7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ACB93D" w16cid:durableId="207E8887"/>
  <w16cid:commentId w16cid:paraId="601F12B2" w16cid:durableId="207E8893"/>
  <w16cid:commentId w16cid:paraId="50D69A2A" w16cid:durableId="207E8888"/>
  <w16cid:commentId w16cid:paraId="05FCE2B2" w16cid:durableId="207E88EC"/>
  <w16cid:commentId w16cid:paraId="6F739F47" w16cid:durableId="2072D978"/>
  <w16cid:commentId w16cid:paraId="66A3171F" w16cid:durableId="2072D9B9"/>
  <w16cid:commentId w16cid:paraId="17BDD850" w16cid:durableId="207E888B"/>
  <w16cid:commentId w16cid:paraId="6070DFCD" w16cid:durableId="207E888C"/>
  <w16cid:commentId w16cid:paraId="72283416" w16cid:durableId="207E89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D5C53" w14:textId="77777777" w:rsidR="005D3C9B" w:rsidRDefault="005D3C9B" w:rsidP="00766A3B">
      <w:pPr>
        <w:spacing w:after="0" w:line="240" w:lineRule="auto"/>
      </w:pPr>
      <w:r>
        <w:separator/>
      </w:r>
    </w:p>
  </w:endnote>
  <w:endnote w:type="continuationSeparator" w:id="0">
    <w:p w14:paraId="1634BEE2" w14:textId="77777777" w:rsidR="005D3C9B" w:rsidRDefault="005D3C9B" w:rsidP="0076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0737F" w14:textId="77777777" w:rsidR="00702680" w:rsidRDefault="007026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596282"/>
      <w:docPartObj>
        <w:docPartGallery w:val="Page Numbers (Bottom of Page)"/>
        <w:docPartUnique/>
      </w:docPartObj>
    </w:sdtPr>
    <w:sdtEndPr/>
    <w:sdtContent>
      <w:p w14:paraId="6233CB89" w14:textId="5ED719A3" w:rsidR="00766A3B" w:rsidRDefault="00766A3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A0">
          <w:rPr>
            <w:noProof/>
          </w:rPr>
          <w:t>1</w:t>
        </w:r>
        <w:r>
          <w:fldChar w:fldCharType="end"/>
        </w:r>
      </w:p>
    </w:sdtContent>
  </w:sdt>
  <w:p w14:paraId="78142746" w14:textId="77777777" w:rsidR="00766A3B" w:rsidRDefault="00766A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23C51" w14:textId="77777777" w:rsidR="00702680" w:rsidRDefault="00702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B8835" w14:textId="77777777" w:rsidR="005D3C9B" w:rsidRDefault="005D3C9B" w:rsidP="00766A3B">
      <w:pPr>
        <w:spacing w:after="0" w:line="240" w:lineRule="auto"/>
      </w:pPr>
      <w:r>
        <w:separator/>
      </w:r>
    </w:p>
  </w:footnote>
  <w:footnote w:type="continuationSeparator" w:id="0">
    <w:p w14:paraId="040D5C2F" w14:textId="77777777" w:rsidR="005D3C9B" w:rsidRDefault="005D3C9B" w:rsidP="0076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C3C35" w14:textId="77777777" w:rsidR="00702680" w:rsidRDefault="007026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12978"/>
      <w:docPartObj>
        <w:docPartGallery w:val="Watermarks"/>
        <w:docPartUnique/>
      </w:docPartObj>
    </w:sdtPr>
    <w:sdtEndPr/>
    <w:sdtContent>
      <w:p w14:paraId="7AF9129B" w14:textId="44BA24A8" w:rsidR="00702680" w:rsidRDefault="005D3C9B">
        <w:pPr>
          <w:pStyle w:val="Header"/>
        </w:pPr>
        <w:r>
          <w:rPr>
            <w:noProof/>
            <w:lang w:eastAsia="zh-TW"/>
          </w:rPr>
          <w:pict w14:anchorId="0400C7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860FE" w14:textId="77777777" w:rsidR="00702680" w:rsidRDefault="0070268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 Mccarrick">
    <w15:presenceInfo w15:providerId="AD" w15:userId="S-1-5-21-1546336406-1384076050-2130403006-21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0D"/>
    <w:rsid w:val="00005D36"/>
    <w:rsid w:val="000074E1"/>
    <w:rsid w:val="00017E8E"/>
    <w:rsid w:val="00047EC9"/>
    <w:rsid w:val="00051804"/>
    <w:rsid w:val="00057DA1"/>
    <w:rsid w:val="00077777"/>
    <w:rsid w:val="00077A7E"/>
    <w:rsid w:val="000A0516"/>
    <w:rsid w:val="000A10D6"/>
    <w:rsid w:val="000C0553"/>
    <w:rsid w:val="000C4D85"/>
    <w:rsid w:val="000C50EF"/>
    <w:rsid w:val="000E4DC9"/>
    <w:rsid w:val="000F16AC"/>
    <w:rsid w:val="001106E6"/>
    <w:rsid w:val="00113771"/>
    <w:rsid w:val="00136561"/>
    <w:rsid w:val="0014480D"/>
    <w:rsid w:val="00157196"/>
    <w:rsid w:val="0019297C"/>
    <w:rsid w:val="00193BC2"/>
    <w:rsid w:val="00194A6E"/>
    <w:rsid w:val="001A0557"/>
    <w:rsid w:val="001A6EDF"/>
    <w:rsid w:val="001C1D74"/>
    <w:rsid w:val="001C5B7A"/>
    <w:rsid w:val="001D74AB"/>
    <w:rsid w:val="001E63DC"/>
    <w:rsid w:val="00201E8E"/>
    <w:rsid w:val="00206793"/>
    <w:rsid w:val="0021136D"/>
    <w:rsid w:val="00263DD2"/>
    <w:rsid w:val="00275A31"/>
    <w:rsid w:val="00277504"/>
    <w:rsid w:val="00277C53"/>
    <w:rsid w:val="002812C8"/>
    <w:rsid w:val="002903C4"/>
    <w:rsid w:val="002930BA"/>
    <w:rsid w:val="00294AA8"/>
    <w:rsid w:val="00295FB3"/>
    <w:rsid w:val="002975D1"/>
    <w:rsid w:val="002A7454"/>
    <w:rsid w:val="002B15FB"/>
    <w:rsid w:val="002C199F"/>
    <w:rsid w:val="002F17DB"/>
    <w:rsid w:val="002F1D51"/>
    <w:rsid w:val="00300870"/>
    <w:rsid w:val="00307662"/>
    <w:rsid w:val="003076F7"/>
    <w:rsid w:val="00320635"/>
    <w:rsid w:val="00333151"/>
    <w:rsid w:val="00335B7E"/>
    <w:rsid w:val="00372DBF"/>
    <w:rsid w:val="003778AD"/>
    <w:rsid w:val="003A640D"/>
    <w:rsid w:val="003C1ACC"/>
    <w:rsid w:val="00431F89"/>
    <w:rsid w:val="00435455"/>
    <w:rsid w:val="00436449"/>
    <w:rsid w:val="00442101"/>
    <w:rsid w:val="00456E3F"/>
    <w:rsid w:val="00475594"/>
    <w:rsid w:val="00482C57"/>
    <w:rsid w:val="004A491C"/>
    <w:rsid w:val="004B685D"/>
    <w:rsid w:val="004E35FF"/>
    <w:rsid w:val="005044AD"/>
    <w:rsid w:val="0052005D"/>
    <w:rsid w:val="0052014D"/>
    <w:rsid w:val="005208A4"/>
    <w:rsid w:val="00541447"/>
    <w:rsid w:val="005449C9"/>
    <w:rsid w:val="00584094"/>
    <w:rsid w:val="0059036C"/>
    <w:rsid w:val="005904DF"/>
    <w:rsid w:val="00595B45"/>
    <w:rsid w:val="005A7C44"/>
    <w:rsid w:val="005B0255"/>
    <w:rsid w:val="005B1422"/>
    <w:rsid w:val="005B7210"/>
    <w:rsid w:val="005C0591"/>
    <w:rsid w:val="005D3C9B"/>
    <w:rsid w:val="005E2B92"/>
    <w:rsid w:val="005E2FC6"/>
    <w:rsid w:val="005E4C72"/>
    <w:rsid w:val="005E72A3"/>
    <w:rsid w:val="005F2281"/>
    <w:rsid w:val="00601D2A"/>
    <w:rsid w:val="00605737"/>
    <w:rsid w:val="00606360"/>
    <w:rsid w:val="00607403"/>
    <w:rsid w:val="00617096"/>
    <w:rsid w:val="0061788C"/>
    <w:rsid w:val="0064275C"/>
    <w:rsid w:val="00643A42"/>
    <w:rsid w:val="00672A3C"/>
    <w:rsid w:val="00673138"/>
    <w:rsid w:val="0068012A"/>
    <w:rsid w:val="006A61D0"/>
    <w:rsid w:val="006B7C30"/>
    <w:rsid w:val="006D0190"/>
    <w:rsid w:val="006D1BAA"/>
    <w:rsid w:val="006E024B"/>
    <w:rsid w:val="006E29C3"/>
    <w:rsid w:val="006F252D"/>
    <w:rsid w:val="00702680"/>
    <w:rsid w:val="00714063"/>
    <w:rsid w:val="007142D2"/>
    <w:rsid w:val="00751979"/>
    <w:rsid w:val="00757CC1"/>
    <w:rsid w:val="00766A3B"/>
    <w:rsid w:val="0077356C"/>
    <w:rsid w:val="007815A7"/>
    <w:rsid w:val="007875E2"/>
    <w:rsid w:val="007A3AB8"/>
    <w:rsid w:val="007E713D"/>
    <w:rsid w:val="007F2C99"/>
    <w:rsid w:val="00846367"/>
    <w:rsid w:val="00851320"/>
    <w:rsid w:val="0087697F"/>
    <w:rsid w:val="00887DA6"/>
    <w:rsid w:val="00892F73"/>
    <w:rsid w:val="009042B5"/>
    <w:rsid w:val="00936828"/>
    <w:rsid w:val="0095018E"/>
    <w:rsid w:val="009554F5"/>
    <w:rsid w:val="009558F3"/>
    <w:rsid w:val="00984011"/>
    <w:rsid w:val="00991B7B"/>
    <w:rsid w:val="009B05AB"/>
    <w:rsid w:val="009B6A67"/>
    <w:rsid w:val="009C2D7A"/>
    <w:rsid w:val="009C30DD"/>
    <w:rsid w:val="009C5231"/>
    <w:rsid w:val="009D12A0"/>
    <w:rsid w:val="009D4F19"/>
    <w:rsid w:val="009D6191"/>
    <w:rsid w:val="009E3AD2"/>
    <w:rsid w:val="009E3BC6"/>
    <w:rsid w:val="009F09F0"/>
    <w:rsid w:val="009F65BD"/>
    <w:rsid w:val="00A04A54"/>
    <w:rsid w:val="00A324F5"/>
    <w:rsid w:val="00A55AB0"/>
    <w:rsid w:val="00A75769"/>
    <w:rsid w:val="00A77ADE"/>
    <w:rsid w:val="00A9649C"/>
    <w:rsid w:val="00AA2CCA"/>
    <w:rsid w:val="00AC1E31"/>
    <w:rsid w:val="00AD0AA0"/>
    <w:rsid w:val="00AD244A"/>
    <w:rsid w:val="00AE7893"/>
    <w:rsid w:val="00AF22C6"/>
    <w:rsid w:val="00B0042E"/>
    <w:rsid w:val="00B22F96"/>
    <w:rsid w:val="00B33730"/>
    <w:rsid w:val="00B351ED"/>
    <w:rsid w:val="00B63FB4"/>
    <w:rsid w:val="00B92487"/>
    <w:rsid w:val="00B95E3C"/>
    <w:rsid w:val="00BA1B04"/>
    <w:rsid w:val="00BD327B"/>
    <w:rsid w:val="00C10C7A"/>
    <w:rsid w:val="00C3485B"/>
    <w:rsid w:val="00C45C9F"/>
    <w:rsid w:val="00C670C2"/>
    <w:rsid w:val="00C90BC1"/>
    <w:rsid w:val="00C91209"/>
    <w:rsid w:val="00CF31A9"/>
    <w:rsid w:val="00CF3821"/>
    <w:rsid w:val="00CF61D7"/>
    <w:rsid w:val="00D01C5D"/>
    <w:rsid w:val="00D01EE1"/>
    <w:rsid w:val="00D062D6"/>
    <w:rsid w:val="00D14B21"/>
    <w:rsid w:val="00D62C97"/>
    <w:rsid w:val="00D74F9C"/>
    <w:rsid w:val="00DA7588"/>
    <w:rsid w:val="00DA7733"/>
    <w:rsid w:val="00DB70C9"/>
    <w:rsid w:val="00DC162F"/>
    <w:rsid w:val="00DC7A62"/>
    <w:rsid w:val="00DD0FD0"/>
    <w:rsid w:val="00DD213E"/>
    <w:rsid w:val="00DD3A55"/>
    <w:rsid w:val="00DD46CB"/>
    <w:rsid w:val="00DF7C9A"/>
    <w:rsid w:val="00E008F0"/>
    <w:rsid w:val="00E054CD"/>
    <w:rsid w:val="00E13E2A"/>
    <w:rsid w:val="00E14F13"/>
    <w:rsid w:val="00E17FBF"/>
    <w:rsid w:val="00E234E5"/>
    <w:rsid w:val="00E3077C"/>
    <w:rsid w:val="00E51EBE"/>
    <w:rsid w:val="00E71891"/>
    <w:rsid w:val="00E72F0E"/>
    <w:rsid w:val="00E870CF"/>
    <w:rsid w:val="00EA73D3"/>
    <w:rsid w:val="00EC1C1C"/>
    <w:rsid w:val="00EC44B9"/>
    <w:rsid w:val="00EC5A4A"/>
    <w:rsid w:val="00EC73DD"/>
    <w:rsid w:val="00ED754C"/>
    <w:rsid w:val="00EE51BA"/>
    <w:rsid w:val="00F0419B"/>
    <w:rsid w:val="00F352F5"/>
    <w:rsid w:val="00F364C9"/>
    <w:rsid w:val="00F40E9E"/>
    <w:rsid w:val="00F46C8C"/>
    <w:rsid w:val="00F47B44"/>
    <w:rsid w:val="00F52DB6"/>
    <w:rsid w:val="00F54DEE"/>
    <w:rsid w:val="00F57B18"/>
    <w:rsid w:val="00F75033"/>
    <w:rsid w:val="00F976BA"/>
    <w:rsid w:val="00FB3E3C"/>
    <w:rsid w:val="00FD0661"/>
    <w:rsid w:val="00FE6370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F92F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E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3B"/>
  </w:style>
  <w:style w:type="paragraph" w:styleId="Footer">
    <w:name w:val="footer"/>
    <w:basedOn w:val="Normal"/>
    <w:link w:val="FooterChar"/>
    <w:uiPriority w:val="99"/>
    <w:unhideWhenUsed/>
    <w:rsid w:val="0076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3B"/>
  </w:style>
  <w:style w:type="character" w:styleId="CommentReference">
    <w:name w:val="annotation reference"/>
    <w:basedOn w:val="DefaultParagraphFont"/>
    <w:uiPriority w:val="99"/>
    <w:semiHidden/>
    <w:unhideWhenUsed/>
    <w:rsid w:val="0007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A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E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3B"/>
  </w:style>
  <w:style w:type="paragraph" w:styleId="Footer">
    <w:name w:val="footer"/>
    <w:basedOn w:val="Normal"/>
    <w:link w:val="FooterChar"/>
    <w:uiPriority w:val="99"/>
    <w:unhideWhenUsed/>
    <w:rsid w:val="0076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3B"/>
  </w:style>
  <w:style w:type="character" w:styleId="CommentReference">
    <w:name w:val="annotation reference"/>
    <w:basedOn w:val="DefaultParagraphFont"/>
    <w:uiPriority w:val="99"/>
    <w:semiHidden/>
    <w:unhideWhenUsed/>
    <w:rsid w:val="0007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E64C-1BEE-49C9-B954-AF58D1F6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IMM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Karlsson, Hanna</dc:creator>
  <cp:lastModifiedBy>Karlsson, Hanna</cp:lastModifiedBy>
  <cp:revision>2</cp:revision>
  <cp:lastPrinted>2019-03-11T07:42:00Z</cp:lastPrinted>
  <dcterms:created xsi:type="dcterms:W3CDTF">2019-07-17T12:47:00Z</dcterms:created>
  <dcterms:modified xsi:type="dcterms:W3CDTF">2019-07-17T12:47:00Z</dcterms:modified>
</cp:coreProperties>
</file>