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175BB" w14:textId="77777777" w:rsidR="009407C3" w:rsidRPr="001876AD" w:rsidRDefault="00A13A71" w:rsidP="000B03C8">
      <w:pPr>
        <w:spacing w:line="480" w:lineRule="auto"/>
        <w:rPr>
          <w:sz w:val="24"/>
          <w:szCs w:val="24"/>
        </w:rPr>
      </w:pPr>
      <w:r w:rsidRPr="001876AD">
        <w:rPr>
          <w:rFonts w:ascii="Times New Roman" w:hAnsi="Times New Roman"/>
          <w:b/>
          <w:sz w:val="24"/>
          <w:szCs w:val="24"/>
        </w:rPr>
        <w:t>Supplemental material</w:t>
      </w:r>
      <w:r w:rsidR="002F5ED6" w:rsidRPr="001876AD">
        <w:rPr>
          <w:rFonts w:ascii="Times New Roman" w:hAnsi="Times New Roman" w:hint="eastAsia"/>
          <w:b/>
          <w:sz w:val="24"/>
          <w:szCs w:val="24"/>
        </w:rPr>
        <w:t>s</w:t>
      </w:r>
    </w:p>
    <w:p w14:paraId="1F3E6C8A" w14:textId="77777777" w:rsidR="009407C3" w:rsidRPr="001876AD" w:rsidRDefault="009407C3" w:rsidP="000B03C8">
      <w:pPr>
        <w:spacing w:line="480" w:lineRule="auto"/>
        <w:rPr>
          <w:sz w:val="24"/>
          <w:szCs w:val="24"/>
        </w:rPr>
      </w:pPr>
      <w:r w:rsidRPr="001876AD">
        <w:rPr>
          <w:rFonts w:ascii="Times New Roman" w:hAnsi="Times New Roman"/>
          <w:b/>
          <w:sz w:val="24"/>
          <w:szCs w:val="24"/>
        </w:rPr>
        <w:t>Subgroup analysis</w:t>
      </w:r>
    </w:p>
    <w:p w14:paraId="38D6A94C" w14:textId="77777777" w:rsidR="009407C3" w:rsidRPr="001876AD" w:rsidRDefault="009407C3" w:rsidP="009D1B54">
      <w:pPr>
        <w:snapToGrid w:val="0"/>
        <w:spacing w:line="480" w:lineRule="auto"/>
        <w:ind w:leftChars="16" w:left="34"/>
        <w:jc w:val="left"/>
        <w:rPr>
          <w:rFonts w:ascii="Times New Roman" w:eastAsia="Meiryo UI" w:hAnsi="Times New Roman"/>
          <w:b/>
          <w:sz w:val="24"/>
          <w:szCs w:val="24"/>
        </w:rPr>
      </w:pPr>
      <w:r w:rsidRPr="001876AD">
        <w:rPr>
          <w:rFonts w:ascii="Times New Roman" w:eastAsia="Meiryo UI" w:hAnsi="Times New Roman"/>
          <w:sz w:val="24"/>
          <w:szCs w:val="24"/>
          <w:shd w:val="clear" w:color="auto" w:fill="FFFFFF" w:themeFill="background1"/>
        </w:rPr>
        <w:t xml:space="preserve">Subgroup analyses were performed to assess the effects of sex, age, and clinical departments on the following </w:t>
      </w:r>
      <w:r w:rsidR="003A09F1" w:rsidRPr="001876AD">
        <w:rPr>
          <w:rFonts w:ascii="Times New Roman" w:eastAsia="Meiryo UI" w:hAnsi="Times New Roman"/>
          <w:sz w:val="24"/>
          <w:szCs w:val="24"/>
          <w:shd w:val="clear" w:color="auto" w:fill="FFFFFF" w:themeFill="background1"/>
        </w:rPr>
        <w:t>endpoints</w:t>
      </w:r>
      <w:r w:rsidRPr="001876AD">
        <w:rPr>
          <w:rFonts w:ascii="Times New Roman" w:eastAsia="Meiryo UI" w:hAnsi="Times New Roman"/>
          <w:sz w:val="24"/>
          <w:szCs w:val="24"/>
          <w:shd w:val="clear" w:color="auto" w:fill="FFFFFF" w:themeFill="background1"/>
        </w:rPr>
        <w:t>.</w:t>
      </w:r>
    </w:p>
    <w:p w14:paraId="1E29A72C" w14:textId="77777777" w:rsidR="009407C3" w:rsidRPr="001876AD" w:rsidRDefault="009407C3">
      <w:pPr>
        <w:snapToGrid w:val="0"/>
        <w:spacing w:line="480" w:lineRule="auto"/>
        <w:ind w:left="360" w:hangingChars="150" w:hanging="360"/>
        <w:jc w:val="left"/>
        <w:rPr>
          <w:rFonts w:ascii="Times New Roman" w:eastAsia="Meiryo UI" w:hAnsi="Times New Roman"/>
          <w:b/>
          <w:sz w:val="24"/>
          <w:szCs w:val="24"/>
        </w:rPr>
      </w:pPr>
    </w:p>
    <w:p w14:paraId="3EFEFF4D" w14:textId="77777777" w:rsidR="009407C3" w:rsidRPr="001876AD" w:rsidRDefault="009407C3" w:rsidP="000B03C8">
      <w:pPr>
        <w:spacing w:line="480" w:lineRule="auto"/>
        <w:rPr>
          <w:sz w:val="24"/>
          <w:szCs w:val="24"/>
        </w:rPr>
      </w:pPr>
      <w:r w:rsidRPr="001876AD">
        <w:rPr>
          <w:rFonts w:ascii="Times New Roman" w:hAnsi="Times New Roman"/>
          <w:b/>
          <w:sz w:val="24"/>
          <w:szCs w:val="24"/>
        </w:rPr>
        <w:t>Numbers/proportions of patients prescribed</w:t>
      </w:r>
    </w:p>
    <w:p w14:paraId="57950F47" w14:textId="77777777" w:rsidR="009407C3" w:rsidRPr="001876AD" w:rsidRDefault="009407C3" w:rsidP="009D1B54">
      <w:pPr>
        <w:snapToGrid w:val="0"/>
        <w:spacing w:line="480" w:lineRule="auto"/>
        <w:ind w:leftChars="-1" w:left="-2"/>
        <w:jc w:val="left"/>
        <w:rPr>
          <w:rFonts w:ascii="Times New Roman" w:eastAsia="Meiryo UI" w:hAnsi="Times New Roman"/>
          <w:kern w:val="0"/>
          <w:sz w:val="24"/>
          <w:szCs w:val="24"/>
          <w:shd w:val="clear" w:color="auto" w:fill="FFFFFF" w:themeFill="background1"/>
        </w:rPr>
      </w:pPr>
      <w:r w:rsidRPr="001876AD">
        <w:rPr>
          <w:rFonts w:ascii="Times New Roman" w:eastAsia="Meiryo UI" w:hAnsi="Times New Roman"/>
          <w:sz w:val="24"/>
          <w:szCs w:val="24"/>
          <w:shd w:val="clear" w:color="auto" w:fill="FFFFFF" w:themeFill="background1"/>
        </w:rPr>
        <w:t>The proportion of patients prescribed loxoprofen was higher for the group 15 to 64 years (40.0% of all patients prescribed the drugs</w:t>
      </w:r>
      <w:r w:rsidRPr="001876AD">
        <w:rPr>
          <w:rFonts w:ascii="Times New Roman" w:eastAsia="Meiryo UI" w:hAnsi="Times New Roman" w:hint="eastAsia"/>
          <w:sz w:val="24"/>
          <w:szCs w:val="24"/>
          <w:shd w:val="clear" w:color="auto" w:fill="FFFFFF" w:themeFill="background1"/>
        </w:rPr>
        <w:t xml:space="preserve"> </w:t>
      </w:r>
      <w:r w:rsidRPr="001876AD">
        <w:rPr>
          <w:rFonts w:ascii="Times New Roman" w:eastAsia="Meiryo UI" w:hAnsi="Times New Roman"/>
          <w:sz w:val="24"/>
          <w:szCs w:val="24"/>
          <w:shd w:val="clear" w:color="auto" w:fill="FFFFFF" w:themeFill="background1"/>
        </w:rPr>
        <w:t>for continued prescriptions) than for those aged ≤ 14 years (10.8%) and ≥ 65 years (22.9%). Acetaminophen was prescribed more commonly to pediatric patients aged ≤ 14 years (27.5%) than to patients in the other age groups (</w:t>
      </w:r>
      <w:r w:rsidRPr="001876AD">
        <w:rPr>
          <w:rFonts w:ascii="Times New Roman" w:eastAsia="Meiryo UI" w:hAnsi="Times New Roman"/>
          <w:kern w:val="0"/>
          <w:sz w:val="24"/>
          <w:szCs w:val="24"/>
          <w:shd w:val="clear" w:color="auto" w:fill="FFFFFF" w:themeFill="background1"/>
        </w:rPr>
        <w:t xml:space="preserve">≤ 11.7%). The proportion of patients prescribed drugs for continued prescriptions was different for each age group. Regarding clinical departments, pregabalin was more commonly prescribed in the anesthesiology/pain clinic (patient proportion: 29.0%) and neurology (18.2%) than in other clinical departments (1.1% to 13.6%). </w:t>
      </w:r>
      <w:r w:rsidRPr="001876AD">
        <w:rPr>
          <w:rFonts w:ascii="Times New Roman" w:eastAsia="MS Mincho" w:hAnsi="Times New Roman"/>
          <w:sz w:val="24"/>
          <w:szCs w:val="24"/>
          <w:shd w:val="clear" w:color="auto" w:fill="FFFFFF" w:themeFill="background1"/>
        </w:rPr>
        <w:t xml:space="preserve">Regarding </w:t>
      </w:r>
      <w:r w:rsidR="00E8795B" w:rsidRPr="001876AD">
        <w:rPr>
          <w:rFonts w:ascii="Times New Roman" w:eastAsia="MS Mincho" w:hAnsi="Times New Roman" w:hint="eastAsia"/>
          <w:sz w:val="24"/>
          <w:szCs w:val="24"/>
          <w:shd w:val="clear" w:color="auto" w:fill="FFFFFF" w:themeFill="background1"/>
        </w:rPr>
        <w:t>p</w:t>
      </w:r>
      <w:r w:rsidRPr="001876AD">
        <w:rPr>
          <w:rFonts w:ascii="Times New Roman" w:eastAsia="MS Mincho" w:hAnsi="Times New Roman"/>
          <w:sz w:val="24"/>
          <w:szCs w:val="24"/>
          <w:shd w:val="clear" w:color="auto" w:fill="FFFFFF" w:themeFill="background1"/>
        </w:rPr>
        <w:t>ro re nata</w:t>
      </w:r>
      <w:r w:rsidRPr="001876AD">
        <w:rPr>
          <w:rFonts w:ascii="Times New Roman" w:eastAsia="Meiryo" w:hAnsi="Times New Roman"/>
          <w:sz w:val="24"/>
          <w:szCs w:val="24"/>
          <w:shd w:val="clear" w:color="auto" w:fill="FFFFFF" w:themeFill="background1"/>
        </w:rPr>
        <w:t xml:space="preserve"> (PRN)</w:t>
      </w:r>
      <w:r w:rsidRPr="001876AD">
        <w:rPr>
          <w:rFonts w:ascii="Times New Roman" w:eastAsia="MS Mincho" w:hAnsi="Times New Roman"/>
          <w:sz w:val="24"/>
          <w:szCs w:val="24"/>
          <w:shd w:val="clear" w:color="auto" w:fill="FFFFFF" w:themeFill="background1"/>
        </w:rPr>
        <w:t xml:space="preserve"> prescriptions, the</w:t>
      </w:r>
      <w:r w:rsidRPr="001876AD">
        <w:rPr>
          <w:rFonts w:ascii="Times New Roman" w:eastAsia="Meiryo UI" w:hAnsi="Times New Roman"/>
          <w:sz w:val="24"/>
          <w:szCs w:val="24"/>
          <w:shd w:val="clear" w:color="auto" w:fill="FFFFFF" w:themeFill="background1"/>
        </w:rPr>
        <w:t xml:space="preserve"> proportion</w:t>
      </w:r>
      <w:r w:rsidRPr="001876AD" w:rsidDel="00076002">
        <w:rPr>
          <w:rFonts w:ascii="Times New Roman" w:eastAsia="MS Mincho" w:hAnsi="Times New Roman"/>
          <w:sz w:val="24"/>
          <w:szCs w:val="24"/>
          <w:shd w:val="clear" w:color="auto" w:fill="FFFFFF" w:themeFill="background1"/>
        </w:rPr>
        <w:t xml:space="preserve"> </w:t>
      </w:r>
      <w:r w:rsidRPr="001876AD">
        <w:rPr>
          <w:rFonts w:ascii="Times New Roman" w:eastAsia="MS Mincho" w:hAnsi="Times New Roman"/>
          <w:sz w:val="24"/>
          <w:szCs w:val="24"/>
          <w:shd w:val="clear" w:color="auto" w:fill="FFFFFF" w:themeFill="background1"/>
        </w:rPr>
        <w:t xml:space="preserve">of patients prescribed loxoprofen was high in orthopedic surgery, general surgery, neurosurgery, neurology, and dentistry, whereas the proportion prescribed acetaminophen was high in general internal medicine, </w:t>
      </w:r>
      <w:r w:rsidRPr="001876AD">
        <w:rPr>
          <w:rFonts w:ascii="Times New Roman" w:eastAsia="Meiryo UI" w:hAnsi="Times New Roman"/>
          <w:kern w:val="0"/>
          <w:sz w:val="24"/>
          <w:szCs w:val="24"/>
          <w:shd w:val="clear" w:color="auto" w:fill="FFFFFF" w:themeFill="background1"/>
        </w:rPr>
        <w:t>anesthesiology/pain clinic,</w:t>
      </w:r>
      <w:r w:rsidRPr="001876AD">
        <w:rPr>
          <w:rFonts w:ascii="Times New Roman" w:eastAsia="MS Mincho" w:hAnsi="Times New Roman"/>
          <w:sz w:val="24"/>
          <w:szCs w:val="24"/>
          <w:shd w:val="clear" w:color="auto" w:fill="FFFFFF" w:themeFill="background1"/>
        </w:rPr>
        <w:t xml:space="preserve"> dermatology, diabetes medicine, and pediatrics. The commonly used continued and PRN prescriptions were different for each clinical department. </w:t>
      </w:r>
    </w:p>
    <w:p w14:paraId="0C77FCA0" w14:textId="77777777" w:rsidR="009407C3" w:rsidRPr="001876AD" w:rsidRDefault="009407C3">
      <w:pPr>
        <w:autoSpaceDE w:val="0"/>
        <w:autoSpaceDN w:val="0"/>
        <w:adjustRightInd w:val="0"/>
        <w:snapToGrid w:val="0"/>
        <w:spacing w:line="480" w:lineRule="auto"/>
        <w:jc w:val="left"/>
        <w:rPr>
          <w:rFonts w:ascii="Times New Roman" w:eastAsia="MS Gothic" w:hAnsi="Times New Roman"/>
          <w:b/>
          <w:sz w:val="24"/>
          <w:szCs w:val="24"/>
          <w:shd w:val="clear" w:color="auto" w:fill="FFFFFF" w:themeFill="background1"/>
        </w:rPr>
      </w:pPr>
    </w:p>
    <w:p w14:paraId="722333D4" w14:textId="77777777" w:rsidR="009407C3" w:rsidRPr="001876AD" w:rsidRDefault="009407C3" w:rsidP="000B03C8">
      <w:pPr>
        <w:spacing w:line="480" w:lineRule="auto"/>
        <w:rPr>
          <w:sz w:val="24"/>
          <w:szCs w:val="24"/>
        </w:rPr>
      </w:pPr>
      <w:r w:rsidRPr="001876AD">
        <w:rPr>
          <w:rFonts w:ascii="Times New Roman" w:hAnsi="Times New Roman"/>
          <w:b/>
          <w:sz w:val="24"/>
          <w:szCs w:val="24"/>
        </w:rPr>
        <w:t>Median daily prescription doses</w:t>
      </w:r>
    </w:p>
    <w:p w14:paraId="4B884493" w14:textId="79996376" w:rsidR="009407C3" w:rsidRPr="001876AD" w:rsidRDefault="009407C3" w:rsidP="009D1B54">
      <w:pPr>
        <w:autoSpaceDE w:val="0"/>
        <w:autoSpaceDN w:val="0"/>
        <w:adjustRightInd w:val="0"/>
        <w:snapToGrid w:val="0"/>
        <w:spacing w:line="480" w:lineRule="auto"/>
        <w:jc w:val="left"/>
        <w:rPr>
          <w:rFonts w:ascii="Times New Roman" w:eastAsia="Meiryo UI" w:hAnsi="Times New Roman"/>
          <w:sz w:val="24"/>
          <w:szCs w:val="24"/>
          <w:shd w:val="clear" w:color="auto" w:fill="FFFFFF" w:themeFill="background1"/>
        </w:rPr>
      </w:pPr>
      <w:r w:rsidRPr="001876AD">
        <w:rPr>
          <w:rFonts w:ascii="Times New Roman" w:eastAsia="Meiryo UI" w:hAnsi="Times New Roman"/>
          <w:sz w:val="24"/>
          <w:szCs w:val="24"/>
          <w:shd w:val="clear" w:color="auto" w:fill="FFFFFF" w:themeFill="background1"/>
        </w:rPr>
        <w:t xml:space="preserve">For pregabalin and tramadol &amp; acetaminophen (TA) combination, the median daily prescription doses were higher for males than for females (pregabalin: male 100 mg, </w:t>
      </w:r>
      <w:r w:rsidRPr="001876AD">
        <w:rPr>
          <w:rFonts w:ascii="Times New Roman" w:eastAsia="Meiryo UI" w:hAnsi="Times New Roman"/>
          <w:sz w:val="24"/>
          <w:szCs w:val="24"/>
          <w:shd w:val="clear" w:color="auto" w:fill="FFFFFF" w:themeFill="background1"/>
        </w:rPr>
        <w:lastRenderedPageBreak/>
        <w:t xml:space="preserve">female 75 mg, and </w:t>
      </w:r>
      <w:r w:rsidR="00E37526" w:rsidRPr="001876AD">
        <w:rPr>
          <w:rFonts w:ascii="Times New Roman" w:eastAsia="Meiryo UI" w:hAnsi="Times New Roman"/>
          <w:sz w:val="24"/>
          <w:szCs w:val="24"/>
          <w:shd w:val="clear" w:color="auto" w:fill="FFFFFF" w:themeFill="background1"/>
        </w:rPr>
        <w:t>Tramadol &amp; acetamin</w:t>
      </w:r>
      <w:r w:rsidR="00EA1853" w:rsidRPr="001876AD">
        <w:rPr>
          <w:rFonts w:ascii="Times New Roman" w:eastAsia="Meiryo UI" w:hAnsi="Times New Roman"/>
          <w:sz w:val="24"/>
          <w:szCs w:val="24"/>
          <w:shd w:val="clear" w:color="auto" w:fill="FFFFFF" w:themeFill="background1"/>
        </w:rPr>
        <w:t>o</w:t>
      </w:r>
      <w:r w:rsidR="00E37526" w:rsidRPr="001876AD">
        <w:rPr>
          <w:rFonts w:ascii="Times New Roman" w:eastAsia="Meiryo UI" w:hAnsi="Times New Roman"/>
          <w:sz w:val="24"/>
          <w:szCs w:val="24"/>
          <w:shd w:val="clear" w:color="auto" w:fill="FFFFFF" w:themeFill="background1"/>
        </w:rPr>
        <w:t>phen combination</w:t>
      </w:r>
      <w:r w:rsidRPr="001876AD">
        <w:rPr>
          <w:rFonts w:ascii="Times New Roman" w:eastAsia="Meiryo UI" w:hAnsi="Times New Roman"/>
          <w:sz w:val="24"/>
          <w:szCs w:val="24"/>
          <w:shd w:val="clear" w:color="auto" w:fill="FFFFFF" w:themeFill="background1"/>
        </w:rPr>
        <w:t xml:space="preserve">: 112.5 mg and 75 mg, respectively). Pregabalin, Shakuyaku-kanzo-to, and </w:t>
      </w:r>
      <w:r w:rsidR="00E37526" w:rsidRPr="001876AD">
        <w:rPr>
          <w:rFonts w:ascii="Times New Roman" w:eastAsia="Meiryo UI" w:hAnsi="Times New Roman"/>
          <w:sz w:val="24"/>
          <w:szCs w:val="24"/>
          <w:shd w:val="clear" w:color="auto" w:fill="FFFFFF" w:themeFill="background1"/>
        </w:rPr>
        <w:t>tramadol &amp; acetaminophen combination</w:t>
      </w:r>
      <w:r w:rsidRPr="001876AD">
        <w:rPr>
          <w:rFonts w:ascii="Times New Roman" w:eastAsia="Meiryo UI" w:hAnsi="Times New Roman"/>
          <w:sz w:val="24"/>
          <w:szCs w:val="24"/>
          <w:shd w:val="clear" w:color="auto" w:fill="FFFFFF" w:themeFill="background1"/>
        </w:rPr>
        <w:t xml:space="preserve"> were prescribed at higher doses for patients aged 15 to 64 years than for patients aged </w:t>
      </w:r>
      <w:r w:rsidRPr="001876AD">
        <w:rPr>
          <w:rFonts w:ascii="Times New Roman" w:eastAsia="Meiryo UI" w:hAnsi="Times New Roman"/>
          <w:kern w:val="0"/>
          <w:sz w:val="24"/>
          <w:szCs w:val="24"/>
          <w:shd w:val="clear" w:color="auto" w:fill="FFFFFF" w:themeFill="background1"/>
        </w:rPr>
        <w:t>≥</w:t>
      </w:r>
      <w:r w:rsidRPr="001876AD">
        <w:rPr>
          <w:rFonts w:ascii="Times New Roman" w:eastAsia="Meiryo UI" w:hAnsi="Times New Roman"/>
          <w:sz w:val="24"/>
          <w:szCs w:val="24"/>
          <w:shd w:val="clear" w:color="auto" w:fill="FFFFFF" w:themeFill="background1"/>
        </w:rPr>
        <w:t xml:space="preserve"> 65 years (pregabalin: 15 to 64 years: 100 mg and </w:t>
      </w:r>
      <w:r w:rsidRPr="001876AD">
        <w:rPr>
          <w:rFonts w:ascii="Times New Roman" w:eastAsia="Meiryo UI" w:hAnsi="Times New Roman"/>
          <w:kern w:val="0"/>
          <w:sz w:val="24"/>
          <w:szCs w:val="24"/>
          <w:shd w:val="clear" w:color="auto" w:fill="FFFFFF" w:themeFill="background1"/>
        </w:rPr>
        <w:t>≥</w:t>
      </w:r>
      <w:r w:rsidRPr="001876AD">
        <w:rPr>
          <w:rFonts w:ascii="Times New Roman" w:eastAsia="Meiryo UI" w:hAnsi="Times New Roman"/>
          <w:sz w:val="24"/>
          <w:szCs w:val="24"/>
          <w:shd w:val="clear" w:color="auto" w:fill="FFFFFF" w:themeFill="background1"/>
        </w:rPr>
        <w:t xml:space="preserve"> 65 years: 75 mg; Shakuyaku-kanzo-to: 6,000 mg and 4,000 mg; and </w:t>
      </w:r>
      <w:r w:rsidR="00E37526" w:rsidRPr="001876AD">
        <w:rPr>
          <w:rFonts w:ascii="Times New Roman" w:eastAsia="Meiryo UI" w:hAnsi="Times New Roman"/>
          <w:sz w:val="24"/>
          <w:szCs w:val="24"/>
          <w:shd w:val="clear" w:color="auto" w:fill="FFFFFF" w:themeFill="background1"/>
        </w:rPr>
        <w:t>tramadol &amp; acetaminophen combination</w:t>
      </w:r>
      <w:r w:rsidRPr="001876AD">
        <w:rPr>
          <w:rFonts w:ascii="Times New Roman" w:eastAsia="Meiryo UI" w:hAnsi="Times New Roman"/>
          <w:sz w:val="24"/>
          <w:szCs w:val="24"/>
          <w:shd w:val="clear" w:color="auto" w:fill="FFFFFF" w:themeFill="background1"/>
        </w:rPr>
        <w:t>: 11</w:t>
      </w:r>
      <w:r w:rsidRPr="001876AD">
        <w:rPr>
          <w:rFonts w:ascii="Times New Roman" w:eastAsia="Meiryo UI" w:hAnsi="Times New Roman" w:hint="eastAsia"/>
          <w:sz w:val="24"/>
          <w:szCs w:val="24"/>
          <w:shd w:val="clear" w:color="auto" w:fill="FFFFFF" w:themeFill="background1"/>
        </w:rPr>
        <w:t>3</w:t>
      </w:r>
      <w:r w:rsidRPr="001876AD">
        <w:rPr>
          <w:rFonts w:ascii="Times New Roman" w:eastAsia="Meiryo UI" w:hAnsi="Times New Roman"/>
          <w:sz w:val="24"/>
          <w:szCs w:val="24"/>
          <w:shd w:val="clear" w:color="auto" w:fill="FFFFFF" w:themeFill="background1"/>
        </w:rPr>
        <w:t xml:space="preserve"> mg and 75 mg, respectively) (</w:t>
      </w:r>
      <w:r w:rsidR="00A13A71" w:rsidRPr="001876AD">
        <w:rPr>
          <w:rFonts w:ascii="Times New Roman" w:eastAsia="Meiryo UI" w:hAnsi="Times New Roman"/>
          <w:sz w:val="24"/>
          <w:szCs w:val="24"/>
          <w:shd w:val="clear" w:color="auto" w:fill="FFFFFF" w:themeFill="background1"/>
        </w:rPr>
        <w:t>Table S2</w:t>
      </w:r>
      <w:r w:rsidRPr="001876AD">
        <w:rPr>
          <w:rFonts w:ascii="Times New Roman" w:eastAsia="Meiryo UI" w:hAnsi="Times New Roman"/>
          <w:sz w:val="24"/>
          <w:szCs w:val="24"/>
          <w:shd w:val="clear" w:color="auto" w:fill="FFFFFF" w:themeFill="background1"/>
        </w:rPr>
        <w:t>). By clinical departments, the daily prescription dose of acetaminophen was higher in anesthesiology/pain clinics than in other clinical departments (1,800 mg and 600 to 1,500</w:t>
      </w:r>
      <w:r w:rsidRPr="001876AD">
        <w:rPr>
          <w:rFonts w:ascii="Times New Roman" w:eastAsia="Meiryo UI" w:hAnsi="Times New Roman" w:hint="eastAsia"/>
          <w:sz w:val="24"/>
          <w:szCs w:val="24"/>
          <w:shd w:val="clear" w:color="auto" w:fill="FFFFFF" w:themeFill="background1"/>
        </w:rPr>
        <w:t xml:space="preserve"> </w:t>
      </w:r>
      <w:r w:rsidRPr="001876AD">
        <w:rPr>
          <w:rFonts w:ascii="Times New Roman" w:eastAsia="Meiryo UI" w:hAnsi="Times New Roman"/>
          <w:sz w:val="24"/>
          <w:szCs w:val="24"/>
          <w:shd w:val="clear" w:color="auto" w:fill="FFFFFF" w:themeFill="background1"/>
        </w:rPr>
        <w:t>mg, respectively).</w:t>
      </w:r>
    </w:p>
    <w:p w14:paraId="45BB9F48" w14:textId="77777777" w:rsidR="009407C3" w:rsidRPr="001876AD" w:rsidRDefault="009407C3" w:rsidP="009D1B54">
      <w:pPr>
        <w:snapToGrid w:val="0"/>
        <w:spacing w:line="480" w:lineRule="auto"/>
        <w:ind w:left="270" w:hangingChars="150" w:hanging="270"/>
        <w:jc w:val="left"/>
        <w:rPr>
          <w:rFonts w:ascii="Times New Roman" w:eastAsia="Meiryo UI" w:hAnsi="Times New Roman"/>
          <w:sz w:val="18"/>
          <w:szCs w:val="18"/>
        </w:rPr>
      </w:pPr>
    </w:p>
    <w:p w14:paraId="49DA6BDE" w14:textId="77777777" w:rsidR="009407C3" w:rsidRPr="001876AD" w:rsidRDefault="009407C3" w:rsidP="000B03C8">
      <w:pPr>
        <w:spacing w:line="480" w:lineRule="auto"/>
        <w:rPr>
          <w:sz w:val="24"/>
          <w:szCs w:val="24"/>
        </w:rPr>
      </w:pPr>
      <w:r w:rsidRPr="001876AD">
        <w:rPr>
          <w:rFonts w:ascii="Times New Roman" w:hAnsi="Times New Roman"/>
          <w:b/>
          <w:sz w:val="24"/>
          <w:szCs w:val="24"/>
        </w:rPr>
        <w:t>Co-prescription patterns</w:t>
      </w:r>
    </w:p>
    <w:p w14:paraId="5B68EDE7" w14:textId="77777777" w:rsidR="009407C3" w:rsidRPr="001876AD" w:rsidRDefault="009407C3" w:rsidP="009D1B54">
      <w:pPr>
        <w:snapToGrid w:val="0"/>
        <w:spacing w:line="480" w:lineRule="auto"/>
        <w:jc w:val="left"/>
        <w:rPr>
          <w:rFonts w:ascii="Times New Roman" w:eastAsia="Meiryo UI" w:hAnsi="Times New Roman"/>
          <w:sz w:val="24"/>
          <w:szCs w:val="24"/>
          <w:shd w:val="clear" w:color="auto" w:fill="FFFFFF" w:themeFill="background1"/>
        </w:rPr>
      </w:pPr>
      <w:r w:rsidRPr="001876AD">
        <w:rPr>
          <w:rFonts w:ascii="Times New Roman" w:eastAsia="Meiryo UI" w:hAnsi="Times New Roman"/>
          <w:sz w:val="24"/>
          <w:szCs w:val="24"/>
          <w:shd w:val="clear" w:color="auto" w:fill="FFFFFF" w:themeFill="background1"/>
        </w:rPr>
        <w:t xml:space="preserve">The proportion of patients prescribed one drug was higher for the pediatric patient group (≤ 14 years) than for those aged 15 to 64 years and </w:t>
      </w:r>
      <w:r w:rsidRPr="001876AD">
        <w:rPr>
          <w:rFonts w:ascii="Times New Roman" w:eastAsia="Meiryo UI" w:hAnsi="Times New Roman"/>
          <w:kern w:val="0"/>
          <w:sz w:val="24"/>
          <w:szCs w:val="24"/>
          <w:shd w:val="clear" w:color="auto" w:fill="FFFFFF" w:themeFill="background1"/>
        </w:rPr>
        <w:t xml:space="preserve">≥ </w:t>
      </w:r>
      <w:r w:rsidRPr="001876AD">
        <w:rPr>
          <w:rFonts w:ascii="Times New Roman" w:eastAsia="Meiryo UI" w:hAnsi="Times New Roman"/>
          <w:sz w:val="24"/>
          <w:szCs w:val="24"/>
          <w:shd w:val="clear" w:color="auto" w:fill="FFFFFF" w:themeFill="background1"/>
        </w:rPr>
        <w:t>65 years. In patients aged 15 to 64 years and ≥ 65 years, the commonly used combinations of 2 drugs were pregabalin + loxoprofen and pregabalin + celecoxib (15 to 64 years: 1.4% and 0.9%, respectively; ≥ 65 years: 0.8% and 1.2%, respectively). By clinical departments, the proportions of patients prescribed one drug were higher in pediatrics and dentistry (95.1% and 97.8%, respectively) than in the other clinical departments. In contrast, the percentages of patients</w:t>
      </w:r>
      <w:r w:rsidRPr="001876AD" w:rsidDel="00076002">
        <w:rPr>
          <w:rFonts w:ascii="Times New Roman" w:eastAsia="Meiryo UI" w:hAnsi="Times New Roman"/>
          <w:sz w:val="24"/>
          <w:szCs w:val="24"/>
          <w:shd w:val="clear" w:color="auto" w:fill="FFFFFF" w:themeFill="background1"/>
        </w:rPr>
        <w:t xml:space="preserve"> </w:t>
      </w:r>
      <w:r w:rsidRPr="001876AD">
        <w:rPr>
          <w:rFonts w:ascii="Times New Roman" w:eastAsia="Meiryo UI" w:hAnsi="Times New Roman"/>
          <w:sz w:val="24"/>
          <w:szCs w:val="24"/>
          <w:shd w:val="clear" w:color="auto" w:fill="FFFFFF" w:themeFill="background1"/>
        </w:rPr>
        <w:t>receiving combination prescriptions were higher in anesthesiology/pain clinics (29.4%) than in the other departments. Pregabalin + loxoprofen was the most common combination prescription in orthopedic surgery (1.9%), general surgery (0.9%), and neurology (0.4%). Pregabalin + celecoxib was commonly prescribed in orthopedic surgery (1.8%), anesthesiology/pain clinic (0.8%), general surgery (0.4%), neurosurgery (0.4%), and neurology (0.3%).</w:t>
      </w:r>
    </w:p>
    <w:p w14:paraId="637B90FB" w14:textId="77777777" w:rsidR="009407C3" w:rsidRPr="001876AD" w:rsidRDefault="009407C3">
      <w:pPr>
        <w:widowControl/>
        <w:snapToGrid w:val="0"/>
        <w:spacing w:line="480" w:lineRule="auto"/>
        <w:ind w:firstLineChars="100" w:firstLine="240"/>
        <w:rPr>
          <w:rFonts w:ascii="Times New Roman" w:eastAsia="Meiryo UI" w:hAnsi="Times New Roman"/>
          <w:strike/>
          <w:sz w:val="24"/>
          <w:szCs w:val="24"/>
          <w:shd w:val="clear" w:color="auto" w:fill="FFFFFF" w:themeFill="background1"/>
        </w:rPr>
      </w:pPr>
    </w:p>
    <w:p w14:paraId="1675D3C3" w14:textId="77777777" w:rsidR="009407C3" w:rsidRPr="001876AD" w:rsidRDefault="009407C3" w:rsidP="000B03C8">
      <w:pPr>
        <w:spacing w:line="480" w:lineRule="auto"/>
        <w:rPr>
          <w:sz w:val="24"/>
          <w:szCs w:val="24"/>
        </w:rPr>
      </w:pPr>
      <w:r w:rsidRPr="001876AD">
        <w:rPr>
          <w:rFonts w:ascii="Times New Roman" w:hAnsi="Times New Roman"/>
          <w:b/>
          <w:sz w:val="24"/>
          <w:szCs w:val="24"/>
        </w:rPr>
        <w:t>Distribution of initial doses and changes from the initial doses</w:t>
      </w:r>
    </w:p>
    <w:p w14:paraId="4149ACDE" w14:textId="77777777" w:rsidR="009407C3" w:rsidRPr="001876AD" w:rsidRDefault="009407C3" w:rsidP="009D1B54">
      <w:pPr>
        <w:snapToGrid w:val="0"/>
        <w:spacing w:line="480" w:lineRule="auto"/>
        <w:jc w:val="left"/>
        <w:rPr>
          <w:rFonts w:ascii="Meiryo UI" w:eastAsia="Meiryo UI" w:hAnsi="Meiryo UI"/>
          <w:szCs w:val="24"/>
          <w:shd w:val="clear" w:color="auto" w:fill="FFFFFF" w:themeFill="background1"/>
        </w:rPr>
      </w:pPr>
      <w:r w:rsidRPr="001876AD">
        <w:rPr>
          <w:rFonts w:ascii="Times New Roman" w:eastAsia="MS Mincho" w:hAnsi="Times New Roman"/>
          <w:sz w:val="24"/>
          <w:szCs w:val="24"/>
          <w:shd w:val="clear" w:color="auto" w:fill="FFFFFF" w:themeFill="background1"/>
        </w:rPr>
        <w:lastRenderedPageBreak/>
        <w:t>P</w:t>
      </w:r>
      <w:r w:rsidRPr="001876AD">
        <w:rPr>
          <w:rFonts w:ascii="Times New Roman" w:hAnsi="Times New Roman"/>
          <w:sz w:val="24"/>
          <w:szCs w:val="24"/>
          <w:shd w:val="clear" w:color="auto" w:fill="FFFFFF" w:themeFill="background1"/>
        </w:rPr>
        <w:t>regabalin was prescribed at higher doses (median)</w:t>
      </w:r>
      <w:r w:rsidRPr="001876AD">
        <w:rPr>
          <w:rFonts w:ascii="Times New Roman" w:hAnsi="Times New Roman" w:hint="eastAsia"/>
          <w:sz w:val="24"/>
          <w:szCs w:val="24"/>
          <w:shd w:val="clear" w:color="auto" w:fill="FFFFFF" w:themeFill="background1"/>
        </w:rPr>
        <w:t xml:space="preserve"> </w:t>
      </w:r>
      <w:r w:rsidRPr="001876AD">
        <w:rPr>
          <w:rFonts w:ascii="Times New Roman" w:hAnsi="Times New Roman"/>
          <w:sz w:val="24"/>
          <w:szCs w:val="24"/>
          <w:shd w:val="clear" w:color="auto" w:fill="FFFFFF" w:themeFill="background1"/>
        </w:rPr>
        <w:t>in male patients (100 mg and 150 mg) than in female patients (75 mg and 100 mg) within 14 days to 90 days; t</w:t>
      </w:r>
      <w:r w:rsidRPr="001876AD">
        <w:rPr>
          <w:rFonts w:ascii="Times New Roman" w:eastAsia="Meiryo UI" w:hAnsi="Times New Roman"/>
          <w:sz w:val="24"/>
          <w:szCs w:val="24"/>
          <w:shd w:val="clear" w:color="auto" w:fill="FFFFFF" w:themeFill="background1"/>
        </w:rPr>
        <w:t xml:space="preserve">hese doses in male and female patients were still lower than the approved dose. </w:t>
      </w:r>
      <w:r w:rsidRPr="001876AD">
        <w:rPr>
          <w:rFonts w:ascii="Times New Roman" w:eastAsia="MS Mincho" w:hAnsi="Times New Roman"/>
          <w:sz w:val="24"/>
          <w:szCs w:val="24"/>
          <w:shd w:val="clear" w:color="auto" w:fill="FFFFFF" w:themeFill="background1"/>
        </w:rPr>
        <w:t xml:space="preserve">Increases to higher doses of pregabalin </w:t>
      </w:r>
      <w:r w:rsidRPr="001876AD">
        <w:rPr>
          <w:rFonts w:ascii="Times New Roman" w:hAnsi="Times New Roman"/>
          <w:sz w:val="24"/>
          <w:szCs w:val="24"/>
          <w:shd w:val="clear" w:color="auto" w:fill="FFFFFF" w:themeFill="background1"/>
        </w:rPr>
        <w:t xml:space="preserve">(100 mg and 150 mg) </w:t>
      </w:r>
      <w:r w:rsidRPr="001876AD">
        <w:rPr>
          <w:rFonts w:ascii="Times New Roman" w:eastAsia="MS Mincho" w:hAnsi="Times New Roman"/>
          <w:sz w:val="24"/>
          <w:szCs w:val="24"/>
          <w:shd w:val="clear" w:color="auto" w:fill="FFFFFF" w:themeFill="background1"/>
        </w:rPr>
        <w:t>and acetaminophen combinations (500 mg and 600 mg) were observed more frequently in patients aged 15 to 64 years than in patients of other age groups.</w:t>
      </w:r>
      <w:r w:rsidRPr="001876AD">
        <w:rPr>
          <w:rFonts w:ascii="Century" w:eastAsia="MS Mincho" w:hAnsi="Century"/>
          <w:shd w:val="clear" w:color="auto" w:fill="FFFFFF" w:themeFill="background1"/>
        </w:rPr>
        <w:t xml:space="preserve"> </w:t>
      </w:r>
      <w:r w:rsidRPr="001876AD">
        <w:rPr>
          <w:rFonts w:ascii="Times New Roman" w:eastAsia="MS Mincho" w:hAnsi="Times New Roman"/>
          <w:sz w:val="24"/>
          <w:szCs w:val="24"/>
          <w:shd w:val="clear" w:color="auto" w:fill="FFFFFF" w:themeFill="background1"/>
        </w:rPr>
        <w:t xml:space="preserve">Most notably, patients aged </w:t>
      </w:r>
      <w:r w:rsidRPr="001876AD">
        <w:rPr>
          <w:rFonts w:ascii="Times New Roman" w:eastAsia="Meiryo UI" w:hAnsi="Times New Roman"/>
          <w:kern w:val="0"/>
          <w:sz w:val="24"/>
          <w:szCs w:val="24"/>
          <w:shd w:val="clear" w:color="auto" w:fill="FFFFFF" w:themeFill="background1"/>
        </w:rPr>
        <w:t>≥</w:t>
      </w:r>
      <w:r w:rsidRPr="001876AD">
        <w:rPr>
          <w:rFonts w:ascii="Times New Roman" w:eastAsia="MS Mincho" w:hAnsi="Times New Roman"/>
          <w:sz w:val="24"/>
          <w:szCs w:val="24"/>
          <w:shd w:val="clear" w:color="auto" w:fill="FFFFFF" w:themeFill="background1"/>
        </w:rPr>
        <w:t xml:space="preserve"> 65 years who were prescribed acetaminophen showed a tendency to not have increased doses. With respect to </w:t>
      </w:r>
      <w:r w:rsidRPr="001876AD">
        <w:rPr>
          <w:rFonts w:ascii="Times New Roman" w:eastAsia="Meiryo UI" w:hAnsi="Times New Roman"/>
          <w:sz w:val="24"/>
          <w:szCs w:val="24"/>
          <w:shd w:val="clear" w:color="auto" w:fill="FFFFFF" w:themeFill="background1"/>
        </w:rPr>
        <w:t>clinical</w:t>
      </w:r>
      <w:r w:rsidRPr="001876AD">
        <w:rPr>
          <w:rFonts w:ascii="Times New Roman" w:eastAsia="MS Mincho" w:hAnsi="Times New Roman"/>
          <w:sz w:val="24"/>
          <w:szCs w:val="24"/>
          <w:shd w:val="clear" w:color="auto" w:fill="FFFFFF" w:themeFill="background1"/>
        </w:rPr>
        <w:t xml:space="preserve"> departments, acetaminophen was prescribed at a higher dose (1,800 mg) in anesthesia/pain clinics than in the other </w:t>
      </w:r>
      <w:r w:rsidRPr="001876AD">
        <w:rPr>
          <w:rFonts w:ascii="Times New Roman" w:eastAsia="Meiryo UI" w:hAnsi="Times New Roman"/>
          <w:sz w:val="24"/>
          <w:szCs w:val="24"/>
          <w:shd w:val="clear" w:color="auto" w:fill="FFFFFF" w:themeFill="background1"/>
        </w:rPr>
        <w:t>clinical</w:t>
      </w:r>
      <w:r w:rsidRPr="001876AD">
        <w:rPr>
          <w:rFonts w:ascii="Times New Roman" w:eastAsia="MS Mincho" w:hAnsi="Times New Roman"/>
          <w:sz w:val="24"/>
          <w:szCs w:val="24"/>
          <w:shd w:val="clear" w:color="auto" w:fill="FFFFFF" w:themeFill="background1"/>
        </w:rPr>
        <w:t xml:space="preserve"> departments (600 to 1,500 mg).</w:t>
      </w:r>
    </w:p>
    <w:p w14:paraId="42798FFF" w14:textId="77777777" w:rsidR="009407C3" w:rsidRPr="001876AD" w:rsidRDefault="009407C3">
      <w:pPr>
        <w:snapToGrid w:val="0"/>
        <w:spacing w:line="480" w:lineRule="auto"/>
        <w:ind w:firstLineChars="100" w:firstLine="240"/>
        <w:jc w:val="left"/>
        <w:rPr>
          <w:rFonts w:ascii="Times New Roman" w:hAnsi="Times New Roman"/>
          <w:sz w:val="24"/>
          <w:szCs w:val="24"/>
        </w:rPr>
      </w:pPr>
      <w:r w:rsidRPr="001876AD">
        <w:rPr>
          <w:rFonts w:ascii="Times New Roman" w:eastAsia="MS Mincho" w:hAnsi="Times New Roman"/>
          <w:sz w:val="24"/>
          <w:szCs w:val="24"/>
          <w:shd w:val="clear" w:color="auto" w:fill="FFFFFF" w:themeFill="background1"/>
        </w:rPr>
        <w:t>We investigated the initial doses of pregabalin and duloxetine in the highest proportion of patients treated with prescribed doses (&gt; 150 to ≤ 300 mg and [40 or 60 mg], respectively), which included approved doses. In the analysis of the initial pregabalin dose, the proportion of patients was the highest for those prescribed &gt; 25 to ≤ 50 mg (32.5%), followed by &gt; 100 to ≤ 150 mg (22.5%) and &gt; 50 to ≤ 75 mg (15.8%). The dosage in patients who were initially prescribed &gt; 25 to ≤ 50 mg and &gt; 50 to ≤</w:t>
      </w:r>
      <w:r w:rsidRPr="001876AD">
        <w:rPr>
          <w:rFonts w:ascii="Times New Roman" w:eastAsia="MS Mincho" w:hAnsi="Times New Roman" w:hint="eastAsia"/>
          <w:sz w:val="24"/>
          <w:szCs w:val="24"/>
          <w:shd w:val="clear" w:color="auto" w:fill="FFFFFF" w:themeFill="background1"/>
        </w:rPr>
        <w:t xml:space="preserve"> </w:t>
      </w:r>
      <w:r w:rsidRPr="001876AD">
        <w:rPr>
          <w:rFonts w:ascii="Times New Roman" w:eastAsia="MS Mincho" w:hAnsi="Times New Roman"/>
          <w:sz w:val="24"/>
          <w:szCs w:val="24"/>
          <w:shd w:val="clear" w:color="auto" w:fill="FFFFFF" w:themeFill="background1"/>
        </w:rPr>
        <w:t>75 mg increased up to 90 days (39.5% and 32.9%, respectively), whereas low dosage increases were observed in patients initially prescribed &gt; 100 to ≤ 150 mg (14.4%). Low proportions (0.9% to 8.1%) of patients who maintained or achieved a prescribed dose of &gt; 150 to ≤ 300 mg, including the approved dose (300 mg), were observed among those prescribed initial doses of &lt; 25 mg and &gt; 100 to ≤ 150 mg. In contrast, initial doses of &gt; 150 to ≤ 300 mg pregabalin had been prescribed to the highest proportion (approximately 85%) of patients who maintained or achieved a prescribed dose of &gt; 150 to ≤ 300 mg.</w:t>
      </w:r>
    </w:p>
    <w:p w14:paraId="4C961130" w14:textId="77777777" w:rsidR="009407C3" w:rsidRPr="001876AD" w:rsidRDefault="009407C3">
      <w:pPr>
        <w:snapToGrid w:val="0"/>
        <w:spacing w:line="480" w:lineRule="auto"/>
        <w:ind w:firstLineChars="100" w:firstLine="240"/>
        <w:jc w:val="left"/>
        <w:rPr>
          <w:rFonts w:ascii="Times New Roman" w:eastAsia="Meiryo UI" w:hAnsi="Times New Roman"/>
          <w:sz w:val="24"/>
          <w:szCs w:val="24"/>
          <w:shd w:val="clear" w:color="auto" w:fill="FFFFFF" w:themeFill="background1"/>
        </w:rPr>
      </w:pPr>
      <w:r w:rsidRPr="001876AD">
        <w:rPr>
          <w:rFonts w:ascii="Times New Roman" w:eastAsia="Meiryo UI" w:hAnsi="Times New Roman"/>
          <w:sz w:val="24"/>
          <w:szCs w:val="24"/>
          <w:shd w:val="clear" w:color="auto" w:fill="FFFFFF" w:themeFill="background1"/>
        </w:rPr>
        <w:t xml:space="preserve">Regarding duloxetine, patients who were prescribed ≤ 20 mg as an initial dose </w:t>
      </w:r>
      <w:r w:rsidRPr="001876AD">
        <w:rPr>
          <w:rFonts w:ascii="Times New Roman" w:eastAsia="Meiryo UI" w:hAnsi="Times New Roman"/>
          <w:sz w:val="24"/>
          <w:szCs w:val="24"/>
          <w:shd w:val="clear" w:color="auto" w:fill="FFFFFF" w:themeFill="background1"/>
        </w:rPr>
        <w:lastRenderedPageBreak/>
        <w:t xml:space="preserve">accounted for the majority (76.7%). The proportion of patients whose initial dose was ≤ 20 mg and who showed a dosage increase up to 90 days accounted for 45.4%, whereas the doses of patients who were initially prescribed &gt; 20 to ≤ 40 mg or &gt; 40 to ≤ 60 mg were increased minimally up to 90 days (7.4% and 0%, respectively). </w:t>
      </w:r>
      <w:r w:rsidRPr="001876AD">
        <w:rPr>
          <w:rFonts w:ascii="Times New Roman" w:hAnsi="Times New Roman"/>
          <w:sz w:val="24"/>
          <w:shd w:val="clear" w:color="auto" w:fill="FFFFFF" w:themeFill="background1"/>
        </w:rPr>
        <w:t xml:space="preserve">Initial doses of &gt; 40 to </w:t>
      </w:r>
      <w:r w:rsidRPr="001876AD">
        <w:rPr>
          <w:rFonts w:ascii="Times New Roman" w:eastAsia="Meiryo UI" w:hAnsi="Times New Roman"/>
          <w:sz w:val="24"/>
          <w:szCs w:val="24"/>
          <w:shd w:val="clear" w:color="auto" w:fill="FFFFFF" w:themeFill="background1"/>
        </w:rPr>
        <w:t xml:space="preserve">≤ </w:t>
      </w:r>
      <w:r w:rsidRPr="001876AD">
        <w:rPr>
          <w:rFonts w:ascii="Times New Roman" w:hAnsi="Times New Roman"/>
          <w:sz w:val="24"/>
          <w:shd w:val="clear" w:color="auto" w:fill="FFFFFF" w:themeFill="background1"/>
        </w:rPr>
        <w:t xml:space="preserve">60 mg duloxetine had been prescribed to the highest proportion (approximately 80%) of patients who maintained or achieved a prescribed dose of &gt; 40 to </w:t>
      </w:r>
      <w:r w:rsidRPr="001876AD">
        <w:rPr>
          <w:rFonts w:ascii="Times New Roman" w:eastAsia="Meiryo UI" w:hAnsi="Times New Roman"/>
          <w:sz w:val="24"/>
          <w:szCs w:val="24"/>
          <w:shd w:val="clear" w:color="auto" w:fill="FFFFFF" w:themeFill="background1"/>
        </w:rPr>
        <w:t xml:space="preserve">≤ </w:t>
      </w:r>
      <w:r w:rsidRPr="001876AD">
        <w:rPr>
          <w:rFonts w:ascii="Times New Roman" w:hAnsi="Times New Roman"/>
          <w:sz w:val="24"/>
          <w:shd w:val="clear" w:color="auto" w:fill="FFFFFF" w:themeFill="background1"/>
        </w:rPr>
        <w:t>60 mg, including the approved dose (40 or 60 mg).</w:t>
      </w:r>
    </w:p>
    <w:p w14:paraId="341E3954" w14:textId="77777777" w:rsidR="009407C3" w:rsidRPr="001876AD" w:rsidRDefault="009407C3">
      <w:pPr>
        <w:snapToGrid w:val="0"/>
        <w:spacing w:line="480" w:lineRule="auto"/>
        <w:ind w:left="270" w:hangingChars="150" w:hanging="270"/>
        <w:jc w:val="left"/>
        <w:rPr>
          <w:rFonts w:ascii="Times New Roman" w:eastAsia="Meiryo UI" w:hAnsi="Times New Roman"/>
          <w:sz w:val="18"/>
          <w:szCs w:val="18"/>
        </w:rPr>
      </w:pPr>
    </w:p>
    <w:p w14:paraId="068A0BA8" w14:textId="77777777" w:rsidR="009407C3" w:rsidRPr="001876AD" w:rsidRDefault="009407C3" w:rsidP="000B03C8">
      <w:pPr>
        <w:spacing w:line="480" w:lineRule="auto"/>
        <w:rPr>
          <w:sz w:val="24"/>
          <w:szCs w:val="24"/>
        </w:rPr>
      </w:pPr>
      <w:r w:rsidRPr="001876AD">
        <w:rPr>
          <w:rFonts w:ascii="Times New Roman" w:hAnsi="Times New Roman"/>
          <w:b/>
          <w:sz w:val="24"/>
          <w:szCs w:val="24"/>
        </w:rPr>
        <w:t>Duration of continued prescription and medication possession ratio (MPR)</w:t>
      </w:r>
    </w:p>
    <w:p w14:paraId="78EDF216" w14:textId="0C898EB2" w:rsidR="009407C3" w:rsidRPr="001876AD" w:rsidRDefault="009407C3" w:rsidP="009D1B54">
      <w:pPr>
        <w:snapToGrid w:val="0"/>
        <w:spacing w:line="480" w:lineRule="auto"/>
        <w:jc w:val="left"/>
        <w:rPr>
          <w:rFonts w:ascii="Times New Roman" w:eastAsia="Meiryo UI" w:hAnsi="Times New Roman"/>
          <w:kern w:val="0"/>
          <w:sz w:val="24"/>
          <w:szCs w:val="24"/>
          <w:shd w:val="clear" w:color="auto" w:fill="FFFFFF" w:themeFill="background1"/>
        </w:rPr>
      </w:pPr>
      <w:r w:rsidRPr="001876AD">
        <w:rPr>
          <w:rFonts w:ascii="Times New Roman" w:eastAsia="Meiryo UI" w:hAnsi="Times New Roman"/>
          <w:sz w:val="24"/>
          <w:szCs w:val="24"/>
          <w:shd w:val="clear" w:color="auto" w:fill="FFFFFF" w:themeFill="background1"/>
        </w:rPr>
        <w:t xml:space="preserve">The proportion of patients aged </w:t>
      </w:r>
      <w:r w:rsidRPr="001876AD">
        <w:rPr>
          <w:rFonts w:ascii="Times New Roman" w:eastAsia="Meiryo UI" w:hAnsi="Times New Roman"/>
          <w:kern w:val="0"/>
          <w:sz w:val="24"/>
          <w:szCs w:val="24"/>
          <w:shd w:val="clear" w:color="auto" w:fill="FFFFFF" w:themeFill="background1"/>
        </w:rPr>
        <w:t xml:space="preserve">≥ 65 years who </w:t>
      </w:r>
      <w:r w:rsidRPr="001876AD">
        <w:rPr>
          <w:rFonts w:ascii="Times New Roman" w:eastAsia="Meiryo UI" w:hAnsi="Times New Roman"/>
          <w:sz w:val="24"/>
          <w:szCs w:val="24"/>
          <w:shd w:val="clear" w:color="auto" w:fill="FFFFFF" w:themeFill="background1"/>
        </w:rPr>
        <w:t xml:space="preserve">reached </w:t>
      </w:r>
      <w:r w:rsidRPr="001876AD">
        <w:rPr>
          <w:rFonts w:ascii="Times New Roman" w:eastAsia="Meiryo UI" w:hAnsi="Times New Roman"/>
          <w:kern w:val="0"/>
          <w:sz w:val="24"/>
          <w:szCs w:val="24"/>
          <w:shd w:val="clear" w:color="auto" w:fill="FFFFFF" w:themeFill="background1"/>
        </w:rPr>
        <w:t xml:space="preserve">the continued prescription period of &gt; 90 days was the highest with duloxetine (36.6%), followed by pregabalin (34.3%) and neurotropin (32.9%). Regarding </w:t>
      </w:r>
      <w:r w:rsidRPr="001876AD">
        <w:rPr>
          <w:rFonts w:ascii="Times New Roman" w:eastAsia="Meiryo UI" w:hAnsi="Times New Roman"/>
          <w:sz w:val="24"/>
          <w:szCs w:val="24"/>
          <w:shd w:val="clear" w:color="auto" w:fill="FFFFFF" w:themeFill="background1"/>
        </w:rPr>
        <w:t>clinical</w:t>
      </w:r>
      <w:r w:rsidRPr="001876AD">
        <w:rPr>
          <w:rFonts w:ascii="Times New Roman" w:eastAsia="Meiryo UI" w:hAnsi="Times New Roman"/>
          <w:kern w:val="0"/>
          <w:sz w:val="24"/>
          <w:szCs w:val="24"/>
          <w:shd w:val="clear" w:color="auto" w:fill="FFFFFF" w:themeFill="background1"/>
        </w:rPr>
        <w:t xml:space="preserve"> departments, in anesthesiology/pain clinics, the </w:t>
      </w:r>
      <w:r w:rsidRPr="001876AD">
        <w:rPr>
          <w:rFonts w:ascii="Times New Roman" w:eastAsia="Meiryo UI" w:hAnsi="Times New Roman"/>
          <w:sz w:val="24"/>
          <w:szCs w:val="24"/>
          <w:shd w:val="clear" w:color="auto" w:fill="FFFFFF" w:themeFill="background1"/>
        </w:rPr>
        <w:t>proportions</w:t>
      </w:r>
      <w:r w:rsidRPr="001876AD">
        <w:rPr>
          <w:rFonts w:ascii="Times New Roman" w:eastAsia="Meiryo UI" w:hAnsi="Times New Roman"/>
          <w:kern w:val="0"/>
          <w:sz w:val="24"/>
          <w:szCs w:val="24"/>
          <w:shd w:val="clear" w:color="auto" w:fill="FFFFFF" w:themeFill="background1"/>
        </w:rPr>
        <w:t xml:space="preserve"> of patients receiving continued prescriptions for &gt; 90 days were high for acetaminophen (27.2% and 13.3% for the entire clinical department group), neurotropin (35.7% and 26.3%, respectively), and pregabalin (38.3% and 29.2%, respectively). In neurology, the proportions of patients prescribed celecoxib (34.0% and 13.6% for the entire clinical department group), Shakuyaku-kanzo-to (35.2% and 16.6%, respectively) and </w:t>
      </w:r>
      <w:r w:rsidR="00E37526" w:rsidRPr="001876AD">
        <w:rPr>
          <w:rFonts w:ascii="Times New Roman" w:eastAsia="Meiryo UI" w:hAnsi="Times New Roman"/>
          <w:kern w:val="0"/>
          <w:sz w:val="24"/>
          <w:szCs w:val="24"/>
          <w:shd w:val="clear" w:color="auto" w:fill="FFFFFF" w:themeFill="background1"/>
        </w:rPr>
        <w:t>tramadol &amp; acetaminophen combination</w:t>
      </w:r>
      <w:r w:rsidRPr="001876AD">
        <w:rPr>
          <w:rFonts w:ascii="Times New Roman" w:eastAsia="Meiryo UI" w:hAnsi="Times New Roman"/>
          <w:kern w:val="0"/>
          <w:sz w:val="24"/>
          <w:szCs w:val="24"/>
          <w:shd w:val="clear" w:color="auto" w:fill="FFFFFF" w:themeFill="background1"/>
        </w:rPr>
        <w:t xml:space="preserve"> (41.7% and 26.2%, respectively) for &gt; 90 days were increased.</w:t>
      </w:r>
    </w:p>
    <w:p w14:paraId="5B6D2FD3" w14:textId="77777777" w:rsidR="009407C3" w:rsidRPr="001876AD" w:rsidRDefault="009407C3">
      <w:pPr>
        <w:snapToGrid w:val="0"/>
        <w:spacing w:line="480" w:lineRule="auto"/>
        <w:ind w:left="270" w:hangingChars="150" w:hanging="270"/>
        <w:jc w:val="left"/>
        <w:rPr>
          <w:rFonts w:ascii="Times New Roman" w:eastAsia="Meiryo UI" w:hAnsi="Times New Roman"/>
          <w:sz w:val="18"/>
          <w:szCs w:val="18"/>
        </w:rPr>
      </w:pPr>
    </w:p>
    <w:p w14:paraId="06D098FB" w14:textId="77777777" w:rsidR="009407C3" w:rsidRPr="001876AD" w:rsidRDefault="009407C3" w:rsidP="000B03C8">
      <w:pPr>
        <w:spacing w:line="480" w:lineRule="auto"/>
        <w:rPr>
          <w:sz w:val="24"/>
          <w:szCs w:val="24"/>
        </w:rPr>
      </w:pPr>
      <w:r w:rsidRPr="001876AD">
        <w:rPr>
          <w:rFonts w:ascii="Times New Roman" w:hAnsi="Times New Roman"/>
          <w:b/>
          <w:sz w:val="24"/>
          <w:szCs w:val="24"/>
        </w:rPr>
        <w:t>Treatment-discontinuation rate</w:t>
      </w:r>
    </w:p>
    <w:p w14:paraId="0B899B2C" w14:textId="40B63494" w:rsidR="00466EB0" w:rsidRPr="001876AD" w:rsidRDefault="009407C3" w:rsidP="009D1B54">
      <w:pPr>
        <w:snapToGrid w:val="0"/>
        <w:spacing w:line="480" w:lineRule="auto"/>
        <w:jc w:val="left"/>
        <w:rPr>
          <w:rFonts w:ascii="Times New Roman" w:eastAsia="Meiryo UI" w:hAnsi="Times New Roman"/>
          <w:kern w:val="0"/>
          <w:sz w:val="24"/>
          <w:szCs w:val="24"/>
          <w:shd w:val="clear" w:color="auto" w:fill="FFFFFF" w:themeFill="background1"/>
        </w:rPr>
      </w:pPr>
      <w:r w:rsidRPr="001876AD">
        <w:rPr>
          <w:rFonts w:ascii="Times New Roman" w:eastAsia="MS Mincho" w:hAnsi="Times New Roman"/>
          <w:sz w:val="24"/>
          <w:szCs w:val="24"/>
          <w:shd w:val="clear" w:color="auto" w:fill="FFFFFF" w:themeFill="background1"/>
        </w:rPr>
        <w:t xml:space="preserve">The CTD rates for pregabalin, neurotropin, </w:t>
      </w:r>
      <w:r w:rsidRPr="001876AD">
        <w:rPr>
          <w:rFonts w:ascii="Times New Roman" w:eastAsia="MS Mincho" w:hAnsi="Times New Roman" w:hint="eastAsia"/>
          <w:sz w:val="24"/>
          <w:szCs w:val="24"/>
          <w:shd w:val="clear" w:color="auto" w:fill="FFFFFF" w:themeFill="background1"/>
        </w:rPr>
        <w:t xml:space="preserve">and </w:t>
      </w:r>
      <w:r w:rsidR="00E37526" w:rsidRPr="001876AD">
        <w:rPr>
          <w:rFonts w:ascii="Times New Roman" w:eastAsia="MS Mincho" w:hAnsi="Times New Roman"/>
          <w:sz w:val="24"/>
          <w:szCs w:val="24"/>
          <w:shd w:val="clear" w:color="auto" w:fill="FFFFFF" w:themeFill="background1"/>
        </w:rPr>
        <w:t>tramadol &amp; acetaminophen combination</w:t>
      </w:r>
      <w:r w:rsidRPr="001876AD">
        <w:rPr>
          <w:rFonts w:ascii="Times New Roman" w:eastAsia="MS Mincho" w:hAnsi="Times New Roman"/>
          <w:sz w:val="24"/>
          <w:szCs w:val="24"/>
          <w:shd w:val="clear" w:color="auto" w:fill="FFFFFF" w:themeFill="background1"/>
        </w:rPr>
        <w:t xml:space="preserve"> in patients aged </w:t>
      </w:r>
      <w:r w:rsidRPr="001876AD">
        <w:rPr>
          <w:rFonts w:ascii="Times New Roman" w:eastAsia="Meiryo UI" w:hAnsi="Times New Roman"/>
          <w:sz w:val="24"/>
          <w:szCs w:val="24"/>
          <w:shd w:val="clear" w:color="auto" w:fill="FFFFFF" w:themeFill="background1"/>
        </w:rPr>
        <w:t>≥</w:t>
      </w:r>
      <w:r w:rsidRPr="001876AD">
        <w:rPr>
          <w:rFonts w:ascii="Times New Roman" w:eastAsia="MS Mincho" w:hAnsi="Times New Roman"/>
          <w:sz w:val="24"/>
          <w:szCs w:val="24"/>
          <w:shd w:val="clear" w:color="auto" w:fill="FFFFFF" w:themeFill="background1"/>
        </w:rPr>
        <w:t xml:space="preserve"> 65 years did not exceed 70% within 90 days, but only duloxetine did not reach 70% within 90 days in all age groups. By </w:t>
      </w:r>
      <w:r w:rsidRPr="001876AD">
        <w:rPr>
          <w:rFonts w:ascii="Times New Roman" w:eastAsia="Meiryo UI" w:hAnsi="Times New Roman"/>
          <w:sz w:val="24"/>
          <w:szCs w:val="24"/>
          <w:shd w:val="clear" w:color="auto" w:fill="FFFFFF" w:themeFill="background1"/>
        </w:rPr>
        <w:t>clinical</w:t>
      </w:r>
      <w:r w:rsidRPr="001876AD">
        <w:rPr>
          <w:rFonts w:ascii="Times New Roman" w:eastAsia="MS Mincho" w:hAnsi="Times New Roman"/>
          <w:sz w:val="24"/>
          <w:szCs w:val="24"/>
          <w:shd w:val="clear" w:color="auto" w:fill="FFFFFF" w:themeFill="background1"/>
        </w:rPr>
        <w:t xml:space="preserve"> departments, in anesthesiology/pain clinics and neurology, there was a tendency for the CTD rates to </w:t>
      </w:r>
      <w:r w:rsidRPr="001876AD">
        <w:rPr>
          <w:rFonts w:ascii="Times New Roman" w:eastAsia="MS Mincho" w:hAnsi="Times New Roman"/>
          <w:sz w:val="24"/>
          <w:szCs w:val="24"/>
          <w:shd w:val="clear" w:color="auto" w:fill="FFFFFF" w:themeFill="background1"/>
        </w:rPr>
        <w:lastRenderedPageBreak/>
        <w:t xml:space="preserve">exceed 70% for a longer period. Most notably, the CTD rates in neurology did not exceed 70% within 90 days for </w:t>
      </w:r>
      <w:r w:rsidRPr="001876AD">
        <w:rPr>
          <w:rFonts w:ascii="Times New Roman" w:eastAsia="Meiryo UI" w:hAnsi="Times New Roman"/>
          <w:kern w:val="0"/>
          <w:sz w:val="24"/>
          <w:szCs w:val="24"/>
          <w:shd w:val="clear" w:color="auto" w:fill="FFFFFF" w:themeFill="background1"/>
        </w:rPr>
        <w:t xml:space="preserve">celecoxib, pregabalin, Shakuyaku-kanzo-to, neurotropin, </w:t>
      </w:r>
      <w:r w:rsidR="00E37526" w:rsidRPr="001876AD">
        <w:rPr>
          <w:rFonts w:ascii="Times New Roman" w:eastAsia="Meiryo UI" w:hAnsi="Times New Roman"/>
          <w:kern w:val="0"/>
          <w:sz w:val="24"/>
          <w:szCs w:val="24"/>
          <w:shd w:val="clear" w:color="auto" w:fill="FFFFFF" w:themeFill="background1"/>
        </w:rPr>
        <w:t>tramadol &amp; acetaminophen combination</w:t>
      </w:r>
      <w:r w:rsidRPr="001876AD">
        <w:rPr>
          <w:rFonts w:ascii="Times New Roman" w:eastAsia="Meiryo UI" w:hAnsi="Times New Roman"/>
          <w:kern w:val="0"/>
          <w:sz w:val="24"/>
          <w:szCs w:val="24"/>
          <w:shd w:val="clear" w:color="auto" w:fill="FFFFFF" w:themeFill="background1"/>
        </w:rPr>
        <w:t>, and duloxetine.</w:t>
      </w:r>
    </w:p>
    <w:p w14:paraId="39128D20" w14:textId="77777777" w:rsidR="00466EB0" w:rsidRPr="001876AD" w:rsidRDefault="00466EB0">
      <w:pPr>
        <w:widowControl/>
        <w:jc w:val="left"/>
        <w:rPr>
          <w:rFonts w:ascii="Times New Roman" w:eastAsia="Meiryo UI" w:hAnsi="Times New Roman"/>
          <w:kern w:val="0"/>
          <w:sz w:val="24"/>
          <w:szCs w:val="24"/>
          <w:shd w:val="clear" w:color="auto" w:fill="FFFFFF" w:themeFill="background1"/>
        </w:rPr>
      </w:pPr>
      <w:r w:rsidRPr="001876AD">
        <w:rPr>
          <w:rFonts w:ascii="Times New Roman" w:eastAsia="Meiryo UI" w:hAnsi="Times New Roman"/>
          <w:kern w:val="0"/>
          <w:sz w:val="24"/>
          <w:szCs w:val="24"/>
          <w:shd w:val="clear" w:color="auto" w:fill="FFFFFF" w:themeFill="background1"/>
        </w:rPr>
        <w:br w:type="page"/>
      </w:r>
    </w:p>
    <w:p w14:paraId="17BCC990" w14:textId="77777777" w:rsidR="000B03C8" w:rsidRPr="001876AD" w:rsidRDefault="00A13A71" w:rsidP="000B03C8">
      <w:pPr>
        <w:snapToGrid w:val="0"/>
        <w:spacing w:line="480" w:lineRule="auto"/>
        <w:ind w:left="1"/>
        <w:jc w:val="left"/>
        <w:rPr>
          <w:rFonts w:ascii="Times New Roman" w:eastAsia="Meiryo UI" w:hAnsi="Times New Roman"/>
          <w:b/>
          <w:color w:val="000000" w:themeColor="text1"/>
          <w:sz w:val="24"/>
          <w:szCs w:val="24"/>
        </w:rPr>
      </w:pPr>
      <w:r w:rsidRPr="001876AD">
        <w:rPr>
          <w:rFonts w:ascii="Times New Roman" w:eastAsia="Meiryo UI" w:hAnsi="Times New Roman"/>
          <w:b/>
          <w:color w:val="000000" w:themeColor="text1"/>
          <w:sz w:val="24"/>
          <w:szCs w:val="24"/>
        </w:rPr>
        <w:lastRenderedPageBreak/>
        <w:t>Table S1</w:t>
      </w:r>
      <w:r w:rsidR="009407C3" w:rsidRPr="001876AD">
        <w:rPr>
          <w:rFonts w:ascii="Times New Roman" w:eastAsia="Meiryo UI" w:hAnsi="Times New Roman"/>
          <w:b/>
          <w:color w:val="000000" w:themeColor="text1"/>
          <w:sz w:val="24"/>
          <w:szCs w:val="24"/>
        </w:rPr>
        <w:t xml:space="preserve">. </w:t>
      </w:r>
      <w:r w:rsidR="009407C3" w:rsidRPr="001876AD">
        <w:rPr>
          <w:rFonts w:ascii="Times New Roman" w:eastAsia="Meiryo UI" w:hAnsi="Times New Roman"/>
          <w:color w:val="000000" w:themeColor="text1"/>
          <w:sz w:val="24"/>
          <w:szCs w:val="24"/>
        </w:rPr>
        <w:t>Number of patients prescribed drugs during the continued prescription and PRN prescription periods, including ≤ 7 days after the first prescription date.</w:t>
      </w:r>
    </w:p>
    <w:tbl>
      <w:tblPr>
        <w:tblW w:w="9246" w:type="dxa"/>
        <w:tblCellMar>
          <w:left w:w="99" w:type="dxa"/>
          <w:right w:w="99" w:type="dxa"/>
        </w:tblCellMar>
        <w:tblLook w:val="04A0" w:firstRow="1" w:lastRow="0" w:firstColumn="1" w:lastColumn="0" w:noHBand="0" w:noVBand="1"/>
      </w:tblPr>
      <w:tblGrid>
        <w:gridCol w:w="1843"/>
        <w:gridCol w:w="965"/>
        <w:gridCol w:w="693"/>
        <w:gridCol w:w="1008"/>
        <w:gridCol w:w="783"/>
        <w:gridCol w:w="1186"/>
        <w:gridCol w:w="1138"/>
        <w:gridCol w:w="847"/>
        <w:gridCol w:w="783"/>
      </w:tblGrid>
      <w:tr w:rsidR="000B03C8" w:rsidRPr="001876AD" w14:paraId="363B06D9" w14:textId="77777777" w:rsidTr="00B76ADE">
        <w:trPr>
          <w:trHeight w:val="315"/>
        </w:trPr>
        <w:tc>
          <w:tcPr>
            <w:tcW w:w="1843" w:type="dxa"/>
            <w:vMerge w:val="restart"/>
            <w:tcBorders>
              <w:top w:val="single" w:sz="18" w:space="0" w:color="auto"/>
              <w:left w:val="nil"/>
              <w:right w:val="nil"/>
            </w:tcBorders>
            <w:noWrap/>
            <w:vAlign w:val="center"/>
            <w:hideMark/>
          </w:tcPr>
          <w:p w14:paraId="408D50FC" w14:textId="77777777" w:rsidR="000B03C8" w:rsidRPr="001876AD" w:rsidRDefault="000B03C8" w:rsidP="00B76ADE">
            <w:pPr>
              <w:snapToGrid w:val="0"/>
              <w:spacing w:line="480" w:lineRule="auto"/>
              <w:jc w:val="center"/>
              <w:rPr>
                <w:rFonts w:ascii="Times New Roman" w:eastAsia="Meiryo UI" w:hAnsi="Times New Roman"/>
                <w:color w:val="000000" w:themeColor="text1"/>
                <w:sz w:val="18"/>
                <w:szCs w:val="18"/>
              </w:rPr>
            </w:pPr>
            <w:r w:rsidRPr="001876AD">
              <w:rPr>
                <w:rFonts w:ascii="Times New Roman" w:eastAsia="Meiryo UI" w:hAnsi="Times New Roman"/>
                <w:b/>
                <w:color w:val="000000" w:themeColor="text1"/>
                <w:kern w:val="0"/>
                <w:sz w:val="18"/>
                <w:szCs w:val="18"/>
              </w:rPr>
              <w:t>Drug</w:t>
            </w:r>
          </w:p>
        </w:tc>
        <w:tc>
          <w:tcPr>
            <w:tcW w:w="1658" w:type="dxa"/>
            <w:gridSpan w:val="2"/>
            <w:vMerge w:val="restart"/>
            <w:tcBorders>
              <w:top w:val="single" w:sz="18" w:space="0" w:color="auto"/>
              <w:left w:val="nil"/>
              <w:right w:val="nil"/>
            </w:tcBorders>
            <w:noWrap/>
            <w:vAlign w:val="center"/>
            <w:hideMark/>
          </w:tcPr>
          <w:p w14:paraId="0868ABD1" w14:textId="77777777" w:rsidR="000B03C8" w:rsidRPr="001876AD" w:rsidRDefault="000B03C8" w:rsidP="00B76ADE">
            <w:pPr>
              <w:snapToGrid w:val="0"/>
              <w:spacing w:line="480" w:lineRule="auto"/>
              <w:jc w:val="center"/>
              <w:rPr>
                <w:rFonts w:ascii="Times New Roman" w:hAnsi="Times New Roman"/>
                <w:b/>
                <w:color w:val="000000" w:themeColor="text1"/>
                <w:kern w:val="0"/>
                <w:sz w:val="18"/>
                <w:szCs w:val="18"/>
              </w:rPr>
            </w:pPr>
            <w:r w:rsidRPr="001876AD">
              <w:rPr>
                <w:rFonts w:ascii="Times New Roman" w:eastAsia="Meiryo UI" w:hAnsi="Times New Roman"/>
                <w:b/>
                <w:color w:val="000000" w:themeColor="text1"/>
                <w:kern w:val="0"/>
                <w:sz w:val="18"/>
                <w:szCs w:val="18"/>
              </w:rPr>
              <w:t>Total number of patients</w:t>
            </w:r>
            <w:r w:rsidRPr="001876AD">
              <w:rPr>
                <w:rFonts w:ascii="Times New Roman" w:eastAsia="Meiryo UI" w:hAnsi="Times New Roman" w:hint="eastAsia"/>
                <w:b/>
                <w:color w:val="000000" w:themeColor="text1"/>
                <w:kern w:val="0"/>
                <w:sz w:val="20"/>
                <w:szCs w:val="20"/>
                <w:shd w:val="clear" w:color="auto" w:fill="FFFFFF" w:themeFill="background1"/>
              </w:rPr>
              <w:t xml:space="preserve"> </w:t>
            </w:r>
            <w:r w:rsidRPr="001876AD">
              <w:rPr>
                <w:rFonts w:ascii="Times New Roman" w:eastAsia="Meiryo UI" w:hAnsi="Times New Roman"/>
                <w:b/>
                <w:color w:val="000000" w:themeColor="text1"/>
                <w:kern w:val="0"/>
                <w:sz w:val="20"/>
                <w:szCs w:val="20"/>
                <w:shd w:val="clear" w:color="auto" w:fill="FFFFFF" w:themeFill="background1"/>
              </w:rPr>
              <w:t>(%)</w:t>
            </w:r>
          </w:p>
        </w:tc>
        <w:tc>
          <w:tcPr>
            <w:tcW w:w="4115" w:type="dxa"/>
            <w:gridSpan w:val="4"/>
            <w:tcBorders>
              <w:top w:val="single" w:sz="18" w:space="0" w:color="auto"/>
              <w:left w:val="nil"/>
              <w:bottom w:val="single" w:sz="4" w:space="0" w:color="auto"/>
              <w:right w:val="nil"/>
            </w:tcBorders>
            <w:noWrap/>
            <w:vAlign w:val="center"/>
            <w:hideMark/>
          </w:tcPr>
          <w:p w14:paraId="3294235B"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r w:rsidRPr="001876AD">
              <w:rPr>
                <w:rFonts w:ascii="Times New Roman" w:eastAsia="Meiryo UI" w:hAnsi="Times New Roman"/>
                <w:b/>
                <w:color w:val="000000" w:themeColor="text1"/>
                <w:kern w:val="0"/>
                <w:sz w:val="18"/>
                <w:szCs w:val="18"/>
              </w:rPr>
              <w:t>Continued prescription</w:t>
            </w:r>
          </w:p>
        </w:tc>
        <w:tc>
          <w:tcPr>
            <w:tcW w:w="1630" w:type="dxa"/>
            <w:gridSpan w:val="2"/>
            <w:tcBorders>
              <w:top w:val="single" w:sz="18" w:space="0" w:color="auto"/>
              <w:left w:val="nil"/>
              <w:bottom w:val="single" w:sz="4" w:space="0" w:color="auto"/>
              <w:right w:val="nil"/>
            </w:tcBorders>
            <w:noWrap/>
            <w:vAlign w:val="center"/>
            <w:hideMark/>
          </w:tcPr>
          <w:p w14:paraId="781D16E6" w14:textId="77777777" w:rsidR="000B03C8" w:rsidRPr="001876AD" w:rsidRDefault="000B03C8" w:rsidP="00B76ADE">
            <w:pPr>
              <w:widowControl/>
              <w:snapToGrid w:val="0"/>
              <w:spacing w:line="480" w:lineRule="auto"/>
              <w:jc w:val="center"/>
              <w:rPr>
                <w:rFonts w:ascii="Times New Roman" w:hAnsi="Times New Roman"/>
                <w:b/>
                <w:bCs/>
                <w:sz w:val="18"/>
                <w:szCs w:val="18"/>
              </w:rPr>
            </w:pPr>
            <w:r w:rsidRPr="001876AD">
              <w:rPr>
                <w:rFonts w:ascii="Times New Roman" w:hAnsi="Times New Roman"/>
                <w:b/>
                <w:bCs/>
                <w:sz w:val="18"/>
                <w:szCs w:val="18"/>
              </w:rPr>
              <w:t>PRN</w:t>
            </w:r>
          </w:p>
          <w:p w14:paraId="0F046247"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r w:rsidRPr="001876AD">
              <w:rPr>
                <w:rFonts w:ascii="Times New Roman" w:eastAsia="Meiryo UI" w:hAnsi="Times New Roman"/>
                <w:b/>
                <w:color w:val="000000" w:themeColor="text1"/>
                <w:kern w:val="0"/>
                <w:sz w:val="18"/>
                <w:szCs w:val="18"/>
              </w:rPr>
              <w:t>Prescription</w:t>
            </w:r>
          </w:p>
        </w:tc>
      </w:tr>
      <w:tr w:rsidR="000B03C8" w:rsidRPr="001876AD" w14:paraId="1E5CCCEC" w14:textId="77777777" w:rsidTr="00B76ADE">
        <w:trPr>
          <w:trHeight w:val="315"/>
        </w:trPr>
        <w:tc>
          <w:tcPr>
            <w:tcW w:w="1843" w:type="dxa"/>
            <w:vMerge/>
            <w:tcBorders>
              <w:left w:val="nil"/>
              <w:bottom w:val="single" w:sz="18" w:space="0" w:color="auto"/>
              <w:right w:val="nil"/>
            </w:tcBorders>
            <w:noWrap/>
            <w:vAlign w:val="center"/>
            <w:hideMark/>
          </w:tcPr>
          <w:p w14:paraId="1182907F"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658" w:type="dxa"/>
            <w:gridSpan w:val="2"/>
            <w:vMerge/>
            <w:tcBorders>
              <w:left w:val="nil"/>
              <w:bottom w:val="single" w:sz="18" w:space="0" w:color="auto"/>
              <w:right w:val="nil"/>
            </w:tcBorders>
            <w:noWrap/>
            <w:vAlign w:val="center"/>
            <w:hideMark/>
          </w:tcPr>
          <w:p w14:paraId="58EE0D8F"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p>
        </w:tc>
        <w:tc>
          <w:tcPr>
            <w:tcW w:w="1791" w:type="dxa"/>
            <w:gridSpan w:val="2"/>
            <w:tcBorders>
              <w:top w:val="single" w:sz="4" w:space="0" w:color="auto"/>
              <w:left w:val="nil"/>
              <w:bottom w:val="single" w:sz="18" w:space="0" w:color="auto"/>
              <w:right w:val="nil"/>
            </w:tcBorders>
            <w:noWrap/>
            <w:vAlign w:val="center"/>
            <w:hideMark/>
          </w:tcPr>
          <w:p w14:paraId="3F8B1458"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r w:rsidRPr="001876AD">
              <w:rPr>
                <w:rFonts w:ascii="Times New Roman" w:eastAsia="Meiryo UI" w:hAnsi="Times New Roman"/>
                <w:b/>
                <w:color w:val="000000" w:themeColor="text1"/>
                <w:kern w:val="0"/>
                <w:sz w:val="18"/>
                <w:szCs w:val="18"/>
              </w:rPr>
              <w:t>Number of patients</w:t>
            </w:r>
            <w:r w:rsidRPr="001876AD">
              <w:rPr>
                <w:rFonts w:ascii="Times New Roman" w:eastAsia="Meiryo UI" w:hAnsi="Times New Roman" w:hint="eastAsia"/>
                <w:b/>
                <w:color w:val="000000" w:themeColor="text1"/>
                <w:kern w:val="0"/>
                <w:sz w:val="20"/>
                <w:szCs w:val="20"/>
                <w:shd w:val="clear" w:color="auto" w:fill="FFFFFF" w:themeFill="background1"/>
              </w:rPr>
              <w:t xml:space="preserve"> </w:t>
            </w:r>
            <w:r w:rsidRPr="001876AD">
              <w:rPr>
                <w:rFonts w:ascii="Times New Roman" w:eastAsia="Meiryo UI" w:hAnsi="Times New Roman"/>
                <w:b/>
                <w:color w:val="000000" w:themeColor="text1"/>
                <w:kern w:val="0"/>
                <w:sz w:val="20"/>
                <w:szCs w:val="20"/>
                <w:shd w:val="clear" w:color="auto" w:fill="FFFFFF" w:themeFill="background1"/>
              </w:rPr>
              <w:t>(%)</w:t>
            </w:r>
          </w:p>
        </w:tc>
        <w:tc>
          <w:tcPr>
            <w:tcW w:w="1186" w:type="dxa"/>
            <w:tcBorders>
              <w:top w:val="single" w:sz="4" w:space="0" w:color="auto"/>
              <w:left w:val="nil"/>
              <w:bottom w:val="single" w:sz="18" w:space="0" w:color="auto"/>
              <w:right w:val="nil"/>
            </w:tcBorders>
            <w:noWrap/>
            <w:vAlign w:val="center"/>
            <w:hideMark/>
          </w:tcPr>
          <w:p w14:paraId="5598554D"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r w:rsidRPr="001876AD">
              <w:rPr>
                <w:rFonts w:ascii="Times New Roman" w:eastAsia="Meiryo UI" w:hAnsi="Times New Roman"/>
                <w:b/>
                <w:color w:val="000000" w:themeColor="text1"/>
                <w:kern w:val="0"/>
                <w:sz w:val="18"/>
                <w:szCs w:val="18"/>
              </w:rPr>
              <w:t>Number of patients × days</w:t>
            </w:r>
          </w:p>
        </w:tc>
        <w:tc>
          <w:tcPr>
            <w:tcW w:w="1138" w:type="dxa"/>
            <w:tcBorders>
              <w:top w:val="single" w:sz="4" w:space="0" w:color="auto"/>
              <w:left w:val="nil"/>
              <w:bottom w:val="single" w:sz="18" w:space="0" w:color="auto"/>
              <w:right w:val="nil"/>
            </w:tcBorders>
            <w:noWrap/>
            <w:vAlign w:val="center"/>
            <w:hideMark/>
          </w:tcPr>
          <w:p w14:paraId="500D42F0"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r w:rsidRPr="001876AD">
              <w:rPr>
                <w:rFonts w:ascii="Times New Roman" w:eastAsia="Meiryo UI" w:hAnsi="Times New Roman"/>
                <w:b/>
                <w:color w:val="000000" w:themeColor="text1"/>
                <w:kern w:val="0"/>
                <w:sz w:val="18"/>
                <w:szCs w:val="18"/>
              </w:rPr>
              <w:t>Mean prescription days</w:t>
            </w:r>
          </w:p>
        </w:tc>
        <w:tc>
          <w:tcPr>
            <w:tcW w:w="1630" w:type="dxa"/>
            <w:gridSpan w:val="2"/>
            <w:tcBorders>
              <w:top w:val="single" w:sz="4" w:space="0" w:color="auto"/>
              <w:left w:val="nil"/>
              <w:bottom w:val="single" w:sz="18" w:space="0" w:color="auto"/>
              <w:right w:val="nil"/>
            </w:tcBorders>
            <w:noWrap/>
            <w:vAlign w:val="center"/>
            <w:hideMark/>
          </w:tcPr>
          <w:p w14:paraId="27CDD478"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r w:rsidRPr="001876AD">
              <w:rPr>
                <w:rFonts w:ascii="Times New Roman" w:eastAsia="Meiryo UI" w:hAnsi="Times New Roman"/>
                <w:b/>
                <w:color w:val="000000" w:themeColor="text1"/>
                <w:kern w:val="0"/>
                <w:sz w:val="18"/>
                <w:szCs w:val="18"/>
              </w:rPr>
              <w:t>Number of patients</w:t>
            </w:r>
            <w:r w:rsidRPr="001876AD">
              <w:rPr>
                <w:rFonts w:ascii="Times New Roman" w:eastAsia="Meiryo UI" w:hAnsi="Times New Roman" w:hint="eastAsia"/>
                <w:b/>
                <w:color w:val="000000" w:themeColor="text1"/>
                <w:kern w:val="0"/>
                <w:sz w:val="18"/>
                <w:szCs w:val="18"/>
              </w:rPr>
              <w:t xml:space="preserve"> </w:t>
            </w:r>
            <w:r w:rsidRPr="001876AD">
              <w:rPr>
                <w:rFonts w:ascii="Times New Roman" w:eastAsia="Meiryo UI" w:hAnsi="Times New Roman"/>
                <w:b/>
                <w:color w:val="000000" w:themeColor="text1"/>
                <w:kern w:val="0"/>
                <w:sz w:val="20"/>
                <w:szCs w:val="20"/>
                <w:shd w:val="clear" w:color="auto" w:fill="FFFFFF" w:themeFill="background1"/>
              </w:rPr>
              <w:t>(%)</w:t>
            </w:r>
          </w:p>
        </w:tc>
      </w:tr>
      <w:tr w:rsidR="000B03C8" w:rsidRPr="001876AD" w14:paraId="5385C657" w14:textId="77777777" w:rsidTr="00B76ADE">
        <w:trPr>
          <w:trHeight w:val="315"/>
        </w:trPr>
        <w:tc>
          <w:tcPr>
            <w:tcW w:w="1843" w:type="dxa"/>
            <w:tcBorders>
              <w:top w:val="single" w:sz="18" w:space="0" w:color="auto"/>
              <w:left w:val="nil"/>
              <w:bottom w:val="single" w:sz="4" w:space="0" w:color="auto"/>
              <w:right w:val="nil"/>
            </w:tcBorders>
            <w:noWrap/>
            <w:vAlign w:val="bottom"/>
            <w:hideMark/>
          </w:tcPr>
          <w:p w14:paraId="692E3E97" w14:textId="77777777" w:rsidR="000B03C8" w:rsidRPr="001876AD" w:rsidRDefault="000B03C8" w:rsidP="00B76ADE">
            <w:pPr>
              <w:widowControl/>
              <w:snapToGrid w:val="0"/>
              <w:spacing w:line="480" w:lineRule="auto"/>
              <w:jc w:val="left"/>
              <w:rPr>
                <w:rFonts w:ascii="Times New Roman" w:eastAsia="Meiryo UI" w:hAnsi="Times New Roman"/>
                <w:bCs/>
                <w:color w:val="000000" w:themeColor="text1"/>
                <w:kern w:val="0"/>
                <w:sz w:val="18"/>
                <w:szCs w:val="18"/>
              </w:rPr>
            </w:pPr>
          </w:p>
        </w:tc>
        <w:tc>
          <w:tcPr>
            <w:tcW w:w="965" w:type="dxa"/>
            <w:tcBorders>
              <w:top w:val="single" w:sz="18" w:space="0" w:color="auto"/>
              <w:left w:val="nil"/>
              <w:bottom w:val="single" w:sz="4" w:space="0" w:color="auto"/>
              <w:right w:val="nil"/>
            </w:tcBorders>
            <w:noWrap/>
            <w:vAlign w:val="bottom"/>
            <w:hideMark/>
          </w:tcPr>
          <w:p w14:paraId="2E242449" w14:textId="77777777" w:rsidR="000B03C8" w:rsidRPr="001876AD" w:rsidRDefault="000B03C8" w:rsidP="00B76ADE">
            <w:pPr>
              <w:widowControl/>
              <w:snapToGrid w:val="0"/>
              <w:spacing w:line="480" w:lineRule="auto"/>
              <w:jc w:val="right"/>
              <w:rPr>
                <w:rFonts w:ascii="Times New Roman" w:eastAsia="Meiryo UI" w:hAnsi="Times New Roman"/>
                <w:bCs/>
                <w:color w:val="000000" w:themeColor="text1"/>
                <w:kern w:val="0"/>
                <w:sz w:val="18"/>
                <w:szCs w:val="18"/>
              </w:rPr>
            </w:pPr>
            <w:r w:rsidRPr="001876AD">
              <w:rPr>
                <w:rFonts w:ascii="Times New Roman" w:eastAsia="Meiryo UI" w:hAnsi="Times New Roman"/>
                <w:bCs/>
                <w:color w:val="000000" w:themeColor="text1"/>
                <w:kern w:val="0"/>
                <w:sz w:val="18"/>
                <w:szCs w:val="18"/>
              </w:rPr>
              <w:t>2,042,302</w:t>
            </w:r>
          </w:p>
        </w:tc>
        <w:tc>
          <w:tcPr>
            <w:tcW w:w="693" w:type="dxa"/>
            <w:tcBorders>
              <w:top w:val="single" w:sz="18" w:space="0" w:color="auto"/>
              <w:left w:val="nil"/>
              <w:bottom w:val="single" w:sz="4" w:space="0" w:color="auto"/>
              <w:right w:val="nil"/>
            </w:tcBorders>
            <w:noWrap/>
            <w:vAlign w:val="bottom"/>
            <w:hideMark/>
          </w:tcPr>
          <w:p w14:paraId="3B90E0E8" w14:textId="77777777" w:rsidR="000B03C8" w:rsidRPr="001876AD" w:rsidRDefault="000B03C8" w:rsidP="00B76ADE">
            <w:pPr>
              <w:widowControl/>
              <w:snapToGrid w:val="0"/>
              <w:spacing w:line="480" w:lineRule="auto"/>
              <w:jc w:val="left"/>
              <w:rPr>
                <w:rFonts w:ascii="Times New Roman" w:eastAsia="Meiryo UI" w:hAnsi="Times New Roman"/>
                <w:bCs/>
                <w:color w:val="000000" w:themeColor="text1"/>
                <w:kern w:val="0"/>
                <w:sz w:val="18"/>
                <w:szCs w:val="18"/>
              </w:rPr>
            </w:pPr>
          </w:p>
        </w:tc>
        <w:tc>
          <w:tcPr>
            <w:tcW w:w="1008" w:type="dxa"/>
            <w:tcBorders>
              <w:top w:val="single" w:sz="18" w:space="0" w:color="auto"/>
              <w:left w:val="nil"/>
              <w:bottom w:val="single" w:sz="4" w:space="0" w:color="auto"/>
              <w:right w:val="nil"/>
            </w:tcBorders>
            <w:noWrap/>
            <w:vAlign w:val="bottom"/>
            <w:hideMark/>
          </w:tcPr>
          <w:p w14:paraId="4010FCB2" w14:textId="77777777" w:rsidR="000B03C8" w:rsidRPr="001876AD" w:rsidRDefault="000B03C8" w:rsidP="00B76ADE">
            <w:pPr>
              <w:widowControl/>
              <w:snapToGrid w:val="0"/>
              <w:spacing w:line="480" w:lineRule="auto"/>
              <w:jc w:val="right"/>
              <w:rPr>
                <w:rFonts w:ascii="Times New Roman" w:eastAsia="Meiryo UI" w:hAnsi="Times New Roman"/>
                <w:bCs/>
                <w:color w:val="000000" w:themeColor="text1"/>
                <w:kern w:val="0"/>
                <w:sz w:val="18"/>
                <w:szCs w:val="18"/>
              </w:rPr>
            </w:pPr>
            <w:r w:rsidRPr="001876AD">
              <w:rPr>
                <w:rFonts w:ascii="Times New Roman" w:eastAsia="Meiryo UI" w:hAnsi="Times New Roman"/>
                <w:bCs/>
                <w:color w:val="000000" w:themeColor="text1"/>
                <w:kern w:val="0"/>
                <w:sz w:val="18"/>
                <w:szCs w:val="18"/>
              </w:rPr>
              <w:t>1,306,819</w:t>
            </w:r>
          </w:p>
        </w:tc>
        <w:tc>
          <w:tcPr>
            <w:tcW w:w="783" w:type="dxa"/>
            <w:tcBorders>
              <w:top w:val="single" w:sz="18" w:space="0" w:color="auto"/>
              <w:left w:val="nil"/>
              <w:bottom w:val="single" w:sz="4" w:space="0" w:color="auto"/>
              <w:right w:val="nil"/>
            </w:tcBorders>
            <w:noWrap/>
            <w:vAlign w:val="bottom"/>
            <w:hideMark/>
          </w:tcPr>
          <w:p w14:paraId="66BB1F64" w14:textId="77777777" w:rsidR="000B03C8" w:rsidRPr="001876AD" w:rsidRDefault="000B03C8" w:rsidP="00B76ADE">
            <w:pPr>
              <w:widowControl/>
              <w:snapToGrid w:val="0"/>
              <w:spacing w:line="480" w:lineRule="auto"/>
              <w:jc w:val="left"/>
              <w:rPr>
                <w:rFonts w:ascii="Times New Roman" w:eastAsia="Meiryo UI" w:hAnsi="Times New Roman"/>
                <w:bCs/>
                <w:color w:val="000000" w:themeColor="text1"/>
                <w:kern w:val="0"/>
                <w:sz w:val="18"/>
                <w:szCs w:val="18"/>
              </w:rPr>
            </w:pPr>
          </w:p>
        </w:tc>
        <w:tc>
          <w:tcPr>
            <w:tcW w:w="1186" w:type="dxa"/>
            <w:tcBorders>
              <w:top w:val="single" w:sz="18" w:space="0" w:color="auto"/>
              <w:left w:val="nil"/>
              <w:bottom w:val="single" w:sz="4" w:space="0" w:color="auto"/>
              <w:right w:val="nil"/>
            </w:tcBorders>
            <w:noWrap/>
            <w:vAlign w:val="bottom"/>
            <w:hideMark/>
          </w:tcPr>
          <w:p w14:paraId="33B01A4B" w14:textId="77777777" w:rsidR="000B03C8" w:rsidRPr="001876AD" w:rsidRDefault="000B03C8" w:rsidP="00B76ADE">
            <w:pPr>
              <w:widowControl/>
              <w:snapToGrid w:val="0"/>
              <w:spacing w:line="480" w:lineRule="auto"/>
              <w:jc w:val="left"/>
              <w:rPr>
                <w:rFonts w:ascii="Times New Roman" w:eastAsia="Meiryo UI" w:hAnsi="Times New Roman"/>
                <w:bCs/>
                <w:color w:val="000000" w:themeColor="text1"/>
                <w:kern w:val="0"/>
                <w:sz w:val="18"/>
                <w:szCs w:val="18"/>
              </w:rPr>
            </w:pPr>
          </w:p>
        </w:tc>
        <w:tc>
          <w:tcPr>
            <w:tcW w:w="1138" w:type="dxa"/>
            <w:tcBorders>
              <w:top w:val="single" w:sz="18" w:space="0" w:color="auto"/>
              <w:left w:val="nil"/>
              <w:bottom w:val="single" w:sz="4" w:space="0" w:color="auto"/>
              <w:right w:val="nil"/>
            </w:tcBorders>
            <w:noWrap/>
            <w:vAlign w:val="bottom"/>
            <w:hideMark/>
          </w:tcPr>
          <w:p w14:paraId="05ED765B" w14:textId="77777777" w:rsidR="000B03C8" w:rsidRPr="001876AD" w:rsidRDefault="000B03C8" w:rsidP="00B76ADE">
            <w:pPr>
              <w:widowControl/>
              <w:snapToGrid w:val="0"/>
              <w:spacing w:line="480" w:lineRule="auto"/>
              <w:jc w:val="left"/>
              <w:rPr>
                <w:rFonts w:ascii="Times New Roman" w:eastAsia="Meiryo UI" w:hAnsi="Times New Roman"/>
                <w:bCs/>
                <w:color w:val="000000" w:themeColor="text1"/>
                <w:kern w:val="0"/>
                <w:sz w:val="18"/>
                <w:szCs w:val="18"/>
              </w:rPr>
            </w:pPr>
          </w:p>
        </w:tc>
        <w:tc>
          <w:tcPr>
            <w:tcW w:w="847" w:type="dxa"/>
            <w:tcBorders>
              <w:top w:val="single" w:sz="18" w:space="0" w:color="auto"/>
              <w:left w:val="nil"/>
              <w:bottom w:val="single" w:sz="4" w:space="0" w:color="auto"/>
              <w:right w:val="nil"/>
            </w:tcBorders>
            <w:noWrap/>
            <w:vAlign w:val="bottom"/>
            <w:hideMark/>
          </w:tcPr>
          <w:p w14:paraId="01E24300" w14:textId="77777777" w:rsidR="000B03C8" w:rsidRPr="001876AD" w:rsidRDefault="000B03C8" w:rsidP="00B76ADE">
            <w:pPr>
              <w:widowControl/>
              <w:snapToGrid w:val="0"/>
              <w:spacing w:line="480" w:lineRule="auto"/>
              <w:jc w:val="right"/>
              <w:rPr>
                <w:rFonts w:ascii="Times New Roman" w:eastAsia="Meiryo UI" w:hAnsi="Times New Roman"/>
                <w:bCs/>
                <w:color w:val="000000" w:themeColor="text1"/>
                <w:kern w:val="0"/>
                <w:sz w:val="18"/>
                <w:szCs w:val="18"/>
              </w:rPr>
            </w:pPr>
            <w:r w:rsidRPr="001876AD">
              <w:rPr>
                <w:rFonts w:ascii="Times New Roman" w:eastAsia="Meiryo UI" w:hAnsi="Times New Roman"/>
                <w:bCs/>
                <w:color w:val="000000" w:themeColor="text1"/>
                <w:kern w:val="0"/>
                <w:sz w:val="18"/>
                <w:szCs w:val="18"/>
              </w:rPr>
              <w:t>864, 864</w:t>
            </w:r>
          </w:p>
        </w:tc>
        <w:tc>
          <w:tcPr>
            <w:tcW w:w="783" w:type="dxa"/>
            <w:tcBorders>
              <w:top w:val="single" w:sz="18" w:space="0" w:color="auto"/>
              <w:left w:val="nil"/>
              <w:bottom w:val="single" w:sz="4" w:space="0" w:color="auto"/>
              <w:right w:val="nil"/>
            </w:tcBorders>
            <w:noWrap/>
            <w:vAlign w:val="bottom"/>
            <w:hideMark/>
          </w:tcPr>
          <w:p w14:paraId="6031047B" w14:textId="77777777" w:rsidR="000B03C8" w:rsidRPr="001876AD" w:rsidRDefault="000B03C8" w:rsidP="00B76ADE">
            <w:pPr>
              <w:widowControl/>
              <w:snapToGrid w:val="0"/>
              <w:spacing w:line="480" w:lineRule="auto"/>
              <w:jc w:val="left"/>
              <w:rPr>
                <w:rFonts w:ascii="Times New Roman" w:eastAsia="Meiryo UI" w:hAnsi="Times New Roman"/>
                <w:bCs/>
                <w:color w:val="000000" w:themeColor="text1"/>
                <w:kern w:val="0"/>
                <w:sz w:val="18"/>
                <w:szCs w:val="18"/>
              </w:rPr>
            </w:pPr>
          </w:p>
        </w:tc>
      </w:tr>
      <w:tr w:rsidR="000B03C8" w:rsidRPr="001876AD" w14:paraId="59DD918D" w14:textId="77777777" w:rsidTr="00B76ADE">
        <w:trPr>
          <w:trHeight w:val="315"/>
        </w:trPr>
        <w:tc>
          <w:tcPr>
            <w:tcW w:w="1843" w:type="dxa"/>
            <w:tcBorders>
              <w:top w:val="single" w:sz="4" w:space="0" w:color="auto"/>
            </w:tcBorders>
            <w:noWrap/>
            <w:vAlign w:val="bottom"/>
            <w:hideMark/>
          </w:tcPr>
          <w:p w14:paraId="4E16D86A"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Acetaminophen</w:t>
            </w:r>
          </w:p>
        </w:tc>
        <w:tc>
          <w:tcPr>
            <w:tcW w:w="965" w:type="dxa"/>
            <w:tcBorders>
              <w:top w:val="single" w:sz="4" w:space="0" w:color="auto"/>
            </w:tcBorders>
            <w:noWrap/>
            <w:vAlign w:val="bottom"/>
            <w:hideMark/>
          </w:tcPr>
          <w:p w14:paraId="5D79280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753,426</w:t>
            </w:r>
          </w:p>
        </w:tc>
        <w:tc>
          <w:tcPr>
            <w:tcW w:w="693" w:type="dxa"/>
            <w:tcBorders>
              <w:top w:val="single" w:sz="4" w:space="0" w:color="auto"/>
            </w:tcBorders>
            <w:noWrap/>
            <w:vAlign w:val="bottom"/>
            <w:hideMark/>
          </w:tcPr>
          <w:p w14:paraId="0C02A13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36.9</w:t>
            </w:r>
            <w:r w:rsidRPr="001876AD">
              <w:rPr>
                <w:rFonts w:ascii="Times New Roman" w:eastAsia="Meiryo UI" w:hAnsi="Times New Roman" w:hint="eastAsia"/>
                <w:color w:val="000000" w:themeColor="text1"/>
                <w:kern w:val="0"/>
                <w:sz w:val="18"/>
                <w:szCs w:val="18"/>
              </w:rPr>
              <w:t>)</w:t>
            </w:r>
          </w:p>
        </w:tc>
        <w:tc>
          <w:tcPr>
            <w:tcW w:w="1008" w:type="dxa"/>
            <w:tcBorders>
              <w:top w:val="single" w:sz="4" w:space="0" w:color="auto"/>
            </w:tcBorders>
            <w:noWrap/>
            <w:vAlign w:val="bottom"/>
            <w:hideMark/>
          </w:tcPr>
          <w:p w14:paraId="5BEF85A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215,461</w:t>
            </w:r>
          </w:p>
        </w:tc>
        <w:tc>
          <w:tcPr>
            <w:tcW w:w="783" w:type="dxa"/>
            <w:tcBorders>
              <w:top w:val="single" w:sz="4" w:space="0" w:color="auto"/>
            </w:tcBorders>
            <w:noWrap/>
            <w:vAlign w:val="bottom"/>
            <w:hideMark/>
          </w:tcPr>
          <w:p w14:paraId="0EE86817"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16.5</w:t>
            </w:r>
            <w:r w:rsidRPr="001876AD">
              <w:rPr>
                <w:rFonts w:ascii="Times New Roman" w:eastAsia="Meiryo UI" w:hAnsi="Times New Roman" w:hint="eastAsia"/>
                <w:color w:val="000000" w:themeColor="text1"/>
                <w:kern w:val="0"/>
                <w:sz w:val="18"/>
                <w:szCs w:val="18"/>
              </w:rPr>
              <w:t>)</w:t>
            </w:r>
          </w:p>
        </w:tc>
        <w:tc>
          <w:tcPr>
            <w:tcW w:w="1186" w:type="dxa"/>
            <w:tcBorders>
              <w:top w:val="single" w:sz="4" w:space="0" w:color="auto"/>
            </w:tcBorders>
            <w:noWrap/>
            <w:vAlign w:val="bottom"/>
            <w:hideMark/>
          </w:tcPr>
          <w:p w14:paraId="04EDE1D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2, 135,215</w:t>
            </w:r>
          </w:p>
        </w:tc>
        <w:tc>
          <w:tcPr>
            <w:tcW w:w="1138" w:type="dxa"/>
            <w:tcBorders>
              <w:top w:val="single" w:sz="4" w:space="0" w:color="auto"/>
            </w:tcBorders>
            <w:noWrap/>
            <w:vAlign w:val="bottom"/>
            <w:hideMark/>
          </w:tcPr>
          <w:p w14:paraId="34FDEAB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9.9</w:t>
            </w:r>
          </w:p>
        </w:tc>
        <w:tc>
          <w:tcPr>
            <w:tcW w:w="847" w:type="dxa"/>
            <w:tcBorders>
              <w:top w:val="single" w:sz="4" w:space="0" w:color="auto"/>
            </w:tcBorders>
            <w:noWrap/>
            <w:vAlign w:val="bottom"/>
            <w:hideMark/>
          </w:tcPr>
          <w:p w14:paraId="0C235B9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545,531</w:t>
            </w:r>
          </w:p>
        </w:tc>
        <w:tc>
          <w:tcPr>
            <w:tcW w:w="783" w:type="dxa"/>
            <w:tcBorders>
              <w:top w:val="single" w:sz="4" w:space="0" w:color="auto"/>
            </w:tcBorders>
            <w:noWrap/>
            <w:vAlign w:val="bottom"/>
            <w:hideMark/>
          </w:tcPr>
          <w:p w14:paraId="437E285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63.1</w:t>
            </w:r>
            <w:r w:rsidRPr="001876AD">
              <w:rPr>
                <w:rFonts w:ascii="Times New Roman" w:eastAsia="Meiryo UI" w:hAnsi="Times New Roman" w:hint="eastAsia"/>
                <w:color w:val="000000" w:themeColor="text1"/>
                <w:kern w:val="0"/>
                <w:sz w:val="18"/>
                <w:szCs w:val="18"/>
              </w:rPr>
              <w:t>)</w:t>
            </w:r>
          </w:p>
        </w:tc>
      </w:tr>
      <w:tr w:rsidR="000B03C8" w:rsidRPr="001876AD" w14:paraId="5A8FD4F0" w14:textId="77777777" w:rsidTr="00B76ADE">
        <w:trPr>
          <w:trHeight w:val="315"/>
        </w:trPr>
        <w:tc>
          <w:tcPr>
            <w:tcW w:w="1843" w:type="dxa"/>
            <w:noWrap/>
            <w:vAlign w:val="bottom"/>
            <w:hideMark/>
          </w:tcPr>
          <w:p w14:paraId="2425BE2B"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Loxoprofen</w:t>
            </w:r>
          </w:p>
        </w:tc>
        <w:tc>
          <w:tcPr>
            <w:tcW w:w="965" w:type="dxa"/>
            <w:noWrap/>
            <w:vAlign w:val="bottom"/>
            <w:hideMark/>
          </w:tcPr>
          <w:p w14:paraId="56FD395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645,590</w:t>
            </w:r>
          </w:p>
        </w:tc>
        <w:tc>
          <w:tcPr>
            <w:tcW w:w="693" w:type="dxa"/>
            <w:noWrap/>
            <w:vAlign w:val="bottom"/>
            <w:hideMark/>
          </w:tcPr>
          <w:p w14:paraId="4B8D572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31.6</w:t>
            </w:r>
            <w:r w:rsidRPr="001876AD">
              <w:rPr>
                <w:rFonts w:ascii="Times New Roman" w:eastAsia="Meiryo UI" w:hAnsi="Times New Roman" w:hint="eastAsia"/>
                <w:color w:val="000000" w:themeColor="text1"/>
                <w:kern w:val="0"/>
                <w:sz w:val="18"/>
                <w:szCs w:val="18"/>
              </w:rPr>
              <w:t>)</w:t>
            </w:r>
          </w:p>
        </w:tc>
        <w:tc>
          <w:tcPr>
            <w:tcW w:w="1008" w:type="dxa"/>
            <w:noWrap/>
            <w:vAlign w:val="bottom"/>
            <w:hideMark/>
          </w:tcPr>
          <w:p w14:paraId="08566FB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413,924</w:t>
            </w:r>
          </w:p>
        </w:tc>
        <w:tc>
          <w:tcPr>
            <w:tcW w:w="783" w:type="dxa"/>
            <w:noWrap/>
            <w:vAlign w:val="bottom"/>
            <w:hideMark/>
          </w:tcPr>
          <w:p w14:paraId="7709219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31.7</w:t>
            </w:r>
            <w:r w:rsidRPr="001876AD">
              <w:rPr>
                <w:rFonts w:ascii="Times New Roman" w:eastAsia="Meiryo UI" w:hAnsi="Times New Roman" w:hint="eastAsia"/>
                <w:color w:val="000000" w:themeColor="text1"/>
                <w:kern w:val="0"/>
                <w:sz w:val="18"/>
                <w:szCs w:val="18"/>
              </w:rPr>
              <w:t>)</w:t>
            </w:r>
          </w:p>
        </w:tc>
        <w:tc>
          <w:tcPr>
            <w:tcW w:w="1186" w:type="dxa"/>
            <w:noWrap/>
            <w:vAlign w:val="bottom"/>
            <w:hideMark/>
          </w:tcPr>
          <w:p w14:paraId="345B653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5, 363,493</w:t>
            </w:r>
          </w:p>
        </w:tc>
        <w:tc>
          <w:tcPr>
            <w:tcW w:w="1138" w:type="dxa"/>
            <w:noWrap/>
            <w:vAlign w:val="bottom"/>
            <w:hideMark/>
          </w:tcPr>
          <w:p w14:paraId="3146DF7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13.0</w:t>
            </w:r>
          </w:p>
        </w:tc>
        <w:tc>
          <w:tcPr>
            <w:tcW w:w="847" w:type="dxa"/>
            <w:noWrap/>
            <w:vAlign w:val="bottom"/>
            <w:hideMark/>
          </w:tcPr>
          <w:p w14:paraId="06F70AE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239,009</w:t>
            </w:r>
          </w:p>
        </w:tc>
        <w:tc>
          <w:tcPr>
            <w:tcW w:w="783" w:type="dxa"/>
            <w:noWrap/>
            <w:vAlign w:val="bottom"/>
            <w:hideMark/>
          </w:tcPr>
          <w:p w14:paraId="4E6A2EB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27.6</w:t>
            </w:r>
            <w:r w:rsidRPr="001876AD">
              <w:rPr>
                <w:rFonts w:ascii="Times New Roman" w:eastAsia="Meiryo UI" w:hAnsi="Times New Roman" w:hint="eastAsia"/>
                <w:color w:val="000000" w:themeColor="text1"/>
                <w:kern w:val="0"/>
                <w:sz w:val="18"/>
                <w:szCs w:val="18"/>
              </w:rPr>
              <w:t>)</w:t>
            </w:r>
          </w:p>
        </w:tc>
      </w:tr>
      <w:tr w:rsidR="000B03C8" w:rsidRPr="001876AD" w14:paraId="5A58C339" w14:textId="77777777" w:rsidTr="00B76ADE">
        <w:trPr>
          <w:trHeight w:val="315"/>
        </w:trPr>
        <w:tc>
          <w:tcPr>
            <w:tcW w:w="1843" w:type="dxa"/>
            <w:noWrap/>
            <w:vAlign w:val="bottom"/>
            <w:hideMark/>
          </w:tcPr>
          <w:p w14:paraId="5AE8D194"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Acetaminophen combinations</w:t>
            </w:r>
          </w:p>
        </w:tc>
        <w:tc>
          <w:tcPr>
            <w:tcW w:w="965" w:type="dxa"/>
            <w:noWrap/>
            <w:vAlign w:val="bottom"/>
            <w:hideMark/>
          </w:tcPr>
          <w:p w14:paraId="30BD052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228,858</w:t>
            </w:r>
          </w:p>
        </w:tc>
        <w:tc>
          <w:tcPr>
            <w:tcW w:w="693" w:type="dxa"/>
            <w:noWrap/>
            <w:vAlign w:val="bottom"/>
            <w:hideMark/>
          </w:tcPr>
          <w:p w14:paraId="5E7BF366"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11.2</w:t>
            </w:r>
            <w:r w:rsidRPr="001876AD">
              <w:rPr>
                <w:rFonts w:ascii="Times New Roman" w:eastAsia="Meiryo UI" w:hAnsi="Times New Roman" w:hint="eastAsia"/>
                <w:color w:val="000000" w:themeColor="text1"/>
                <w:kern w:val="0"/>
                <w:sz w:val="18"/>
                <w:szCs w:val="18"/>
              </w:rPr>
              <w:t>)</w:t>
            </w:r>
          </w:p>
        </w:tc>
        <w:tc>
          <w:tcPr>
            <w:tcW w:w="1008" w:type="dxa"/>
            <w:noWrap/>
            <w:vAlign w:val="bottom"/>
            <w:hideMark/>
          </w:tcPr>
          <w:p w14:paraId="5435736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222,952</w:t>
            </w:r>
          </w:p>
        </w:tc>
        <w:tc>
          <w:tcPr>
            <w:tcW w:w="783" w:type="dxa"/>
            <w:noWrap/>
            <w:vAlign w:val="bottom"/>
            <w:hideMark/>
          </w:tcPr>
          <w:p w14:paraId="2199577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17.1</w:t>
            </w:r>
            <w:r w:rsidRPr="001876AD">
              <w:rPr>
                <w:rFonts w:ascii="Times New Roman" w:eastAsia="Meiryo UI" w:hAnsi="Times New Roman" w:hint="eastAsia"/>
                <w:color w:val="000000" w:themeColor="text1"/>
                <w:kern w:val="0"/>
                <w:sz w:val="18"/>
                <w:szCs w:val="18"/>
              </w:rPr>
              <w:t>)</w:t>
            </w:r>
          </w:p>
        </w:tc>
        <w:tc>
          <w:tcPr>
            <w:tcW w:w="1186" w:type="dxa"/>
            <w:noWrap/>
            <w:vAlign w:val="bottom"/>
            <w:hideMark/>
          </w:tcPr>
          <w:p w14:paraId="12BC4AC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1,315,843</w:t>
            </w:r>
          </w:p>
        </w:tc>
        <w:tc>
          <w:tcPr>
            <w:tcW w:w="1138" w:type="dxa"/>
            <w:noWrap/>
            <w:vAlign w:val="bottom"/>
            <w:hideMark/>
          </w:tcPr>
          <w:p w14:paraId="5C8DFED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5.9</w:t>
            </w:r>
          </w:p>
        </w:tc>
        <w:tc>
          <w:tcPr>
            <w:tcW w:w="847" w:type="dxa"/>
            <w:noWrap/>
            <w:vAlign w:val="bottom"/>
            <w:hideMark/>
          </w:tcPr>
          <w:p w14:paraId="4E75BD8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6,543</w:t>
            </w:r>
          </w:p>
        </w:tc>
        <w:tc>
          <w:tcPr>
            <w:tcW w:w="783" w:type="dxa"/>
            <w:noWrap/>
            <w:vAlign w:val="bottom"/>
            <w:hideMark/>
          </w:tcPr>
          <w:p w14:paraId="15F45B2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0.8</w:t>
            </w:r>
            <w:r w:rsidRPr="001876AD">
              <w:rPr>
                <w:rFonts w:ascii="Times New Roman" w:eastAsia="Meiryo UI" w:hAnsi="Times New Roman" w:hint="eastAsia"/>
                <w:color w:val="000000" w:themeColor="text1"/>
                <w:kern w:val="0"/>
                <w:sz w:val="18"/>
                <w:szCs w:val="18"/>
              </w:rPr>
              <w:t>)</w:t>
            </w:r>
          </w:p>
        </w:tc>
      </w:tr>
      <w:tr w:rsidR="000B03C8" w:rsidRPr="001876AD" w14:paraId="007DC2EF" w14:textId="77777777" w:rsidTr="00B76ADE">
        <w:trPr>
          <w:trHeight w:val="315"/>
        </w:trPr>
        <w:tc>
          <w:tcPr>
            <w:tcW w:w="1843" w:type="dxa"/>
            <w:noWrap/>
            <w:vAlign w:val="bottom"/>
            <w:hideMark/>
          </w:tcPr>
          <w:p w14:paraId="1A46516E"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Celecoxib</w:t>
            </w:r>
          </w:p>
        </w:tc>
        <w:tc>
          <w:tcPr>
            <w:tcW w:w="965" w:type="dxa"/>
            <w:noWrap/>
            <w:vAlign w:val="bottom"/>
            <w:hideMark/>
          </w:tcPr>
          <w:p w14:paraId="16AE95C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114,991</w:t>
            </w:r>
          </w:p>
        </w:tc>
        <w:tc>
          <w:tcPr>
            <w:tcW w:w="693" w:type="dxa"/>
            <w:noWrap/>
            <w:vAlign w:val="bottom"/>
            <w:hideMark/>
          </w:tcPr>
          <w:p w14:paraId="42B471D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5.6</w:t>
            </w:r>
            <w:r w:rsidRPr="001876AD">
              <w:rPr>
                <w:rFonts w:ascii="Times New Roman" w:eastAsia="Meiryo UI" w:hAnsi="Times New Roman" w:hint="eastAsia"/>
                <w:color w:val="000000" w:themeColor="text1"/>
                <w:kern w:val="0"/>
                <w:sz w:val="18"/>
                <w:szCs w:val="18"/>
              </w:rPr>
              <w:t>)</w:t>
            </w:r>
          </w:p>
        </w:tc>
        <w:tc>
          <w:tcPr>
            <w:tcW w:w="1008" w:type="dxa"/>
            <w:noWrap/>
            <w:vAlign w:val="bottom"/>
            <w:hideMark/>
          </w:tcPr>
          <w:p w14:paraId="1F81408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109,607</w:t>
            </w:r>
          </w:p>
        </w:tc>
        <w:tc>
          <w:tcPr>
            <w:tcW w:w="783" w:type="dxa"/>
            <w:noWrap/>
            <w:vAlign w:val="bottom"/>
            <w:hideMark/>
          </w:tcPr>
          <w:p w14:paraId="3C95E7B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8.4</w:t>
            </w:r>
            <w:r w:rsidRPr="001876AD">
              <w:rPr>
                <w:rFonts w:ascii="Times New Roman" w:eastAsia="Meiryo UI" w:hAnsi="Times New Roman" w:hint="eastAsia"/>
                <w:color w:val="000000" w:themeColor="text1"/>
                <w:kern w:val="0"/>
                <w:sz w:val="18"/>
                <w:szCs w:val="18"/>
              </w:rPr>
              <w:t>)</w:t>
            </w:r>
          </w:p>
        </w:tc>
        <w:tc>
          <w:tcPr>
            <w:tcW w:w="1186" w:type="dxa"/>
            <w:noWrap/>
            <w:vAlign w:val="bottom"/>
            <w:hideMark/>
          </w:tcPr>
          <w:p w14:paraId="5DE8364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2, 949,333</w:t>
            </w:r>
          </w:p>
        </w:tc>
        <w:tc>
          <w:tcPr>
            <w:tcW w:w="1138" w:type="dxa"/>
            <w:noWrap/>
            <w:vAlign w:val="bottom"/>
            <w:hideMark/>
          </w:tcPr>
          <w:p w14:paraId="3077C60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26.9</w:t>
            </w:r>
          </w:p>
        </w:tc>
        <w:tc>
          <w:tcPr>
            <w:tcW w:w="847" w:type="dxa"/>
            <w:noWrap/>
            <w:vAlign w:val="bottom"/>
            <w:hideMark/>
          </w:tcPr>
          <w:p w14:paraId="7DF4816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6,066</w:t>
            </w:r>
          </w:p>
        </w:tc>
        <w:tc>
          <w:tcPr>
            <w:tcW w:w="783" w:type="dxa"/>
            <w:noWrap/>
            <w:vAlign w:val="bottom"/>
            <w:hideMark/>
          </w:tcPr>
          <w:p w14:paraId="28167470"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0.7</w:t>
            </w:r>
            <w:r w:rsidRPr="001876AD">
              <w:rPr>
                <w:rFonts w:ascii="Times New Roman" w:eastAsia="Meiryo UI" w:hAnsi="Times New Roman" w:hint="eastAsia"/>
                <w:color w:val="000000" w:themeColor="text1"/>
                <w:kern w:val="0"/>
                <w:sz w:val="18"/>
                <w:szCs w:val="18"/>
              </w:rPr>
              <w:t>)</w:t>
            </w:r>
          </w:p>
        </w:tc>
      </w:tr>
      <w:tr w:rsidR="000B03C8" w:rsidRPr="001876AD" w14:paraId="7E7D65CE" w14:textId="77777777" w:rsidTr="00B76ADE">
        <w:trPr>
          <w:trHeight w:val="315"/>
        </w:trPr>
        <w:tc>
          <w:tcPr>
            <w:tcW w:w="1843" w:type="dxa"/>
            <w:noWrap/>
            <w:vAlign w:val="bottom"/>
            <w:hideMark/>
          </w:tcPr>
          <w:p w14:paraId="73AC00EB"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sz w:val="18"/>
                <w:szCs w:val="18"/>
              </w:rPr>
              <w:t>Kakkon-to</w:t>
            </w:r>
            <w:r w:rsidRPr="001876AD">
              <w:rPr>
                <w:rFonts w:ascii="Times New Roman" w:eastAsia="Meiryo UI" w:hAnsi="Times New Roman" w:hint="eastAsia"/>
                <w:color w:val="000000" w:themeColor="text1"/>
                <w:sz w:val="18"/>
                <w:szCs w:val="18"/>
                <w:vertAlign w:val="superscript"/>
              </w:rPr>
              <w:t>a</w:t>
            </w:r>
          </w:p>
        </w:tc>
        <w:tc>
          <w:tcPr>
            <w:tcW w:w="965" w:type="dxa"/>
            <w:noWrap/>
            <w:vAlign w:val="bottom"/>
            <w:hideMark/>
          </w:tcPr>
          <w:p w14:paraId="28AC3D1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57, 511</w:t>
            </w:r>
          </w:p>
        </w:tc>
        <w:tc>
          <w:tcPr>
            <w:tcW w:w="693" w:type="dxa"/>
            <w:noWrap/>
            <w:vAlign w:val="bottom"/>
            <w:hideMark/>
          </w:tcPr>
          <w:p w14:paraId="72B1961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2.8</w:t>
            </w:r>
            <w:r w:rsidRPr="001876AD">
              <w:rPr>
                <w:rFonts w:ascii="Times New Roman" w:eastAsia="Meiryo UI" w:hAnsi="Times New Roman" w:hint="eastAsia"/>
                <w:color w:val="000000" w:themeColor="text1"/>
                <w:kern w:val="0"/>
                <w:sz w:val="18"/>
                <w:szCs w:val="18"/>
              </w:rPr>
              <w:t>)</w:t>
            </w:r>
          </w:p>
        </w:tc>
        <w:tc>
          <w:tcPr>
            <w:tcW w:w="1008" w:type="dxa"/>
            <w:noWrap/>
            <w:vAlign w:val="bottom"/>
            <w:hideMark/>
          </w:tcPr>
          <w:p w14:paraId="21D8DE2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56,986</w:t>
            </w:r>
          </w:p>
        </w:tc>
        <w:tc>
          <w:tcPr>
            <w:tcW w:w="783" w:type="dxa"/>
            <w:noWrap/>
            <w:vAlign w:val="bottom"/>
            <w:hideMark/>
          </w:tcPr>
          <w:p w14:paraId="17CF75A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4.4</w:t>
            </w:r>
            <w:r w:rsidRPr="001876AD">
              <w:rPr>
                <w:rFonts w:ascii="Times New Roman" w:eastAsia="Meiryo UI" w:hAnsi="Times New Roman" w:hint="eastAsia"/>
                <w:color w:val="000000" w:themeColor="text1"/>
                <w:kern w:val="0"/>
                <w:sz w:val="18"/>
                <w:szCs w:val="18"/>
              </w:rPr>
              <w:t>)</w:t>
            </w:r>
          </w:p>
        </w:tc>
        <w:tc>
          <w:tcPr>
            <w:tcW w:w="1186" w:type="dxa"/>
            <w:noWrap/>
            <w:vAlign w:val="bottom"/>
            <w:hideMark/>
          </w:tcPr>
          <w:p w14:paraId="0CE26330"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512,790</w:t>
            </w:r>
          </w:p>
        </w:tc>
        <w:tc>
          <w:tcPr>
            <w:tcW w:w="1138" w:type="dxa"/>
            <w:noWrap/>
            <w:vAlign w:val="bottom"/>
            <w:hideMark/>
          </w:tcPr>
          <w:p w14:paraId="6403ED2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9.0</w:t>
            </w:r>
          </w:p>
        </w:tc>
        <w:tc>
          <w:tcPr>
            <w:tcW w:w="847" w:type="dxa"/>
            <w:noWrap/>
            <w:vAlign w:val="bottom"/>
            <w:hideMark/>
          </w:tcPr>
          <w:p w14:paraId="05AD93F0"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544</w:t>
            </w:r>
          </w:p>
        </w:tc>
        <w:tc>
          <w:tcPr>
            <w:tcW w:w="783" w:type="dxa"/>
            <w:noWrap/>
            <w:vAlign w:val="bottom"/>
            <w:hideMark/>
          </w:tcPr>
          <w:p w14:paraId="6F111C7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0.1</w:t>
            </w:r>
            <w:r w:rsidRPr="001876AD">
              <w:rPr>
                <w:rFonts w:ascii="Times New Roman" w:eastAsia="Meiryo UI" w:hAnsi="Times New Roman" w:hint="eastAsia"/>
                <w:color w:val="000000" w:themeColor="text1"/>
                <w:kern w:val="0"/>
                <w:sz w:val="18"/>
                <w:szCs w:val="18"/>
              </w:rPr>
              <w:t>)</w:t>
            </w:r>
          </w:p>
        </w:tc>
      </w:tr>
      <w:tr w:rsidR="000B03C8" w:rsidRPr="001876AD" w14:paraId="61119B5B" w14:textId="77777777" w:rsidTr="00B76ADE">
        <w:trPr>
          <w:trHeight w:val="315"/>
        </w:trPr>
        <w:tc>
          <w:tcPr>
            <w:tcW w:w="1843" w:type="dxa"/>
            <w:noWrap/>
            <w:vAlign w:val="bottom"/>
            <w:hideMark/>
          </w:tcPr>
          <w:p w14:paraId="2BB77DC2"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Pregabalin</w:t>
            </w:r>
          </w:p>
        </w:tc>
        <w:tc>
          <w:tcPr>
            <w:tcW w:w="965" w:type="dxa"/>
            <w:noWrap/>
            <w:vAlign w:val="bottom"/>
            <w:hideMark/>
          </w:tcPr>
          <w:p w14:paraId="396040F0"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54,523</w:t>
            </w:r>
          </w:p>
        </w:tc>
        <w:tc>
          <w:tcPr>
            <w:tcW w:w="693" w:type="dxa"/>
            <w:noWrap/>
            <w:vAlign w:val="bottom"/>
            <w:hideMark/>
          </w:tcPr>
          <w:p w14:paraId="3CA7F946"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2.7</w:t>
            </w:r>
            <w:r w:rsidRPr="001876AD">
              <w:rPr>
                <w:rFonts w:ascii="Times New Roman" w:eastAsia="Meiryo UI" w:hAnsi="Times New Roman" w:hint="eastAsia"/>
                <w:color w:val="000000" w:themeColor="text1"/>
                <w:kern w:val="0"/>
                <w:sz w:val="18"/>
                <w:szCs w:val="18"/>
              </w:rPr>
              <w:t>)</w:t>
            </w:r>
          </w:p>
        </w:tc>
        <w:tc>
          <w:tcPr>
            <w:tcW w:w="1008" w:type="dxa"/>
            <w:noWrap/>
            <w:vAlign w:val="bottom"/>
            <w:hideMark/>
          </w:tcPr>
          <w:p w14:paraId="1312D437"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54,270</w:t>
            </w:r>
          </w:p>
        </w:tc>
        <w:tc>
          <w:tcPr>
            <w:tcW w:w="783" w:type="dxa"/>
            <w:noWrap/>
            <w:vAlign w:val="bottom"/>
            <w:hideMark/>
          </w:tcPr>
          <w:p w14:paraId="5463F707"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4.2</w:t>
            </w:r>
            <w:r w:rsidRPr="001876AD">
              <w:rPr>
                <w:rFonts w:ascii="Times New Roman" w:eastAsia="Meiryo UI" w:hAnsi="Times New Roman" w:hint="eastAsia"/>
                <w:color w:val="000000" w:themeColor="text1"/>
                <w:kern w:val="0"/>
                <w:sz w:val="18"/>
                <w:szCs w:val="18"/>
              </w:rPr>
              <w:t>)</w:t>
            </w:r>
          </w:p>
        </w:tc>
        <w:tc>
          <w:tcPr>
            <w:tcW w:w="1186" w:type="dxa"/>
            <w:noWrap/>
            <w:vAlign w:val="bottom"/>
            <w:hideMark/>
          </w:tcPr>
          <w:p w14:paraId="1A08B876"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2,490,753</w:t>
            </w:r>
          </w:p>
        </w:tc>
        <w:tc>
          <w:tcPr>
            <w:tcW w:w="1138" w:type="dxa"/>
            <w:noWrap/>
            <w:vAlign w:val="bottom"/>
            <w:hideMark/>
          </w:tcPr>
          <w:p w14:paraId="5B99567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45.9</w:t>
            </w:r>
          </w:p>
        </w:tc>
        <w:tc>
          <w:tcPr>
            <w:tcW w:w="847" w:type="dxa"/>
            <w:noWrap/>
            <w:vAlign w:val="bottom"/>
            <w:hideMark/>
          </w:tcPr>
          <w:p w14:paraId="2496032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378</w:t>
            </w:r>
          </w:p>
        </w:tc>
        <w:tc>
          <w:tcPr>
            <w:tcW w:w="783" w:type="dxa"/>
            <w:noWrap/>
            <w:vAlign w:val="bottom"/>
            <w:hideMark/>
          </w:tcPr>
          <w:p w14:paraId="2A0370F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0.0</w:t>
            </w:r>
            <w:r w:rsidRPr="001876AD">
              <w:rPr>
                <w:rFonts w:ascii="Times New Roman" w:eastAsia="Meiryo UI" w:hAnsi="Times New Roman" w:hint="eastAsia"/>
                <w:color w:val="000000" w:themeColor="text1"/>
                <w:kern w:val="0"/>
                <w:sz w:val="18"/>
                <w:szCs w:val="18"/>
              </w:rPr>
              <w:t>)</w:t>
            </w:r>
          </w:p>
        </w:tc>
      </w:tr>
      <w:tr w:rsidR="000B03C8" w:rsidRPr="001876AD" w14:paraId="3ADF97D9" w14:textId="77777777" w:rsidTr="00B76ADE">
        <w:trPr>
          <w:trHeight w:val="315"/>
        </w:trPr>
        <w:tc>
          <w:tcPr>
            <w:tcW w:w="1843" w:type="dxa"/>
            <w:noWrap/>
            <w:vAlign w:val="bottom"/>
            <w:hideMark/>
          </w:tcPr>
          <w:p w14:paraId="7B81D3E9"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Ibuprofen</w:t>
            </w:r>
          </w:p>
        </w:tc>
        <w:tc>
          <w:tcPr>
            <w:tcW w:w="965" w:type="dxa"/>
            <w:noWrap/>
            <w:vAlign w:val="bottom"/>
            <w:hideMark/>
          </w:tcPr>
          <w:p w14:paraId="3EAB9A6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49,987</w:t>
            </w:r>
          </w:p>
        </w:tc>
        <w:tc>
          <w:tcPr>
            <w:tcW w:w="693" w:type="dxa"/>
            <w:noWrap/>
            <w:vAlign w:val="bottom"/>
            <w:hideMark/>
          </w:tcPr>
          <w:p w14:paraId="584EB4D6"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2.4</w:t>
            </w:r>
            <w:r w:rsidRPr="001876AD">
              <w:rPr>
                <w:rFonts w:ascii="Times New Roman" w:eastAsia="Meiryo UI" w:hAnsi="Times New Roman" w:hint="eastAsia"/>
                <w:color w:val="000000" w:themeColor="text1"/>
                <w:kern w:val="0"/>
                <w:sz w:val="18"/>
                <w:szCs w:val="18"/>
              </w:rPr>
              <w:t>)</w:t>
            </w:r>
          </w:p>
        </w:tc>
        <w:tc>
          <w:tcPr>
            <w:tcW w:w="1008" w:type="dxa"/>
            <w:noWrap/>
            <w:vAlign w:val="bottom"/>
            <w:hideMark/>
          </w:tcPr>
          <w:p w14:paraId="5E7C4CA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36,598</w:t>
            </w:r>
          </w:p>
        </w:tc>
        <w:tc>
          <w:tcPr>
            <w:tcW w:w="783" w:type="dxa"/>
            <w:noWrap/>
            <w:vAlign w:val="bottom"/>
            <w:hideMark/>
          </w:tcPr>
          <w:p w14:paraId="6195BDD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2.8</w:t>
            </w:r>
            <w:r w:rsidRPr="001876AD">
              <w:rPr>
                <w:rFonts w:ascii="Times New Roman" w:eastAsia="Meiryo UI" w:hAnsi="Times New Roman" w:hint="eastAsia"/>
                <w:color w:val="000000" w:themeColor="text1"/>
                <w:kern w:val="0"/>
                <w:sz w:val="18"/>
                <w:szCs w:val="18"/>
              </w:rPr>
              <w:t>)</w:t>
            </w:r>
          </w:p>
        </w:tc>
        <w:tc>
          <w:tcPr>
            <w:tcW w:w="1186" w:type="dxa"/>
            <w:noWrap/>
            <w:vAlign w:val="bottom"/>
            <w:hideMark/>
          </w:tcPr>
          <w:p w14:paraId="48A0E820"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231,194</w:t>
            </w:r>
          </w:p>
        </w:tc>
        <w:tc>
          <w:tcPr>
            <w:tcW w:w="1138" w:type="dxa"/>
            <w:noWrap/>
            <w:vAlign w:val="bottom"/>
            <w:hideMark/>
          </w:tcPr>
          <w:p w14:paraId="5FF5F99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6.3</w:t>
            </w:r>
          </w:p>
        </w:tc>
        <w:tc>
          <w:tcPr>
            <w:tcW w:w="847" w:type="dxa"/>
            <w:noWrap/>
            <w:vAlign w:val="bottom"/>
            <w:hideMark/>
          </w:tcPr>
          <w:p w14:paraId="7A756AF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13,618</w:t>
            </w:r>
          </w:p>
        </w:tc>
        <w:tc>
          <w:tcPr>
            <w:tcW w:w="783" w:type="dxa"/>
            <w:noWrap/>
            <w:vAlign w:val="bottom"/>
            <w:hideMark/>
          </w:tcPr>
          <w:p w14:paraId="0594DC9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1.6</w:t>
            </w:r>
            <w:r w:rsidRPr="001876AD">
              <w:rPr>
                <w:rFonts w:ascii="Times New Roman" w:eastAsia="Meiryo UI" w:hAnsi="Times New Roman" w:hint="eastAsia"/>
                <w:color w:val="000000" w:themeColor="text1"/>
                <w:kern w:val="0"/>
                <w:sz w:val="18"/>
                <w:szCs w:val="18"/>
              </w:rPr>
              <w:t>)</w:t>
            </w:r>
          </w:p>
        </w:tc>
      </w:tr>
      <w:tr w:rsidR="000B03C8" w:rsidRPr="001876AD" w14:paraId="0E56DE5B" w14:textId="77777777" w:rsidTr="00B76ADE">
        <w:trPr>
          <w:trHeight w:val="315"/>
        </w:trPr>
        <w:tc>
          <w:tcPr>
            <w:tcW w:w="1843" w:type="dxa"/>
            <w:noWrap/>
            <w:vAlign w:val="bottom"/>
            <w:hideMark/>
          </w:tcPr>
          <w:p w14:paraId="2ED13780"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Diclofenac</w:t>
            </w:r>
          </w:p>
        </w:tc>
        <w:tc>
          <w:tcPr>
            <w:tcW w:w="965" w:type="dxa"/>
            <w:noWrap/>
            <w:vAlign w:val="bottom"/>
            <w:hideMark/>
          </w:tcPr>
          <w:p w14:paraId="2B4AF0E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46,543</w:t>
            </w:r>
          </w:p>
        </w:tc>
        <w:tc>
          <w:tcPr>
            <w:tcW w:w="693" w:type="dxa"/>
            <w:noWrap/>
            <w:vAlign w:val="bottom"/>
            <w:hideMark/>
          </w:tcPr>
          <w:p w14:paraId="7508D217"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2.3</w:t>
            </w:r>
            <w:r w:rsidRPr="001876AD">
              <w:rPr>
                <w:rFonts w:ascii="Times New Roman" w:eastAsia="Meiryo UI" w:hAnsi="Times New Roman" w:hint="eastAsia"/>
                <w:color w:val="000000" w:themeColor="text1"/>
                <w:kern w:val="0"/>
                <w:sz w:val="18"/>
                <w:szCs w:val="18"/>
              </w:rPr>
              <w:t>)</w:t>
            </w:r>
          </w:p>
        </w:tc>
        <w:tc>
          <w:tcPr>
            <w:tcW w:w="1008" w:type="dxa"/>
            <w:noWrap/>
            <w:vAlign w:val="bottom"/>
            <w:hideMark/>
          </w:tcPr>
          <w:p w14:paraId="6E70A61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28,494</w:t>
            </w:r>
          </w:p>
        </w:tc>
        <w:tc>
          <w:tcPr>
            <w:tcW w:w="783" w:type="dxa"/>
            <w:noWrap/>
            <w:vAlign w:val="bottom"/>
            <w:hideMark/>
          </w:tcPr>
          <w:p w14:paraId="72A0327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2.2</w:t>
            </w:r>
            <w:r w:rsidRPr="001876AD">
              <w:rPr>
                <w:rFonts w:ascii="Times New Roman" w:eastAsia="Meiryo UI" w:hAnsi="Times New Roman" w:hint="eastAsia"/>
                <w:color w:val="000000" w:themeColor="text1"/>
                <w:kern w:val="0"/>
                <w:sz w:val="18"/>
                <w:szCs w:val="18"/>
              </w:rPr>
              <w:t>)</w:t>
            </w:r>
          </w:p>
        </w:tc>
        <w:tc>
          <w:tcPr>
            <w:tcW w:w="1186" w:type="dxa"/>
            <w:noWrap/>
            <w:vAlign w:val="bottom"/>
            <w:hideMark/>
          </w:tcPr>
          <w:p w14:paraId="06BDF4E7"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404,916</w:t>
            </w:r>
          </w:p>
        </w:tc>
        <w:tc>
          <w:tcPr>
            <w:tcW w:w="1138" w:type="dxa"/>
            <w:noWrap/>
            <w:vAlign w:val="bottom"/>
            <w:hideMark/>
          </w:tcPr>
          <w:p w14:paraId="4068EF66"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14.2</w:t>
            </w:r>
          </w:p>
        </w:tc>
        <w:tc>
          <w:tcPr>
            <w:tcW w:w="847" w:type="dxa"/>
            <w:noWrap/>
            <w:vAlign w:val="bottom"/>
            <w:hideMark/>
          </w:tcPr>
          <w:p w14:paraId="14B4FFB6"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18,336</w:t>
            </w:r>
          </w:p>
        </w:tc>
        <w:tc>
          <w:tcPr>
            <w:tcW w:w="783" w:type="dxa"/>
            <w:noWrap/>
            <w:vAlign w:val="bottom"/>
            <w:hideMark/>
          </w:tcPr>
          <w:p w14:paraId="7EC2B2E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2.1</w:t>
            </w:r>
            <w:r w:rsidRPr="001876AD">
              <w:rPr>
                <w:rFonts w:ascii="Times New Roman" w:eastAsia="Meiryo UI" w:hAnsi="Times New Roman" w:hint="eastAsia"/>
                <w:color w:val="000000" w:themeColor="text1"/>
                <w:kern w:val="0"/>
                <w:sz w:val="18"/>
                <w:szCs w:val="18"/>
              </w:rPr>
              <w:t>)</w:t>
            </w:r>
          </w:p>
        </w:tc>
      </w:tr>
      <w:tr w:rsidR="000B03C8" w:rsidRPr="001876AD" w14:paraId="2EF98D70" w14:textId="77777777" w:rsidTr="00B76ADE">
        <w:trPr>
          <w:trHeight w:val="315"/>
        </w:trPr>
        <w:tc>
          <w:tcPr>
            <w:tcW w:w="1843" w:type="dxa"/>
            <w:noWrap/>
            <w:vAlign w:val="bottom"/>
            <w:hideMark/>
          </w:tcPr>
          <w:p w14:paraId="359CFBA3"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Codeine</w:t>
            </w:r>
          </w:p>
        </w:tc>
        <w:tc>
          <w:tcPr>
            <w:tcW w:w="965" w:type="dxa"/>
            <w:noWrap/>
            <w:vAlign w:val="bottom"/>
            <w:hideMark/>
          </w:tcPr>
          <w:p w14:paraId="626E66F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37,221</w:t>
            </w:r>
          </w:p>
        </w:tc>
        <w:tc>
          <w:tcPr>
            <w:tcW w:w="693" w:type="dxa"/>
            <w:noWrap/>
            <w:vAlign w:val="bottom"/>
            <w:hideMark/>
          </w:tcPr>
          <w:p w14:paraId="407202C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1.8</w:t>
            </w:r>
            <w:r w:rsidRPr="001876AD">
              <w:rPr>
                <w:rFonts w:ascii="Times New Roman" w:eastAsia="Meiryo UI" w:hAnsi="Times New Roman" w:hint="eastAsia"/>
                <w:color w:val="000000" w:themeColor="text1"/>
                <w:kern w:val="0"/>
                <w:sz w:val="18"/>
                <w:szCs w:val="18"/>
              </w:rPr>
              <w:t>)</w:t>
            </w:r>
          </w:p>
        </w:tc>
        <w:tc>
          <w:tcPr>
            <w:tcW w:w="1008" w:type="dxa"/>
            <w:noWrap/>
            <w:vAlign w:val="bottom"/>
            <w:hideMark/>
          </w:tcPr>
          <w:p w14:paraId="70E06FD7"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29,502</w:t>
            </w:r>
          </w:p>
        </w:tc>
        <w:tc>
          <w:tcPr>
            <w:tcW w:w="783" w:type="dxa"/>
            <w:noWrap/>
            <w:vAlign w:val="bottom"/>
            <w:hideMark/>
          </w:tcPr>
          <w:p w14:paraId="6D2F811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2.3</w:t>
            </w:r>
            <w:r w:rsidRPr="001876AD">
              <w:rPr>
                <w:rFonts w:ascii="Times New Roman" w:eastAsia="Meiryo UI" w:hAnsi="Times New Roman" w:hint="eastAsia"/>
                <w:color w:val="000000" w:themeColor="text1"/>
                <w:kern w:val="0"/>
                <w:sz w:val="18"/>
                <w:szCs w:val="18"/>
              </w:rPr>
              <w:t>)</w:t>
            </w:r>
          </w:p>
        </w:tc>
        <w:tc>
          <w:tcPr>
            <w:tcW w:w="1186" w:type="dxa"/>
            <w:noWrap/>
            <w:vAlign w:val="bottom"/>
            <w:hideMark/>
          </w:tcPr>
          <w:p w14:paraId="5279390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263,264</w:t>
            </w:r>
          </w:p>
        </w:tc>
        <w:tc>
          <w:tcPr>
            <w:tcW w:w="1138" w:type="dxa"/>
            <w:noWrap/>
            <w:vAlign w:val="bottom"/>
            <w:hideMark/>
          </w:tcPr>
          <w:p w14:paraId="0F8DDFB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8.9</w:t>
            </w:r>
          </w:p>
        </w:tc>
        <w:tc>
          <w:tcPr>
            <w:tcW w:w="847" w:type="dxa"/>
            <w:noWrap/>
            <w:vAlign w:val="bottom"/>
            <w:hideMark/>
          </w:tcPr>
          <w:p w14:paraId="50CC5A5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7,983</w:t>
            </w:r>
          </w:p>
        </w:tc>
        <w:tc>
          <w:tcPr>
            <w:tcW w:w="783" w:type="dxa"/>
            <w:noWrap/>
            <w:vAlign w:val="bottom"/>
            <w:hideMark/>
          </w:tcPr>
          <w:p w14:paraId="4AB2231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0.9</w:t>
            </w:r>
            <w:r w:rsidRPr="001876AD">
              <w:rPr>
                <w:rFonts w:ascii="Times New Roman" w:eastAsia="Meiryo UI" w:hAnsi="Times New Roman" w:hint="eastAsia"/>
                <w:color w:val="000000" w:themeColor="text1"/>
                <w:kern w:val="0"/>
                <w:sz w:val="18"/>
                <w:szCs w:val="18"/>
              </w:rPr>
              <w:t>)</w:t>
            </w:r>
          </w:p>
        </w:tc>
      </w:tr>
      <w:tr w:rsidR="000B03C8" w:rsidRPr="001876AD" w14:paraId="278E88AD" w14:textId="77777777" w:rsidTr="00B76ADE">
        <w:trPr>
          <w:trHeight w:val="315"/>
        </w:trPr>
        <w:tc>
          <w:tcPr>
            <w:tcW w:w="1843" w:type="dxa"/>
            <w:noWrap/>
            <w:vAlign w:val="bottom"/>
            <w:hideMark/>
          </w:tcPr>
          <w:p w14:paraId="36B3D83B"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Shakuyaku-kanzo-to</w:t>
            </w:r>
            <w:r w:rsidRPr="001876AD">
              <w:rPr>
                <w:rFonts w:ascii="Times New Roman" w:eastAsia="Meiryo UI" w:hAnsi="Times New Roman" w:hint="eastAsia"/>
                <w:color w:val="000000" w:themeColor="text1"/>
                <w:sz w:val="18"/>
                <w:szCs w:val="18"/>
                <w:vertAlign w:val="superscript"/>
              </w:rPr>
              <w:t>a</w:t>
            </w:r>
          </w:p>
        </w:tc>
        <w:tc>
          <w:tcPr>
            <w:tcW w:w="965" w:type="dxa"/>
            <w:noWrap/>
            <w:vAlign w:val="bottom"/>
            <w:hideMark/>
          </w:tcPr>
          <w:p w14:paraId="2C7B216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28,228</w:t>
            </w:r>
          </w:p>
        </w:tc>
        <w:tc>
          <w:tcPr>
            <w:tcW w:w="693" w:type="dxa"/>
            <w:noWrap/>
            <w:vAlign w:val="bottom"/>
            <w:hideMark/>
          </w:tcPr>
          <w:p w14:paraId="0ABD61A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1.4</w:t>
            </w:r>
            <w:r w:rsidRPr="001876AD">
              <w:rPr>
                <w:rFonts w:ascii="Times New Roman" w:eastAsia="Meiryo UI" w:hAnsi="Times New Roman" w:hint="eastAsia"/>
                <w:color w:val="000000" w:themeColor="text1"/>
                <w:kern w:val="0"/>
                <w:sz w:val="18"/>
                <w:szCs w:val="18"/>
              </w:rPr>
              <w:t>)</w:t>
            </w:r>
          </w:p>
        </w:tc>
        <w:tc>
          <w:tcPr>
            <w:tcW w:w="1008" w:type="dxa"/>
            <w:noWrap/>
            <w:vAlign w:val="bottom"/>
            <w:hideMark/>
          </w:tcPr>
          <w:p w14:paraId="1E59345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21,754</w:t>
            </w:r>
          </w:p>
        </w:tc>
        <w:tc>
          <w:tcPr>
            <w:tcW w:w="783" w:type="dxa"/>
            <w:noWrap/>
            <w:vAlign w:val="bottom"/>
            <w:hideMark/>
          </w:tcPr>
          <w:p w14:paraId="5F38D4A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1.7</w:t>
            </w:r>
            <w:r w:rsidRPr="001876AD">
              <w:rPr>
                <w:rFonts w:ascii="Times New Roman" w:eastAsia="Meiryo UI" w:hAnsi="Times New Roman" w:hint="eastAsia"/>
                <w:color w:val="000000" w:themeColor="text1"/>
                <w:kern w:val="0"/>
                <w:sz w:val="18"/>
                <w:szCs w:val="18"/>
              </w:rPr>
              <w:t>)</w:t>
            </w:r>
          </w:p>
        </w:tc>
        <w:tc>
          <w:tcPr>
            <w:tcW w:w="1186" w:type="dxa"/>
            <w:noWrap/>
            <w:vAlign w:val="bottom"/>
            <w:hideMark/>
          </w:tcPr>
          <w:p w14:paraId="2243D51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713,410</w:t>
            </w:r>
          </w:p>
        </w:tc>
        <w:tc>
          <w:tcPr>
            <w:tcW w:w="1138" w:type="dxa"/>
            <w:noWrap/>
            <w:vAlign w:val="bottom"/>
            <w:hideMark/>
          </w:tcPr>
          <w:p w14:paraId="1F5321A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32.8</w:t>
            </w:r>
          </w:p>
        </w:tc>
        <w:tc>
          <w:tcPr>
            <w:tcW w:w="847" w:type="dxa"/>
            <w:noWrap/>
            <w:vAlign w:val="bottom"/>
            <w:hideMark/>
          </w:tcPr>
          <w:p w14:paraId="533E1FD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6,616</w:t>
            </w:r>
          </w:p>
        </w:tc>
        <w:tc>
          <w:tcPr>
            <w:tcW w:w="783" w:type="dxa"/>
            <w:noWrap/>
            <w:vAlign w:val="bottom"/>
            <w:hideMark/>
          </w:tcPr>
          <w:p w14:paraId="11593D3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0.8</w:t>
            </w:r>
            <w:r w:rsidRPr="001876AD">
              <w:rPr>
                <w:rFonts w:ascii="Times New Roman" w:eastAsia="Meiryo UI" w:hAnsi="Times New Roman" w:hint="eastAsia"/>
                <w:color w:val="000000" w:themeColor="text1"/>
                <w:kern w:val="0"/>
                <w:sz w:val="18"/>
                <w:szCs w:val="18"/>
              </w:rPr>
              <w:t>)</w:t>
            </w:r>
          </w:p>
        </w:tc>
      </w:tr>
      <w:tr w:rsidR="000B03C8" w:rsidRPr="001876AD" w14:paraId="0CA26404" w14:textId="77777777" w:rsidTr="00B76ADE">
        <w:trPr>
          <w:trHeight w:val="315"/>
        </w:trPr>
        <w:tc>
          <w:tcPr>
            <w:tcW w:w="1843" w:type="dxa"/>
            <w:noWrap/>
            <w:vAlign w:val="bottom"/>
            <w:hideMark/>
          </w:tcPr>
          <w:p w14:paraId="221E2DF1"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Neurotropin</w:t>
            </w:r>
          </w:p>
        </w:tc>
        <w:tc>
          <w:tcPr>
            <w:tcW w:w="965" w:type="dxa"/>
            <w:noWrap/>
            <w:vAlign w:val="bottom"/>
            <w:hideMark/>
          </w:tcPr>
          <w:p w14:paraId="7AD528E6"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21,317</w:t>
            </w:r>
          </w:p>
        </w:tc>
        <w:tc>
          <w:tcPr>
            <w:tcW w:w="693" w:type="dxa"/>
            <w:noWrap/>
            <w:vAlign w:val="bottom"/>
            <w:hideMark/>
          </w:tcPr>
          <w:p w14:paraId="5E8F0227"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1.0</w:t>
            </w:r>
            <w:r w:rsidRPr="001876AD">
              <w:rPr>
                <w:rFonts w:ascii="Times New Roman" w:eastAsia="Meiryo UI" w:hAnsi="Times New Roman" w:hint="eastAsia"/>
                <w:color w:val="000000" w:themeColor="text1"/>
                <w:kern w:val="0"/>
                <w:sz w:val="18"/>
                <w:szCs w:val="18"/>
              </w:rPr>
              <w:t>)</w:t>
            </w:r>
          </w:p>
        </w:tc>
        <w:tc>
          <w:tcPr>
            <w:tcW w:w="1008" w:type="dxa"/>
            <w:noWrap/>
            <w:vAlign w:val="bottom"/>
            <w:hideMark/>
          </w:tcPr>
          <w:p w14:paraId="2F528316"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21,257</w:t>
            </w:r>
          </w:p>
        </w:tc>
        <w:tc>
          <w:tcPr>
            <w:tcW w:w="783" w:type="dxa"/>
            <w:noWrap/>
            <w:vAlign w:val="bottom"/>
            <w:hideMark/>
          </w:tcPr>
          <w:p w14:paraId="0B7BB292"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1.6</w:t>
            </w:r>
            <w:r w:rsidRPr="001876AD">
              <w:rPr>
                <w:rFonts w:ascii="Times New Roman" w:eastAsia="Meiryo UI" w:hAnsi="Times New Roman" w:hint="eastAsia"/>
                <w:color w:val="000000" w:themeColor="text1"/>
                <w:kern w:val="0"/>
                <w:sz w:val="18"/>
                <w:szCs w:val="18"/>
              </w:rPr>
              <w:t>)</w:t>
            </w:r>
          </w:p>
        </w:tc>
        <w:tc>
          <w:tcPr>
            <w:tcW w:w="1186" w:type="dxa"/>
            <w:noWrap/>
            <w:vAlign w:val="bottom"/>
            <w:hideMark/>
          </w:tcPr>
          <w:p w14:paraId="237E3AC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798,986</w:t>
            </w:r>
          </w:p>
        </w:tc>
        <w:tc>
          <w:tcPr>
            <w:tcW w:w="1138" w:type="dxa"/>
            <w:noWrap/>
            <w:vAlign w:val="bottom"/>
            <w:hideMark/>
          </w:tcPr>
          <w:p w14:paraId="3CA16617"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37.6</w:t>
            </w:r>
          </w:p>
        </w:tc>
        <w:tc>
          <w:tcPr>
            <w:tcW w:w="847" w:type="dxa"/>
            <w:noWrap/>
            <w:vAlign w:val="bottom"/>
            <w:hideMark/>
          </w:tcPr>
          <w:p w14:paraId="16D667F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w:t>
            </w:r>
          </w:p>
        </w:tc>
        <w:tc>
          <w:tcPr>
            <w:tcW w:w="783" w:type="dxa"/>
            <w:noWrap/>
            <w:vAlign w:val="bottom"/>
            <w:hideMark/>
          </w:tcPr>
          <w:p w14:paraId="3A5FEA0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0.0</w:t>
            </w:r>
            <w:r w:rsidRPr="001876AD">
              <w:rPr>
                <w:rFonts w:ascii="Times New Roman" w:eastAsia="Meiryo UI" w:hAnsi="Times New Roman" w:hint="eastAsia"/>
                <w:color w:val="000000" w:themeColor="text1"/>
                <w:kern w:val="0"/>
                <w:sz w:val="18"/>
                <w:szCs w:val="18"/>
              </w:rPr>
              <w:t>)</w:t>
            </w:r>
          </w:p>
        </w:tc>
      </w:tr>
      <w:tr w:rsidR="000B03C8" w:rsidRPr="001876AD" w14:paraId="34304FD0" w14:textId="77777777" w:rsidTr="00B76ADE">
        <w:trPr>
          <w:trHeight w:val="315"/>
        </w:trPr>
        <w:tc>
          <w:tcPr>
            <w:tcW w:w="1843" w:type="dxa"/>
            <w:noWrap/>
            <w:vAlign w:val="bottom"/>
            <w:hideMark/>
          </w:tcPr>
          <w:p w14:paraId="4CE3B3E3"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Tiaramide</w:t>
            </w:r>
          </w:p>
        </w:tc>
        <w:tc>
          <w:tcPr>
            <w:tcW w:w="965" w:type="dxa"/>
            <w:noWrap/>
            <w:vAlign w:val="bottom"/>
            <w:hideMark/>
          </w:tcPr>
          <w:p w14:paraId="5678DB6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17,086</w:t>
            </w:r>
          </w:p>
        </w:tc>
        <w:tc>
          <w:tcPr>
            <w:tcW w:w="693" w:type="dxa"/>
            <w:noWrap/>
            <w:vAlign w:val="bottom"/>
            <w:hideMark/>
          </w:tcPr>
          <w:p w14:paraId="7586441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0.8</w:t>
            </w:r>
            <w:r w:rsidRPr="001876AD">
              <w:rPr>
                <w:rFonts w:ascii="Times New Roman" w:eastAsia="Meiryo UI" w:hAnsi="Times New Roman" w:hint="eastAsia"/>
                <w:color w:val="000000" w:themeColor="text1"/>
                <w:kern w:val="0"/>
                <w:sz w:val="18"/>
                <w:szCs w:val="18"/>
              </w:rPr>
              <w:t>)</w:t>
            </w:r>
          </w:p>
        </w:tc>
        <w:tc>
          <w:tcPr>
            <w:tcW w:w="1008" w:type="dxa"/>
            <w:noWrap/>
            <w:vAlign w:val="bottom"/>
            <w:hideMark/>
          </w:tcPr>
          <w:p w14:paraId="3AEE938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16,591</w:t>
            </w:r>
          </w:p>
        </w:tc>
        <w:tc>
          <w:tcPr>
            <w:tcW w:w="783" w:type="dxa"/>
            <w:noWrap/>
            <w:vAlign w:val="bottom"/>
            <w:hideMark/>
          </w:tcPr>
          <w:p w14:paraId="6D9F4B6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1.3</w:t>
            </w:r>
            <w:r w:rsidRPr="001876AD">
              <w:rPr>
                <w:rFonts w:ascii="Times New Roman" w:eastAsia="Meiryo UI" w:hAnsi="Times New Roman" w:hint="eastAsia"/>
                <w:color w:val="000000" w:themeColor="text1"/>
                <w:kern w:val="0"/>
                <w:sz w:val="18"/>
                <w:szCs w:val="18"/>
              </w:rPr>
              <w:t>)</w:t>
            </w:r>
          </w:p>
        </w:tc>
        <w:tc>
          <w:tcPr>
            <w:tcW w:w="1186" w:type="dxa"/>
            <w:noWrap/>
            <w:vAlign w:val="bottom"/>
            <w:hideMark/>
          </w:tcPr>
          <w:p w14:paraId="131DB88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98,183</w:t>
            </w:r>
          </w:p>
        </w:tc>
        <w:tc>
          <w:tcPr>
            <w:tcW w:w="1138" w:type="dxa"/>
            <w:noWrap/>
            <w:vAlign w:val="bottom"/>
            <w:hideMark/>
          </w:tcPr>
          <w:p w14:paraId="763D707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5.9</w:t>
            </w:r>
          </w:p>
        </w:tc>
        <w:tc>
          <w:tcPr>
            <w:tcW w:w="847" w:type="dxa"/>
            <w:noWrap/>
            <w:vAlign w:val="bottom"/>
            <w:hideMark/>
          </w:tcPr>
          <w:p w14:paraId="2E1008A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502</w:t>
            </w:r>
          </w:p>
        </w:tc>
        <w:tc>
          <w:tcPr>
            <w:tcW w:w="783" w:type="dxa"/>
            <w:noWrap/>
            <w:vAlign w:val="bottom"/>
            <w:hideMark/>
          </w:tcPr>
          <w:p w14:paraId="3829BC7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0.1</w:t>
            </w:r>
            <w:r w:rsidRPr="001876AD">
              <w:rPr>
                <w:rFonts w:ascii="Times New Roman" w:eastAsia="Meiryo UI" w:hAnsi="Times New Roman" w:hint="eastAsia"/>
                <w:color w:val="000000" w:themeColor="text1"/>
                <w:kern w:val="0"/>
                <w:sz w:val="18"/>
                <w:szCs w:val="18"/>
              </w:rPr>
              <w:t>)</w:t>
            </w:r>
          </w:p>
        </w:tc>
      </w:tr>
      <w:tr w:rsidR="000B03C8" w:rsidRPr="001876AD" w14:paraId="7A1ABCBC" w14:textId="77777777" w:rsidTr="00B76ADE">
        <w:trPr>
          <w:trHeight w:val="315"/>
        </w:trPr>
        <w:tc>
          <w:tcPr>
            <w:tcW w:w="1843" w:type="dxa"/>
            <w:noWrap/>
            <w:vAlign w:val="bottom"/>
            <w:hideMark/>
          </w:tcPr>
          <w:p w14:paraId="3C72C0F2"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TA combination</w:t>
            </w:r>
          </w:p>
        </w:tc>
        <w:tc>
          <w:tcPr>
            <w:tcW w:w="965" w:type="dxa"/>
            <w:noWrap/>
            <w:vAlign w:val="bottom"/>
            <w:hideMark/>
          </w:tcPr>
          <w:p w14:paraId="1960CA5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16,112</w:t>
            </w:r>
          </w:p>
        </w:tc>
        <w:tc>
          <w:tcPr>
            <w:tcW w:w="693" w:type="dxa"/>
            <w:noWrap/>
            <w:vAlign w:val="bottom"/>
            <w:hideMark/>
          </w:tcPr>
          <w:p w14:paraId="313F884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0.8</w:t>
            </w:r>
            <w:r w:rsidRPr="001876AD">
              <w:rPr>
                <w:rFonts w:ascii="Times New Roman" w:eastAsia="Meiryo UI" w:hAnsi="Times New Roman" w:hint="eastAsia"/>
                <w:color w:val="000000" w:themeColor="text1"/>
                <w:kern w:val="0"/>
                <w:sz w:val="18"/>
                <w:szCs w:val="18"/>
              </w:rPr>
              <w:t>)</w:t>
            </w:r>
          </w:p>
        </w:tc>
        <w:tc>
          <w:tcPr>
            <w:tcW w:w="1008" w:type="dxa"/>
            <w:noWrap/>
            <w:vAlign w:val="bottom"/>
            <w:hideMark/>
          </w:tcPr>
          <w:p w14:paraId="6D5C04B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15,133</w:t>
            </w:r>
          </w:p>
        </w:tc>
        <w:tc>
          <w:tcPr>
            <w:tcW w:w="783" w:type="dxa"/>
            <w:noWrap/>
            <w:vAlign w:val="bottom"/>
            <w:hideMark/>
          </w:tcPr>
          <w:p w14:paraId="7E2E33D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1.2</w:t>
            </w:r>
            <w:r w:rsidRPr="001876AD">
              <w:rPr>
                <w:rFonts w:ascii="Times New Roman" w:eastAsia="Meiryo UI" w:hAnsi="Times New Roman" w:hint="eastAsia"/>
                <w:color w:val="000000" w:themeColor="text1"/>
                <w:kern w:val="0"/>
                <w:sz w:val="18"/>
                <w:szCs w:val="18"/>
              </w:rPr>
              <w:t>)</w:t>
            </w:r>
          </w:p>
        </w:tc>
        <w:tc>
          <w:tcPr>
            <w:tcW w:w="1186" w:type="dxa"/>
            <w:noWrap/>
            <w:vAlign w:val="bottom"/>
            <w:hideMark/>
          </w:tcPr>
          <w:p w14:paraId="4D881BC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620,140</w:t>
            </w:r>
          </w:p>
        </w:tc>
        <w:tc>
          <w:tcPr>
            <w:tcW w:w="1138" w:type="dxa"/>
            <w:noWrap/>
            <w:vAlign w:val="bottom"/>
            <w:hideMark/>
          </w:tcPr>
          <w:p w14:paraId="799E2BD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41.0</w:t>
            </w:r>
          </w:p>
        </w:tc>
        <w:tc>
          <w:tcPr>
            <w:tcW w:w="847" w:type="dxa"/>
            <w:noWrap/>
            <w:vAlign w:val="bottom"/>
            <w:hideMark/>
          </w:tcPr>
          <w:p w14:paraId="440561D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1,162</w:t>
            </w:r>
          </w:p>
        </w:tc>
        <w:tc>
          <w:tcPr>
            <w:tcW w:w="783" w:type="dxa"/>
            <w:noWrap/>
            <w:vAlign w:val="bottom"/>
            <w:hideMark/>
          </w:tcPr>
          <w:p w14:paraId="1D87B440"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0.1</w:t>
            </w:r>
            <w:r w:rsidRPr="001876AD">
              <w:rPr>
                <w:rFonts w:ascii="Times New Roman" w:eastAsia="Meiryo UI" w:hAnsi="Times New Roman" w:hint="eastAsia"/>
                <w:color w:val="000000" w:themeColor="text1"/>
                <w:kern w:val="0"/>
                <w:sz w:val="18"/>
                <w:szCs w:val="18"/>
              </w:rPr>
              <w:t>)</w:t>
            </w:r>
          </w:p>
        </w:tc>
      </w:tr>
      <w:tr w:rsidR="000B03C8" w:rsidRPr="001876AD" w14:paraId="7AE2DA25" w14:textId="77777777" w:rsidTr="00B76ADE">
        <w:trPr>
          <w:trHeight w:val="315"/>
        </w:trPr>
        <w:tc>
          <w:tcPr>
            <w:tcW w:w="1843" w:type="dxa"/>
            <w:noWrap/>
            <w:vAlign w:val="bottom"/>
            <w:hideMark/>
          </w:tcPr>
          <w:p w14:paraId="6EC76F0E"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Mefenamic acid</w:t>
            </w:r>
          </w:p>
        </w:tc>
        <w:tc>
          <w:tcPr>
            <w:tcW w:w="965" w:type="dxa"/>
            <w:noWrap/>
            <w:vAlign w:val="bottom"/>
            <w:hideMark/>
          </w:tcPr>
          <w:p w14:paraId="73FC688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14,578</w:t>
            </w:r>
          </w:p>
        </w:tc>
        <w:tc>
          <w:tcPr>
            <w:tcW w:w="693" w:type="dxa"/>
            <w:noWrap/>
            <w:vAlign w:val="bottom"/>
            <w:hideMark/>
          </w:tcPr>
          <w:p w14:paraId="35436B1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0.7</w:t>
            </w:r>
            <w:r w:rsidRPr="001876AD">
              <w:rPr>
                <w:rFonts w:ascii="Times New Roman" w:eastAsia="Meiryo UI" w:hAnsi="Times New Roman" w:hint="eastAsia"/>
                <w:color w:val="000000" w:themeColor="text1"/>
                <w:kern w:val="0"/>
                <w:sz w:val="18"/>
                <w:szCs w:val="18"/>
              </w:rPr>
              <w:t>)</w:t>
            </w:r>
          </w:p>
        </w:tc>
        <w:tc>
          <w:tcPr>
            <w:tcW w:w="1008" w:type="dxa"/>
            <w:noWrap/>
            <w:vAlign w:val="bottom"/>
            <w:hideMark/>
          </w:tcPr>
          <w:p w14:paraId="7670666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10,327</w:t>
            </w:r>
          </w:p>
        </w:tc>
        <w:tc>
          <w:tcPr>
            <w:tcW w:w="783" w:type="dxa"/>
            <w:noWrap/>
            <w:vAlign w:val="bottom"/>
            <w:hideMark/>
          </w:tcPr>
          <w:p w14:paraId="5114C8A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0.8</w:t>
            </w:r>
            <w:r w:rsidRPr="001876AD">
              <w:rPr>
                <w:rFonts w:ascii="Times New Roman" w:eastAsia="Meiryo UI" w:hAnsi="Times New Roman" w:hint="eastAsia"/>
                <w:color w:val="000000" w:themeColor="text1"/>
                <w:kern w:val="0"/>
                <w:sz w:val="18"/>
                <w:szCs w:val="18"/>
              </w:rPr>
              <w:t>)</w:t>
            </w:r>
          </w:p>
        </w:tc>
        <w:tc>
          <w:tcPr>
            <w:tcW w:w="1186" w:type="dxa"/>
            <w:noWrap/>
            <w:vAlign w:val="bottom"/>
            <w:hideMark/>
          </w:tcPr>
          <w:p w14:paraId="256326C2"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64,013</w:t>
            </w:r>
          </w:p>
        </w:tc>
        <w:tc>
          <w:tcPr>
            <w:tcW w:w="1138" w:type="dxa"/>
            <w:noWrap/>
            <w:vAlign w:val="bottom"/>
            <w:hideMark/>
          </w:tcPr>
          <w:p w14:paraId="67D2A3C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6.2</w:t>
            </w:r>
          </w:p>
        </w:tc>
        <w:tc>
          <w:tcPr>
            <w:tcW w:w="847" w:type="dxa"/>
            <w:noWrap/>
            <w:vAlign w:val="bottom"/>
            <w:hideMark/>
          </w:tcPr>
          <w:p w14:paraId="16E14E07"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4,276</w:t>
            </w:r>
          </w:p>
        </w:tc>
        <w:tc>
          <w:tcPr>
            <w:tcW w:w="783" w:type="dxa"/>
            <w:noWrap/>
            <w:vAlign w:val="bottom"/>
            <w:hideMark/>
          </w:tcPr>
          <w:p w14:paraId="5C7B226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0.5</w:t>
            </w:r>
            <w:r w:rsidRPr="001876AD">
              <w:rPr>
                <w:rFonts w:ascii="Times New Roman" w:eastAsia="Meiryo UI" w:hAnsi="Times New Roman" w:hint="eastAsia"/>
                <w:color w:val="000000" w:themeColor="text1"/>
                <w:kern w:val="0"/>
                <w:sz w:val="18"/>
                <w:szCs w:val="18"/>
              </w:rPr>
              <w:t>)</w:t>
            </w:r>
          </w:p>
        </w:tc>
      </w:tr>
      <w:tr w:rsidR="000B03C8" w:rsidRPr="001876AD" w14:paraId="72994093" w14:textId="77777777" w:rsidTr="00B76ADE">
        <w:trPr>
          <w:trHeight w:val="315"/>
        </w:trPr>
        <w:tc>
          <w:tcPr>
            <w:tcW w:w="1843" w:type="dxa"/>
            <w:noWrap/>
            <w:vAlign w:val="bottom"/>
            <w:hideMark/>
          </w:tcPr>
          <w:p w14:paraId="6BD7C7C2"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Lornoxicam</w:t>
            </w:r>
          </w:p>
        </w:tc>
        <w:tc>
          <w:tcPr>
            <w:tcW w:w="965" w:type="dxa"/>
            <w:noWrap/>
            <w:vAlign w:val="bottom"/>
            <w:hideMark/>
          </w:tcPr>
          <w:p w14:paraId="5017434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14,929</w:t>
            </w:r>
          </w:p>
        </w:tc>
        <w:tc>
          <w:tcPr>
            <w:tcW w:w="693" w:type="dxa"/>
            <w:noWrap/>
            <w:vAlign w:val="bottom"/>
            <w:hideMark/>
          </w:tcPr>
          <w:p w14:paraId="277DDB7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0.7</w:t>
            </w:r>
            <w:r w:rsidRPr="001876AD">
              <w:rPr>
                <w:rFonts w:ascii="Times New Roman" w:eastAsia="Meiryo UI" w:hAnsi="Times New Roman" w:hint="eastAsia"/>
                <w:color w:val="000000" w:themeColor="text1"/>
                <w:kern w:val="0"/>
                <w:sz w:val="18"/>
                <w:szCs w:val="18"/>
              </w:rPr>
              <w:t>)</w:t>
            </w:r>
          </w:p>
        </w:tc>
        <w:tc>
          <w:tcPr>
            <w:tcW w:w="1008" w:type="dxa"/>
            <w:noWrap/>
            <w:vAlign w:val="bottom"/>
            <w:hideMark/>
          </w:tcPr>
          <w:p w14:paraId="2259D6D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11,304</w:t>
            </w:r>
          </w:p>
        </w:tc>
        <w:tc>
          <w:tcPr>
            <w:tcW w:w="783" w:type="dxa"/>
            <w:noWrap/>
            <w:vAlign w:val="bottom"/>
            <w:hideMark/>
          </w:tcPr>
          <w:p w14:paraId="6B94228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0.9</w:t>
            </w:r>
            <w:r w:rsidRPr="001876AD">
              <w:rPr>
                <w:rFonts w:ascii="Times New Roman" w:eastAsia="Meiryo UI" w:hAnsi="Times New Roman" w:hint="eastAsia"/>
                <w:color w:val="000000" w:themeColor="text1"/>
                <w:kern w:val="0"/>
                <w:sz w:val="18"/>
                <w:szCs w:val="18"/>
              </w:rPr>
              <w:t>)</w:t>
            </w:r>
          </w:p>
        </w:tc>
        <w:tc>
          <w:tcPr>
            <w:tcW w:w="1186" w:type="dxa"/>
            <w:noWrap/>
            <w:vAlign w:val="bottom"/>
            <w:hideMark/>
          </w:tcPr>
          <w:p w14:paraId="2CFCFA12"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172,212</w:t>
            </w:r>
          </w:p>
        </w:tc>
        <w:tc>
          <w:tcPr>
            <w:tcW w:w="1138" w:type="dxa"/>
            <w:noWrap/>
            <w:vAlign w:val="bottom"/>
            <w:hideMark/>
          </w:tcPr>
          <w:p w14:paraId="00124F66"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15.2</w:t>
            </w:r>
          </w:p>
        </w:tc>
        <w:tc>
          <w:tcPr>
            <w:tcW w:w="847" w:type="dxa"/>
            <w:noWrap/>
            <w:vAlign w:val="bottom"/>
            <w:hideMark/>
          </w:tcPr>
          <w:p w14:paraId="597C9AC6"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3,669</w:t>
            </w:r>
          </w:p>
        </w:tc>
        <w:tc>
          <w:tcPr>
            <w:tcW w:w="783" w:type="dxa"/>
            <w:noWrap/>
            <w:vAlign w:val="bottom"/>
            <w:hideMark/>
          </w:tcPr>
          <w:p w14:paraId="1C4A89E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0.4</w:t>
            </w:r>
            <w:r w:rsidRPr="001876AD">
              <w:rPr>
                <w:rFonts w:ascii="Times New Roman" w:eastAsia="Meiryo UI" w:hAnsi="Times New Roman" w:hint="eastAsia"/>
                <w:color w:val="000000" w:themeColor="text1"/>
                <w:kern w:val="0"/>
                <w:sz w:val="18"/>
                <w:szCs w:val="18"/>
              </w:rPr>
              <w:t>)</w:t>
            </w:r>
          </w:p>
        </w:tc>
      </w:tr>
      <w:tr w:rsidR="000B03C8" w:rsidRPr="001876AD" w14:paraId="4600AA71" w14:textId="77777777" w:rsidTr="00B76ADE">
        <w:trPr>
          <w:trHeight w:val="315"/>
        </w:trPr>
        <w:tc>
          <w:tcPr>
            <w:tcW w:w="1843" w:type="dxa"/>
            <w:noWrap/>
            <w:vAlign w:val="bottom"/>
            <w:hideMark/>
          </w:tcPr>
          <w:p w14:paraId="7C4F498D"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Etodolac</w:t>
            </w:r>
          </w:p>
        </w:tc>
        <w:tc>
          <w:tcPr>
            <w:tcW w:w="965" w:type="dxa"/>
            <w:noWrap/>
            <w:vAlign w:val="bottom"/>
            <w:hideMark/>
          </w:tcPr>
          <w:p w14:paraId="08C593B2"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13,571</w:t>
            </w:r>
          </w:p>
        </w:tc>
        <w:tc>
          <w:tcPr>
            <w:tcW w:w="693" w:type="dxa"/>
            <w:noWrap/>
            <w:vAlign w:val="bottom"/>
            <w:hideMark/>
          </w:tcPr>
          <w:p w14:paraId="1EBFD5A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0.7</w:t>
            </w:r>
            <w:r w:rsidRPr="001876AD">
              <w:rPr>
                <w:rFonts w:ascii="Times New Roman" w:eastAsia="Meiryo UI" w:hAnsi="Times New Roman" w:hint="eastAsia"/>
                <w:color w:val="000000" w:themeColor="text1"/>
                <w:kern w:val="0"/>
                <w:sz w:val="18"/>
                <w:szCs w:val="18"/>
              </w:rPr>
              <w:t>)</w:t>
            </w:r>
          </w:p>
        </w:tc>
        <w:tc>
          <w:tcPr>
            <w:tcW w:w="1008" w:type="dxa"/>
            <w:noWrap/>
            <w:vAlign w:val="bottom"/>
            <w:hideMark/>
          </w:tcPr>
          <w:p w14:paraId="407528A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12,828</w:t>
            </w:r>
          </w:p>
        </w:tc>
        <w:tc>
          <w:tcPr>
            <w:tcW w:w="783" w:type="dxa"/>
            <w:noWrap/>
            <w:vAlign w:val="bottom"/>
            <w:hideMark/>
          </w:tcPr>
          <w:p w14:paraId="69A5BAE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1.0</w:t>
            </w:r>
            <w:r w:rsidRPr="001876AD">
              <w:rPr>
                <w:rFonts w:ascii="Times New Roman" w:eastAsia="Meiryo UI" w:hAnsi="Times New Roman" w:hint="eastAsia"/>
                <w:color w:val="000000" w:themeColor="text1"/>
                <w:kern w:val="0"/>
                <w:sz w:val="18"/>
                <w:szCs w:val="18"/>
              </w:rPr>
              <w:t>)</w:t>
            </w:r>
          </w:p>
        </w:tc>
        <w:tc>
          <w:tcPr>
            <w:tcW w:w="1186" w:type="dxa"/>
            <w:noWrap/>
            <w:vAlign w:val="bottom"/>
            <w:hideMark/>
          </w:tcPr>
          <w:p w14:paraId="160106A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270,371</w:t>
            </w:r>
          </w:p>
        </w:tc>
        <w:tc>
          <w:tcPr>
            <w:tcW w:w="1138" w:type="dxa"/>
            <w:noWrap/>
            <w:vAlign w:val="bottom"/>
            <w:hideMark/>
          </w:tcPr>
          <w:p w14:paraId="406894A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21.1</w:t>
            </w:r>
          </w:p>
        </w:tc>
        <w:tc>
          <w:tcPr>
            <w:tcW w:w="847" w:type="dxa"/>
            <w:noWrap/>
            <w:vAlign w:val="bottom"/>
            <w:hideMark/>
          </w:tcPr>
          <w:p w14:paraId="071C7530"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791</w:t>
            </w:r>
          </w:p>
        </w:tc>
        <w:tc>
          <w:tcPr>
            <w:tcW w:w="783" w:type="dxa"/>
            <w:noWrap/>
            <w:vAlign w:val="bottom"/>
            <w:hideMark/>
          </w:tcPr>
          <w:p w14:paraId="69C858B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0.1</w:t>
            </w:r>
            <w:r w:rsidRPr="001876AD">
              <w:rPr>
                <w:rFonts w:ascii="Times New Roman" w:eastAsia="Meiryo UI" w:hAnsi="Times New Roman" w:hint="eastAsia"/>
                <w:color w:val="000000" w:themeColor="text1"/>
                <w:kern w:val="0"/>
                <w:sz w:val="18"/>
                <w:szCs w:val="18"/>
              </w:rPr>
              <w:t>)</w:t>
            </w:r>
          </w:p>
        </w:tc>
      </w:tr>
      <w:tr w:rsidR="000B03C8" w:rsidRPr="001876AD" w14:paraId="63036454" w14:textId="77777777" w:rsidTr="00B76ADE">
        <w:trPr>
          <w:trHeight w:val="315"/>
        </w:trPr>
        <w:tc>
          <w:tcPr>
            <w:tcW w:w="1843" w:type="dxa"/>
            <w:noWrap/>
            <w:vAlign w:val="bottom"/>
            <w:hideMark/>
          </w:tcPr>
          <w:p w14:paraId="229786D9"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hAnsi="Times New Roman"/>
                <w:color w:val="000000" w:themeColor="text1"/>
                <w:sz w:val="18"/>
                <w:szCs w:val="18"/>
              </w:rPr>
              <w:t>Mao-bushi-saishin-to</w:t>
            </w:r>
            <w:r w:rsidRPr="001876AD">
              <w:rPr>
                <w:rFonts w:ascii="Times New Roman" w:eastAsia="Meiryo UI" w:hAnsi="Times New Roman" w:hint="eastAsia"/>
                <w:color w:val="000000" w:themeColor="text1"/>
                <w:sz w:val="18"/>
                <w:szCs w:val="18"/>
                <w:vertAlign w:val="superscript"/>
              </w:rPr>
              <w:t>a</w:t>
            </w:r>
          </w:p>
        </w:tc>
        <w:tc>
          <w:tcPr>
            <w:tcW w:w="965" w:type="dxa"/>
            <w:noWrap/>
            <w:vAlign w:val="bottom"/>
            <w:hideMark/>
          </w:tcPr>
          <w:p w14:paraId="2A1CE57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13,270</w:t>
            </w:r>
          </w:p>
        </w:tc>
        <w:tc>
          <w:tcPr>
            <w:tcW w:w="693" w:type="dxa"/>
            <w:noWrap/>
            <w:vAlign w:val="bottom"/>
            <w:hideMark/>
          </w:tcPr>
          <w:p w14:paraId="319C97C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0.6</w:t>
            </w:r>
            <w:r w:rsidRPr="001876AD">
              <w:rPr>
                <w:rFonts w:ascii="Times New Roman" w:eastAsia="Meiryo UI" w:hAnsi="Times New Roman" w:hint="eastAsia"/>
                <w:color w:val="000000" w:themeColor="text1"/>
                <w:kern w:val="0"/>
                <w:sz w:val="18"/>
                <w:szCs w:val="18"/>
              </w:rPr>
              <w:t>)</w:t>
            </w:r>
          </w:p>
        </w:tc>
        <w:tc>
          <w:tcPr>
            <w:tcW w:w="1008" w:type="dxa"/>
            <w:noWrap/>
            <w:vAlign w:val="bottom"/>
            <w:hideMark/>
          </w:tcPr>
          <w:p w14:paraId="5F78271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13,198</w:t>
            </w:r>
          </w:p>
        </w:tc>
        <w:tc>
          <w:tcPr>
            <w:tcW w:w="783" w:type="dxa"/>
            <w:noWrap/>
            <w:vAlign w:val="bottom"/>
            <w:hideMark/>
          </w:tcPr>
          <w:p w14:paraId="1F8100E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1.0</w:t>
            </w:r>
            <w:r w:rsidRPr="001876AD">
              <w:rPr>
                <w:rFonts w:ascii="Times New Roman" w:eastAsia="Meiryo UI" w:hAnsi="Times New Roman" w:hint="eastAsia"/>
                <w:color w:val="000000" w:themeColor="text1"/>
                <w:kern w:val="0"/>
                <w:sz w:val="18"/>
                <w:szCs w:val="18"/>
              </w:rPr>
              <w:t>)</w:t>
            </w:r>
          </w:p>
        </w:tc>
        <w:tc>
          <w:tcPr>
            <w:tcW w:w="1186" w:type="dxa"/>
            <w:noWrap/>
            <w:vAlign w:val="bottom"/>
            <w:hideMark/>
          </w:tcPr>
          <w:p w14:paraId="330CDD2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97,497</w:t>
            </w:r>
          </w:p>
        </w:tc>
        <w:tc>
          <w:tcPr>
            <w:tcW w:w="1138" w:type="dxa"/>
            <w:noWrap/>
            <w:vAlign w:val="bottom"/>
            <w:hideMark/>
          </w:tcPr>
          <w:p w14:paraId="0F8C502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7.4</w:t>
            </w:r>
          </w:p>
        </w:tc>
        <w:tc>
          <w:tcPr>
            <w:tcW w:w="847" w:type="dxa"/>
            <w:noWrap/>
            <w:vAlign w:val="bottom"/>
            <w:hideMark/>
          </w:tcPr>
          <w:p w14:paraId="14EC744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76</w:t>
            </w:r>
          </w:p>
        </w:tc>
        <w:tc>
          <w:tcPr>
            <w:tcW w:w="783" w:type="dxa"/>
            <w:noWrap/>
            <w:vAlign w:val="bottom"/>
            <w:hideMark/>
          </w:tcPr>
          <w:p w14:paraId="4E3504B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0.0</w:t>
            </w:r>
            <w:r w:rsidRPr="001876AD">
              <w:rPr>
                <w:rFonts w:ascii="Times New Roman" w:eastAsia="Meiryo UI" w:hAnsi="Times New Roman" w:hint="eastAsia"/>
                <w:color w:val="000000" w:themeColor="text1"/>
                <w:kern w:val="0"/>
                <w:sz w:val="18"/>
                <w:szCs w:val="18"/>
              </w:rPr>
              <w:t>)</w:t>
            </w:r>
          </w:p>
        </w:tc>
      </w:tr>
      <w:tr w:rsidR="000B03C8" w:rsidRPr="001876AD" w14:paraId="470A46C6" w14:textId="77777777" w:rsidTr="00B76ADE">
        <w:trPr>
          <w:trHeight w:val="315"/>
        </w:trPr>
        <w:tc>
          <w:tcPr>
            <w:tcW w:w="1843" w:type="dxa"/>
            <w:noWrap/>
            <w:vAlign w:val="bottom"/>
            <w:hideMark/>
          </w:tcPr>
          <w:p w14:paraId="142CE806"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Duloxetine</w:t>
            </w:r>
          </w:p>
        </w:tc>
        <w:tc>
          <w:tcPr>
            <w:tcW w:w="965" w:type="dxa"/>
            <w:noWrap/>
            <w:vAlign w:val="bottom"/>
            <w:hideMark/>
          </w:tcPr>
          <w:p w14:paraId="19CDEB2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13,229</w:t>
            </w:r>
          </w:p>
        </w:tc>
        <w:tc>
          <w:tcPr>
            <w:tcW w:w="693" w:type="dxa"/>
            <w:noWrap/>
            <w:vAlign w:val="bottom"/>
            <w:hideMark/>
          </w:tcPr>
          <w:p w14:paraId="0BC3CB4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0.6</w:t>
            </w:r>
            <w:r w:rsidRPr="001876AD">
              <w:rPr>
                <w:rFonts w:ascii="Times New Roman" w:eastAsia="Meiryo UI" w:hAnsi="Times New Roman" w:hint="eastAsia"/>
                <w:color w:val="000000" w:themeColor="text1"/>
                <w:kern w:val="0"/>
                <w:sz w:val="18"/>
                <w:szCs w:val="18"/>
              </w:rPr>
              <w:t>)</w:t>
            </w:r>
          </w:p>
        </w:tc>
        <w:tc>
          <w:tcPr>
            <w:tcW w:w="1008" w:type="dxa"/>
            <w:noWrap/>
            <w:vAlign w:val="bottom"/>
            <w:hideMark/>
          </w:tcPr>
          <w:p w14:paraId="715A49E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13,215</w:t>
            </w:r>
          </w:p>
        </w:tc>
        <w:tc>
          <w:tcPr>
            <w:tcW w:w="783" w:type="dxa"/>
            <w:noWrap/>
            <w:vAlign w:val="bottom"/>
            <w:hideMark/>
          </w:tcPr>
          <w:p w14:paraId="2FD1ADA2"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1.0</w:t>
            </w:r>
            <w:r w:rsidRPr="001876AD">
              <w:rPr>
                <w:rFonts w:ascii="Times New Roman" w:eastAsia="Meiryo UI" w:hAnsi="Times New Roman" w:hint="eastAsia"/>
                <w:color w:val="000000" w:themeColor="text1"/>
                <w:kern w:val="0"/>
                <w:sz w:val="18"/>
                <w:szCs w:val="18"/>
              </w:rPr>
              <w:t>)</w:t>
            </w:r>
          </w:p>
        </w:tc>
        <w:tc>
          <w:tcPr>
            <w:tcW w:w="1186" w:type="dxa"/>
            <w:noWrap/>
            <w:vAlign w:val="bottom"/>
            <w:hideMark/>
          </w:tcPr>
          <w:p w14:paraId="19FEF8C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700,179</w:t>
            </w:r>
          </w:p>
        </w:tc>
        <w:tc>
          <w:tcPr>
            <w:tcW w:w="1138" w:type="dxa"/>
            <w:noWrap/>
            <w:vAlign w:val="bottom"/>
            <w:hideMark/>
          </w:tcPr>
          <w:p w14:paraId="659B4E86"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53.0</w:t>
            </w:r>
          </w:p>
        </w:tc>
        <w:tc>
          <w:tcPr>
            <w:tcW w:w="847" w:type="dxa"/>
            <w:noWrap/>
            <w:vAlign w:val="bottom"/>
            <w:hideMark/>
          </w:tcPr>
          <w:p w14:paraId="12204F2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21</w:t>
            </w:r>
          </w:p>
        </w:tc>
        <w:tc>
          <w:tcPr>
            <w:tcW w:w="783" w:type="dxa"/>
            <w:noWrap/>
            <w:vAlign w:val="bottom"/>
            <w:hideMark/>
          </w:tcPr>
          <w:p w14:paraId="7C89A19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0.0</w:t>
            </w:r>
            <w:r w:rsidRPr="001876AD">
              <w:rPr>
                <w:rFonts w:ascii="Times New Roman" w:eastAsia="Meiryo UI" w:hAnsi="Times New Roman" w:hint="eastAsia"/>
                <w:color w:val="000000" w:themeColor="text1"/>
                <w:kern w:val="0"/>
                <w:sz w:val="18"/>
                <w:szCs w:val="18"/>
              </w:rPr>
              <w:t>)</w:t>
            </w:r>
          </w:p>
        </w:tc>
      </w:tr>
      <w:tr w:rsidR="000B03C8" w:rsidRPr="001876AD" w14:paraId="5514D2A1" w14:textId="77777777" w:rsidTr="00B76ADE">
        <w:trPr>
          <w:trHeight w:val="315"/>
        </w:trPr>
        <w:tc>
          <w:tcPr>
            <w:tcW w:w="1843" w:type="dxa"/>
            <w:noWrap/>
            <w:vAlign w:val="bottom"/>
            <w:hideMark/>
          </w:tcPr>
          <w:p w14:paraId="7049F710"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Diazepam</w:t>
            </w:r>
          </w:p>
        </w:tc>
        <w:tc>
          <w:tcPr>
            <w:tcW w:w="965" w:type="dxa"/>
            <w:noWrap/>
            <w:vAlign w:val="bottom"/>
            <w:hideMark/>
          </w:tcPr>
          <w:p w14:paraId="6098188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9,751</w:t>
            </w:r>
          </w:p>
        </w:tc>
        <w:tc>
          <w:tcPr>
            <w:tcW w:w="693" w:type="dxa"/>
            <w:noWrap/>
            <w:vAlign w:val="bottom"/>
            <w:hideMark/>
          </w:tcPr>
          <w:p w14:paraId="45F296E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0.5</w:t>
            </w:r>
            <w:r w:rsidRPr="001876AD">
              <w:rPr>
                <w:rFonts w:ascii="Times New Roman" w:eastAsia="Meiryo UI" w:hAnsi="Times New Roman" w:hint="eastAsia"/>
                <w:color w:val="000000" w:themeColor="text1"/>
                <w:kern w:val="0"/>
                <w:sz w:val="18"/>
                <w:szCs w:val="18"/>
              </w:rPr>
              <w:t>)</w:t>
            </w:r>
          </w:p>
        </w:tc>
        <w:tc>
          <w:tcPr>
            <w:tcW w:w="1008" w:type="dxa"/>
            <w:noWrap/>
            <w:vAlign w:val="bottom"/>
            <w:hideMark/>
          </w:tcPr>
          <w:p w14:paraId="06936F1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6,793</w:t>
            </w:r>
          </w:p>
        </w:tc>
        <w:tc>
          <w:tcPr>
            <w:tcW w:w="783" w:type="dxa"/>
            <w:noWrap/>
            <w:vAlign w:val="bottom"/>
            <w:hideMark/>
          </w:tcPr>
          <w:p w14:paraId="611A6D8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0.5</w:t>
            </w:r>
            <w:r w:rsidRPr="001876AD">
              <w:rPr>
                <w:rFonts w:ascii="Times New Roman" w:eastAsia="Meiryo UI" w:hAnsi="Times New Roman" w:hint="eastAsia"/>
                <w:color w:val="000000" w:themeColor="text1"/>
                <w:kern w:val="0"/>
                <w:sz w:val="18"/>
                <w:szCs w:val="18"/>
              </w:rPr>
              <w:t>)</w:t>
            </w:r>
          </w:p>
        </w:tc>
        <w:tc>
          <w:tcPr>
            <w:tcW w:w="1186" w:type="dxa"/>
            <w:noWrap/>
            <w:vAlign w:val="bottom"/>
            <w:hideMark/>
          </w:tcPr>
          <w:p w14:paraId="4DE96EA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268,487</w:t>
            </w:r>
          </w:p>
        </w:tc>
        <w:tc>
          <w:tcPr>
            <w:tcW w:w="1138" w:type="dxa"/>
            <w:noWrap/>
            <w:vAlign w:val="bottom"/>
            <w:hideMark/>
          </w:tcPr>
          <w:p w14:paraId="0F479C0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39.5</w:t>
            </w:r>
          </w:p>
        </w:tc>
        <w:tc>
          <w:tcPr>
            <w:tcW w:w="847" w:type="dxa"/>
            <w:noWrap/>
            <w:vAlign w:val="bottom"/>
            <w:hideMark/>
          </w:tcPr>
          <w:p w14:paraId="493935F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3, 163</w:t>
            </w:r>
          </w:p>
        </w:tc>
        <w:tc>
          <w:tcPr>
            <w:tcW w:w="783" w:type="dxa"/>
            <w:noWrap/>
            <w:vAlign w:val="bottom"/>
            <w:hideMark/>
          </w:tcPr>
          <w:p w14:paraId="32D94AB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0.4</w:t>
            </w:r>
            <w:r w:rsidRPr="001876AD">
              <w:rPr>
                <w:rFonts w:ascii="Times New Roman" w:eastAsia="Meiryo UI" w:hAnsi="Times New Roman" w:hint="eastAsia"/>
                <w:color w:val="000000" w:themeColor="text1"/>
                <w:kern w:val="0"/>
                <w:sz w:val="18"/>
                <w:szCs w:val="18"/>
              </w:rPr>
              <w:t>)</w:t>
            </w:r>
          </w:p>
        </w:tc>
      </w:tr>
      <w:tr w:rsidR="000B03C8" w:rsidRPr="001876AD" w14:paraId="79FA82E3" w14:textId="77777777" w:rsidTr="00B76ADE">
        <w:trPr>
          <w:trHeight w:val="315"/>
        </w:trPr>
        <w:tc>
          <w:tcPr>
            <w:tcW w:w="1843" w:type="dxa"/>
            <w:tcBorders>
              <w:top w:val="nil"/>
              <w:left w:val="nil"/>
              <w:bottom w:val="single" w:sz="18" w:space="0" w:color="auto"/>
              <w:right w:val="nil"/>
            </w:tcBorders>
            <w:noWrap/>
            <w:vAlign w:val="bottom"/>
            <w:hideMark/>
          </w:tcPr>
          <w:p w14:paraId="1AE15D81"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Cilostazol</w:t>
            </w:r>
          </w:p>
        </w:tc>
        <w:tc>
          <w:tcPr>
            <w:tcW w:w="965" w:type="dxa"/>
            <w:tcBorders>
              <w:top w:val="nil"/>
              <w:left w:val="nil"/>
              <w:bottom w:val="single" w:sz="18" w:space="0" w:color="auto"/>
              <w:right w:val="nil"/>
            </w:tcBorders>
            <w:noWrap/>
            <w:vAlign w:val="bottom"/>
            <w:hideMark/>
          </w:tcPr>
          <w:p w14:paraId="52CCF0B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9,571</w:t>
            </w:r>
          </w:p>
        </w:tc>
        <w:tc>
          <w:tcPr>
            <w:tcW w:w="693" w:type="dxa"/>
            <w:tcBorders>
              <w:top w:val="nil"/>
              <w:left w:val="nil"/>
              <w:bottom w:val="single" w:sz="18" w:space="0" w:color="auto"/>
              <w:right w:val="nil"/>
            </w:tcBorders>
            <w:noWrap/>
            <w:vAlign w:val="bottom"/>
            <w:hideMark/>
          </w:tcPr>
          <w:p w14:paraId="1B3C321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0.5</w:t>
            </w:r>
            <w:r w:rsidRPr="001876AD">
              <w:rPr>
                <w:rFonts w:ascii="Times New Roman" w:eastAsia="Meiryo UI" w:hAnsi="Times New Roman" w:hint="eastAsia"/>
                <w:color w:val="000000" w:themeColor="text1"/>
                <w:kern w:val="0"/>
                <w:sz w:val="18"/>
                <w:szCs w:val="18"/>
              </w:rPr>
              <w:t>)</w:t>
            </w:r>
          </w:p>
        </w:tc>
        <w:tc>
          <w:tcPr>
            <w:tcW w:w="1008" w:type="dxa"/>
            <w:tcBorders>
              <w:top w:val="nil"/>
              <w:left w:val="nil"/>
              <w:bottom w:val="single" w:sz="18" w:space="0" w:color="auto"/>
              <w:right w:val="nil"/>
            </w:tcBorders>
            <w:noWrap/>
            <w:vAlign w:val="bottom"/>
            <w:hideMark/>
          </w:tcPr>
          <w:p w14:paraId="6F5A755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9,571</w:t>
            </w:r>
          </w:p>
        </w:tc>
        <w:tc>
          <w:tcPr>
            <w:tcW w:w="783" w:type="dxa"/>
            <w:tcBorders>
              <w:top w:val="nil"/>
              <w:left w:val="nil"/>
              <w:bottom w:val="single" w:sz="18" w:space="0" w:color="auto"/>
              <w:right w:val="nil"/>
            </w:tcBorders>
            <w:noWrap/>
            <w:vAlign w:val="bottom"/>
            <w:hideMark/>
          </w:tcPr>
          <w:p w14:paraId="7C558F4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0.7</w:t>
            </w:r>
            <w:r w:rsidRPr="001876AD">
              <w:rPr>
                <w:rFonts w:ascii="Times New Roman" w:eastAsia="Meiryo UI" w:hAnsi="Times New Roman" w:hint="eastAsia"/>
                <w:color w:val="000000" w:themeColor="text1"/>
                <w:kern w:val="0"/>
                <w:sz w:val="18"/>
                <w:szCs w:val="18"/>
              </w:rPr>
              <w:t>)</w:t>
            </w:r>
          </w:p>
        </w:tc>
        <w:tc>
          <w:tcPr>
            <w:tcW w:w="1186" w:type="dxa"/>
            <w:tcBorders>
              <w:top w:val="nil"/>
              <w:left w:val="nil"/>
              <w:bottom w:val="single" w:sz="18" w:space="0" w:color="auto"/>
              <w:right w:val="nil"/>
            </w:tcBorders>
            <w:noWrap/>
            <w:vAlign w:val="bottom"/>
            <w:hideMark/>
          </w:tcPr>
          <w:p w14:paraId="7965B76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732,272</w:t>
            </w:r>
          </w:p>
        </w:tc>
        <w:tc>
          <w:tcPr>
            <w:tcW w:w="1138" w:type="dxa"/>
            <w:tcBorders>
              <w:top w:val="nil"/>
              <w:left w:val="nil"/>
              <w:bottom w:val="single" w:sz="18" w:space="0" w:color="auto"/>
              <w:right w:val="nil"/>
            </w:tcBorders>
            <w:noWrap/>
            <w:vAlign w:val="bottom"/>
            <w:hideMark/>
          </w:tcPr>
          <w:p w14:paraId="4E3A084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76.5</w:t>
            </w:r>
          </w:p>
        </w:tc>
        <w:tc>
          <w:tcPr>
            <w:tcW w:w="847" w:type="dxa"/>
            <w:tcBorders>
              <w:top w:val="nil"/>
              <w:left w:val="nil"/>
              <w:bottom w:val="single" w:sz="18" w:space="0" w:color="auto"/>
              <w:right w:val="nil"/>
            </w:tcBorders>
            <w:noWrap/>
            <w:vAlign w:val="bottom"/>
            <w:hideMark/>
          </w:tcPr>
          <w:p w14:paraId="235CF44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0</w:t>
            </w:r>
          </w:p>
        </w:tc>
        <w:tc>
          <w:tcPr>
            <w:tcW w:w="783" w:type="dxa"/>
            <w:tcBorders>
              <w:top w:val="nil"/>
              <w:left w:val="nil"/>
              <w:bottom w:val="single" w:sz="18" w:space="0" w:color="auto"/>
              <w:right w:val="nil"/>
            </w:tcBorders>
            <w:noWrap/>
            <w:vAlign w:val="bottom"/>
            <w:hideMark/>
          </w:tcPr>
          <w:p w14:paraId="4014D34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hint="eastAsia"/>
                <w:color w:val="000000" w:themeColor="text1"/>
                <w:kern w:val="0"/>
                <w:sz w:val="18"/>
                <w:szCs w:val="18"/>
              </w:rPr>
              <w:t>(</w:t>
            </w:r>
            <w:r w:rsidRPr="001876AD">
              <w:rPr>
                <w:rFonts w:ascii="Times New Roman" w:eastAsia="Meiryo UI" w:hAnsi="Times New Roman"/>
                <w:color w:val="000000" w:themeColor="text1"/>
                <w:kern w:val="0"/>
                <w:sz w:val="18"/>
                <w:szCs w:val="18"/>
              </w:rPr>
              <w:t>0.0</w:t>
            </w:r>
            <w:r w:rsidRPr="001876AD">
              <w:rPr>
                <w:rFonts w:ascii="Times New Roman" w:eastAsia="Meiryo UI" w:hAnsi="Times New Roman" w:hint="eastAsia"/>
                <w:color w:val="000000" w:themeColor="text1"/>
                <w:kern w:val="0"/>
                <w:sz w:val="18"/>
                <w:szCs w:val="18"/>
              </w:rPr>
              <w:t>)</w:t>
            </w:r>
          </w:p>
        </w:tc>
      </w:tr>
    </w:tbl>
    <w:p w14:paraId="1A7C49D6" w14:textId="77777777" w:rsidR="000B03C8" w:rsidRPr="001876AD" w:rsidRDefault="000B03C8" w:rsidP="000B03C8">
      <w:pPr>
        <w:widowControl/>
        <w:snapToGrid w:val="0"/>
        <w:spacing w:line="480" w:lineRule="auto"/>
        <w:jc w:val="left"/>
        <w:rPr>
          <w:rFonts w:ascii="Times New Roman" w:eastAsia="Meiryo UI" w:hAnsi="Times New Roman"/>
          <w:sz w:val="18"/>
          <w:szCs w:val="18"/>
        </w:rPr>
      </w:pPr>
      <w:r w:rsidRPr="001876AD">
        <w:rPr>
          <w:rFonts w:ascii="Times New Roman" w:eastAsia="Meiryo UI" w:hAnsi="Times New Roman"/>
          <w:color w:val="000000" w:themeColor="text1"/>
          <w:sz w:val="18"/>
          <w:szCs w:val="18"/>
          <w:vertAlign w:val="superscript"/>
        </w:rPr>
        <w:t>a</w:t>
      </w:r>
      <w:r w:rsidRPr="001876AD">
        <w:rPr>
          <w:rFonts w:ascii="Century" w:eastAsia="MS Mincho" w:hAnsi="Century"/>
          <w:sz w:val="18"/>
          <w:szCs w:val="18"/>
        </w:rPr>
        <w:t xml:space="preserve"> </w:t>
      </w:r>
      <w:r w:rsidRPr="001876AD">
        <w:rPr>
          <w:rFonts w:ascii="Times New Roman" w:eastAsia="Meiryo UI" w:hAnsi="Times New Roman"/>
          <w:sz w:val="18"/>
          <w:szCs w:val="18"/>
        </w:rPr>
        <w:t xml:space="preserve">Traditional Japanese </w:t>
      </w:r>
      <w:r w:rsidRPr="001876AD">
        <w:rPr>
          <w:rFonts w:ascii="Times New Roman" w:eastAsia="Meiryo UI" w:hAnsi="Times New Roman"/>
          <w:bCs/>
          <w:sz w:val="18"/>
          <w:szCs w:val="18"/>
        </w:rPr>
        <w:t>herbal</w:t>
      </w:r>
      <w:r w:rsidRPr="001876AD">
        <w:rPr>
          <w:rFonts w:ascii="Times New Roman" w:eastAsia="Meiryo UI" w:hAnsi="Times New Roman"/>
          <w:sz w:val="18"/>
          <w:szCs w:val="18"/>
        </w:rPr>
        <w:t xml:space="preserve"> medicines</w:t>
      </w:r>
      <w:r w:rsidRPr="001876AD">
        <w:rPr>
          <w:rFonts w:ascii="Times New Roman" w:eastAsia="Meiryo UI" w:hAnsi="Times New Roman" w:hint="eastAsia"/>
          <w:sz w:val="18"/>
          <w:szCs w:val="18"/>
        </w:rPr>
        <w:t>.</w:t>
      </w:r>
    </w:p>
    <w:p w14:paraId="2D294486" w14:textId="77777777" w:rsidR="000B03C8" w:rsidRPr="001876AD" w:rsidRDefault="000B03C8" w:rsidP="000B03C8">
      <w:pPr>
        <w:widowControl/>
        <w:snapToGrid w:val="0"/>
        <w:spacing w:line="480" w:lineRule="auto"/>
        <w:jc w:val="left"/>
        <w:rPr>
          <w:rFonts w:ascii="Times New Roman" w:hAnsi="Times New Roman"/>
          <w:sz w:val="18"/>
          <w:szCs w:val="18"/>
        </w:rPr>
      </w:pPr>
      <w:r w:rsidRPr="001876AD">
        <w:rPr>
          <w:rFonts w:ascii="Times New Roman" w:hAnsi="Times New Roman"/>
          <w:bCs/>
          <w:sz w:val="18"/>
          <w:szCs w:val="18"/>
        </w:rPr>
        <w:t>PRN:</w:t>
      </w:r>
      <w:r w:rsidRPr="001876AD">
        <w:rPr>
          <w:rFonts w:ascii="Times New Roman" w:hAnsi="Times New Roman" w:hint="eastAsia"/>
          <w:bCs/>
          <w:sz w:val="18"/>
          <w:szCs w:val="18"/>
        </w:rPr>
        <w:t xml:space="preserve"> </w:t>
      </w:r>
      <w:r w:rsidRPr="001876AD">
        <w:rPr>
          <w:rFonts w:ascii="Times New Roman" w:hAnsi="Times New Roman" w:hint="eastAsia"/>
          <w:sz w:val="18"/>
          <w:szCs w:val="18"/>
        </w:rPr>
        <w:t>p</w:t>
      </w:r>
      <w:r w:rsidRPr="001876AD">
        <w:rPr>
          <w:rFonts w:ascii="Times New Roman" w:hAnsi="Times New Roman"/>
          <w:sz w:val="18"/>
          <w:szCs w:val="18"/>
        </w:rPr>
        <w:t>ro re nata (as needed)</w:t>
      </w:r>
      <w:r w:rsidRPr="001876AD">
        <w:rPr>
          <w:rFonts w:ascii="Times New Roman" w:hAnsi="Times New Roman" w:hint="eastAsia"/>
          <w:sz w:val="18"/>
          <w:szCs w:val="18"/>
        </w:rPr>
        <w:t xml:space="preserve">; </w:t>
      </w:r>
      <w:r w:rsidRPr="001876AD">
        <w:rPr>
          <w:rFonts w:ascii="Times New Roman" w:eastAsia="Meiryo UI" w:hAnsi="Times New Roman"/>
          <w:color w:val="000000" w:themeColor="text1"/>
          <w:kern w:val="0"/>
          <w:sz w:val="18"/>
          <w:szCs w:val="18"/>
        </w:rPr>
        <w:t>TA combination:</w:t>
      </w:r>
      <w:r w:rsidRPr="001876AD">
        <w:rPr>
          <w:rFonts w:ascii="Times New Roman" w:eastAsia="Meiryo UI" w:hAnsi="Times New Roman" w:hint="eastAsia"/>
          <w:color w:val="000000" w:themeColor="text1"/>
          <w:kern w:val="0"/>
          <w:sz w:val="18"/>
          <w:szCs w:val="18"/>
        </w:rPr>
        <w:t xml:space="preserve"> </w:t>
      </w:r>
      <w:r w:rsidRPr="001876AD">
        <w:rPr>
          <w:rFonts w:ascii="Times New Roman" w:hAnsi="Times New Roman" w:hint="eastAsia"/>
          <w:sz w:val="18"/>
          <w:szCs w:val="18"/>
        </w:rPr>
        <w:t>t</w:t>
      </w:r>
      <w:r w:rsidRPr="001876AD">
        <w:rPr>
          <w:rFonts w:ascii="Times New Roman" w:hAnsi="Times New Roman"/>
          <w:sz w:val="18"/>
          <w:szCs w:val="18"/>
        </w:rPr>
        <w:t>ramadol &amp; acetaminophen combination</w:t>
      </w:r>
      <w:r w:rsidRPr="001876AD">
        <w:rPr>
          <w:rFonts w:ascii="Times New Roman" w:hAnsi="Times New Roman" w:hint="eastAsia"/>
          <w:sz w:val="18"/>
          <w:szCs w:val="18"/>
        </w:rPr>
        <w:t>.</w:t>
      </w:r>
      <w:r w:rsidRPr="001876AD">
        <w:rPr>
          <w:rFonts w:ascii="Times New Roman" w:hAnsi="Times New Roman"/>
          <w:sz w:val="18"/>
          <w:szCs w:val="18"/>
        </w:rPr>
        <w:br w:type="page"/>
      </w:r>
    </w:p>
    <w:p w14:paraId="2336A1D9" w14:textId="77777777" w:rsidR="000B03C8" w:rsidRPr="001876AD" w:rsidRDefault="000B03C8" w:rsidP="000B03C8">
      <w:pPr>
        <w:spacing w:line="480" w:lineRule="auto"/>
        <w:rPr>
          <w:rFonts w:ascii="Meiryo" w:eastAsia="Meiryo" w:hAnsi="Meiryo" w:cs="Meiryo"/>
          <w:b/>
          <w:sz w:val="24"/>
          <w:szCs w:val="24"/>
        </w:rPr>
        <w:sectPr w:rsidR="000B03C8" w:rsidRPr="001876AD" w:rsidSect="00B76ADE">
          <w:headerReference w:type="even" r:id="rId7"/>
          <w:headerReference w:type="default" r:id="rId8"/>
          <w:footerReference w:type="even" r:id="rId9"/>
          <w:footerReference w:type="default" r:id="rId10"/>
          <w:headerReference w:type="first" r:id="rId11"/>
          <w:footerReference w:type="first" r:id="rId12"/>
          <w:pgSz w:w="11906" w:h="16838" w:code="9"/>
          <w:pgMar w:top="1701" w:right="1699" w:bottom="1699" w:left="1699" w:header="851" w:footer="992" w:gutter="0"/>
          <w:cols w:space="425"/>
          <w:docGrid w:linePitch="360"/>
        </w:sectPr>
      </w:pPr>
    </w:p>
    <w:p w14:paraId="01EBBB28" w14:textId="77777777" w:rsidR="000B03C8" w:rsidRPr="001876AD" w:rsidRDefault="000B03C8" w:rsidP="000B03C8">
      <w:pPr>
        <w:autoSpaceDE w:val="0"/>
        <w:autoSpaceDN w:val="0"/>
        <w:adjustRightInd w:val="0"/>
        <w:snapToGrid w:val="0"/>
        <w:spacing w:line="480" w:lineRule="auto"/>
        <w:jc w:val="left"/>
        <w:rPr>
          <w:rFonts w:ascii="Times New Roman" w:eastAsia="Meiryo UI" w:hAnsi="Times New Roman"/>
          <w:color w:val="000000" w:themeColor="text1"/>
          <w:kern w:val="0"/>
          <w:sz w:val="24"/>
          <w:szCs w:val="24"/>
        </w:rPr>
      </w:pPr>
      <w:r w:rsidRPr="001876AD">
        <w:rPr>
          <w:rFonts w:ascii="Times New Roman" w:eastAsia="Meiryo UI" w:hAnsi="Times New Roman"/>
          <w:b/>
          <w:bCs/>
          <w:color w:val="000000" w:themeColor="text1"/>
          <w:sz w:val="24"/>
          <w:szCs w:val="24"/>
        </w:rPr>
        <w:lastRenderedPageBreak/>
        <w:t>Table S2</w:t>
      </w:r>
      <w:r w:rsidRPr="001876AD">
        <w:rPr>
          <w:rFonts w:ascii="Times New Roman" w:eastAsia="Meiryo UI" w:hAnsi="Times New Roman"/>
          <w:b/>
          <w:color w:val="000000" w:themeColor="text1"/>
          <w:kern w:val="0"/>
          <w:sz w:val="24"/>
          <w:szCs w:val="24"/>
        </w:rPr>
        <w:t xml:space="preserve">. </w:t>
      </w:r>
      <w:r w:rsidRPr="001876AD">
        <w:rPr>
          <w:rFonts w:ascii="Times New Roman" w:eastAsia="Meiryo UI" w:hAnsi="Times New Roman"/>
          <w:color w:val="000000" w:themeColor="text1"/>
          <w:kern w:val="0"/>
          <w:sz w:val="24"/>
          <w:szCs w:val="24"/>
        </w:rPr>
        <w:t>Effects of age on median daily prescription doses for continued prescriptions (subgroup analysis).</w:t>
      </w:r>
    </w:p>
    <w:tbl>
      <w:tblPr>
        <w:tblW w:w="13869" w:type="dxa"/>
        <w:tblCellMar>
          <w:left w:w="99" w:type="dxa"/>
          <w:right w:w="99" w:type="dxa"/>
        </w:tblCellMar>
        <w:tblLook w:val="04A0" w:firstRow="1" w:lastRow="0" w:firstColumn="1" w:lastColumn="0" w:noHBand="0" w:noVBand="1"/>
      </w:tblPr>
      <w:tblGrid>
        <w:gridCol w:w="1800"/>
        <w:gridCol w:w="1079"/>
        <w:gridCol w:w="785"/>
        <w:gridCol w:w="918"/>
        <w:gridCol w:w="1138"/>
        <w:gridCol w:w="204"/>
        <w:gridCol w:w="1046"/>
        <w:gridCol w:w="748"/>
        <w:gridCol w:w="973"/>
        <w:gridCol w:w="1138"/>
        <w:gridCol w:w="204"/>
        <w:gridCol w:w="1032"/>
        <w:gridCol w:w="748"/>
        <w:gridCol w:w="918"/>
        <w:gridCol w:w="1122"/>
        <w:gridCol w:w="16"/>
      </w:tblGrid>
      <w:tr w:rsidR="000B03C8" w:rsidRPr="001876AD" w14:paraId="5F62642B" w14:textId="77777777" w:rsidTr="00B76ADE">
        <w:trPr>
          <w:trHeight w:val="184"/>
        </w:trPr>
        <w:tc>
          <w:tcPr>
            <w:tcW w:w="1800" w:type="dxa"/>
            <w:vMerge w:val="restart"/>
            <w:tcBorders>
              <w:top w:val="single" w:sz="18" w:space="0" w:color="auto"/>
              <w:left w:val="nil"/>
            </w:tcBorders>
            <w:noWrap/>
            <w:vAlign w:val="center"/>
            <w:hideMark/>
          </w:tcPr>
          <w:p w14:paraId="4B779F49" w14:textId="77777777" w:rsidR="000B03C8" w:rsidRPr="001876AD" w:rsidRDefault="000B03C8" w:rsidP="00B76ADE">
            <w:pPr>
              <w:snapToGrid w:val="0"/>
              <w:spacing w:line="480" w:lineRule="auto"/>
              <w:jc w:val="center"/>
              <w:rPr>
                <w:rFonts w:ascii="Times New Roman" w:eastAsia="Meiryo UI" w:hAnsi="Times New Roman"/>
                <w:b/>
                <w:color w:val="000000" w:themeColor="text1"/>
                <w:kern w:val="0"/>
                <w:sz w:val="18"/>
                <w:szCs w:val="18"/>
              </w:rPr>
            </w:pPr>
            <w:r w:rsidRPr="001876AD">
              <w:rPr>
                <w:rFonts w:ascii="Times New Roman" w:eastAsia="Meiryo UI" w:hAnsi="Times New Roman" w:hint="eastAsia"/>
                <w:b/>
                <w:color w:val="000000" w:themeColor="text1"/>
                <w:kern w:val="0"/>
                <w:sz w:val="18"/>
                <w:szCs w:val="18"/>
              </w:rPr>
              <w:t>Drug</w:t>
            </w:r>
          </w:p>
        </w:tc>
        <w:tc>
          <w:tcPr>
            <w:tcW w:w="3920" w:type="dxa"/>
            <w:gridSpan w:val="4"/>
            <w:tcBorders>
              <w:top w:val="single" w:sz="18" w:space="0" w:color="auto"/>
              <w:bottom w:val="single" w:sz="4" w:space="0" w:color="auto"/>
            </w:tcBorders>
            <w:noWrap/>
            <w:vAlign w:val="center"/>
            <w:hideMark/>
          </w:tcPr>
          <w:p w14:paraId="47267E60"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r w:rsidRPr="001876AD">
              <w:rPr>
                <w:rFonts w:ascii="Times New Roman" w:eastAsia="MS Mincho" w:hAnsi="Times New Roman"/>
                <w:b/>
                <w:color w:val="000000" w:themeColor="text1"/>
                <w:sz w:val="18"/>
                <w:szCs w:val="18"/>
              </w:rPr>
              <w:t xml:space="preserve">≤ </w:t>
            </w:r>
            <w:r w:rsidRPr="001876AD">
              <w:rPr>
                <w:rFonts w:ascii="Times New Roman" w:eastAsia="Meiryo UI" w:hAnsi="Times New Roman"/>
                <w:b/>
                <w:color w:val="000000" w:themeColor="text1"/>
                <w:kern w:val="0"/>
                <w:sz w:val="18"/>
                <w:szCs w:val="18"/>
              </w:rPr>
              <w:t>14 years</w:t>
            </w:r>
          </w:p>
        </w:tc>
        <w:tc>
          <w:tcPr>
            <w:tcW w:w="204" w:type="dxa"/>
            <w:tcBorders>
              <w:top w:val="single" w:sz="18" w:space="0" w:color="auto"/>
            </w:tcBorders>
            <w:vAlign w:val="center"/>
          </w:tcPr>
          <w:p w14:paraId="2ACB04F7"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p>
        </w:tc>
        <w:tc>
          <w:tcPr>
            <w:tcW w:w="3905" w:type="dxa"/>
            <w:gridSpan w:val="4"/>
            <w:tcBorders>
              <w:top w:val="single" w:sz="18" w:space="0" w:color="auto"/>
              <w:bottom w:val="single" w:sz="4" w:space="0" w:color="auto"/>
            </w:tcBorders>
            <w:noWrap/>
            <w:vAlign w:val="center"/>
            <w:hideMark/>
          </w:tcPr>
          <w:p w14:paraId="498A3446"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r w:rsidRPr="001876AD">
              <w:rPr>
                <w:rFonts w:ascii="Times New Roman" w:eastAsia="Meiryo UI" w:hAnsi="Times New Roman"/>
                <w:b/>
                <w:color w:val="000000" w:themeColor="text1"/>
                <w:kern w:val="0"/>
                <w:sz w:val="18"/>
                <w:szCs w:val="18"/>
              </w:rPr>
              <w:t>15 to 64 years</w:t>
            </w:r>
          </w:p>
        </w:tc>
        <w:tc>
          <w:tcPr>
            <w:tcW w:w="204" w:type="dxa"/>
            <w:tcBorders>
              <w:top w:val="single" w:sz="18" w:space="0" w:color="auto"/>
            </w:tcBorders>
            <w:vAlign w:val="center"/>
          </w:tcPr>
          <w:p w14:paraId="56043247" w14:textId="77777777" w:rsidR="000B03C8" w:rsidRPr="001876AD" w:rsidRDefault="000B03C8" w:rsidP="00B76ADE">
            <w:pPr>
              <w:pStyle w:val="ListParagraph"/>
              <w:widowControl/>
              <w:snapToGrid w:val="0"/>
              <w:spacing w:line="480" w:lineRule="auto"/>
              <w:ind w:leftChars="0" w:left="360"/>
              <w:jc w:val="center"/>
              <w:rPr>
                <w:rFonts w:ascii="Times New Roman" w:eastAsia="Meiryo UI" w:hAnsi="Times New Roman"/>
                <w:b/>
                <w:i/>
                <w:color w:val="000000" w:themeColor="text1"/>
                <w:sz w:val="18"/>
                <w:szCs w:val="18"/>
              </w:rPr>
            </w:pPr>
          </w:p>
        </w:tc>
        <w:tc>
          <w:tcPr>
            <w:tcW w:w="3836" w:type="dxa"/>
            <w:gridSpan w:val="5"/>
            <w:tcBorders>
              <w:top w:val="single" w:sz="18" w:space="0" w:color="auto"/>
              <w:bottom w:val="single" w:sz="4" w:space="0" w:color="auto"/>
              <w:right w:val="nil"/>
            </w:tcBorders>
            <w:noWrap/>
            <w:vAlign w:val="center"/>
            <w:hideMark/>
          </w:tcPr>
          <w:p w14:paraId="7A09A741" w14:textId="77777777" w:rsidR="000B03C8" w:rsidRPr="001876AD" w:rsidRDefault="000B03C8" w:rsidP="00B76ADE">
            <w:pPr>
              <w:pStyle w:val="ListParagraph"/>
              <w:widowControl/>
              <w:snapToGrid w:val="0"/>
              <w:spacing w:line="480" w:lineRule="auto"/>
              <w:ind w:leftChars="0" w:left="360"/>
              <w:jc w:val="center"/>
              <w:rPr>
                <w:rFonts w:ascii="Times New Roman" w:eastAsia="Meiryo UI" w:hAnsi="Times New Roman"/>
                <w:b/>
                <w:color w:val="000000" w:themeColor="text1"/>
                <w:kern w:val="0"/>
                <w:sz w:val="18"/>
                <w:szCs w:val="18"/>
              </w:rPr>
            </w:pPr>
            <w:r w:rsidRPr="001876AD">
              <w:rPr>
                <w:rFonts w:ascii="Times New Roman" w:eastAsia="Meiryo UI" w:hAnsi="Times New Roman"/>
                <w:b/>
                <w:i/>
                <w:color w:val="000000" w:themeColor="text1"/>
                <w:sz w:val="18"/>
                <w:szCs w:val="18"/>
              </w:rPr>
              <w:t xml:space="preserve">≥ </w:t>
            </w:r>
            <w:r w:rsidRPr="001876AD">
              <w:rPr>
                <w:rFonts w:ascii="Times New Roman" w:eastAsia="Meiryo UI" w:hAnsi="Times New Roman"/>
                <w:b/>
                <w:color w:val="000000" w:themeColor="text1"/>
                <w:kern w:val="0"/>
                <w:sz w:val="18"/>
                <w:szCs w:val="18"/>
              </w:rPr>
              <w:t>65 years</w:t>
            </w:r>
          </w:p>
        </w:tc>
      </w:tr>
      <w:tr w:rsidR="000B03C8" w:rsidRPr="001876AD" w14:paraId="40030D49" w14:textId="77777777" w:rsidTr="00B76ADE">
        <w:trPr>
          <w:trHeight w:val="624"/>
        </w:trPr>
        <w:tc>
          <w:tcPr>
            <w:tcW w:w="1800" w:type="dxa"/>
            <w:vMerge/>
            <w:tcBorders>
              <w:left w:val="nil"/>
              <w:bottom w:val="single" w:sz="18" w:space="0" w:color="auto"/>
            </w:tcBorders>
            <w:noWrap/>
            <w:vAlign w:val="center"/>
            <w:hideMark/>
          </w:tcPr>
          <w:p w14:paraId="5CA9B3B0"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p>
        </w:tc>
        <w:tc>
          <w:tcPr>
            <w:tcW w:w="1079" w:type="dxa"/>
            <w:tcBorders>
              <w:top w:val="single" w:sz="4" w:space="0" w:color="auto"/>
              <w:bottom w:val="single" w:sz="18" w:space="0" w:color="auto"/>
            </w:tcBorders>
            <w:noWrap/>
            <w:vAlign w:val="center"/>
            <w:hideMark/>
          </w:tcPr>
          <w:p w14:paraId="755F609E" w14:textId="77777777" w:rsidR="000B03C8" w:rsidRPr="001876AD" w:rsidRDefault="000B03C8" w:rsidP="00B76ADE">
            <w:pPr>
              <w:widowControl/>
              <w:tabs>
                <w:tab w:val="left" w:pos="505"/>
              </w:tabs>
              <w:snapToGrid w:val="0"/>
              <w:spacing w:line="480" w:lineRule="auto"/>
              <w:jc w:val="center"/>
              <w:rPr>
                <w:rFonts w:ascii="Times New Roman" w:eastAsia="Meiryo UI" w:hAnsi="Times New Roman"/>
                <w:b/>
                <w:color w:val="000000" w:themeColor="text1"/>
                <w:kern w:val="0"/>
                <w:sz w:val="18"/>
                <w:szCs w:val="18"/>
              </w:rPr>
            </w:pPr>
            <w:r w:rsidRPr="001876AD">
              <w:rPr>
                <w:rFonts w:ascii="Times New Roman" w:eastAsia="Meiryo UI" w:hAnsi="Times New Roman"/>
                <w:b/>
                <w:color w:val="000000" w:themeColor="text1"/>
                <w:kern w:val="0"/>
                <w:sz w:val="18"/>
                <w:szCs w:val="18"/>
              </w:rPr>
              <w:t>Number of patients</w:t>
            </w:r>
          </w:p>
        </w:tc>
        <w:tc>
          <w:tcPr>
            <w:tcW w:w="785" w:type="dxa"/>
            <w:tcBorders>
              <w:top w:val="single" w:sz="4" w:space="0" w:color="auto"/>
              <w:bottom w:val="single" w:sz="18" w:space="0" w:color="auto"/>
            </w:tcBorders>
            <w:vAlign w:val="center"/>
            <w:hideMark/>
          </w:tcPr>
          <w:p w14:paraId="670A8D00"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p>
        </w:tc>
        <w:tc>
          <w:tcPr>
            <w:tcW w:w="918" w:type="dxa"/>
            <w:tcBorders>
              <w:top w:val="single" w:sz="4" w:space="0" w:color="auto"/>
              <w:bottom w:val="single" w:sz="18" w:space="0" w:color="auto"/>
            </w:tcBorders>
            <w:vAlign w:val="center"/>
            <w:hideMark/>
          </w:tcPr>
          <w:p w14:paraId="1AD01FBB"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r w:rsidRPr="001876AD">
              <w:rPr>
                <w:rFonts w:ascii="Times New Roman" w:eastAsia="Meiryo UI" w:hAnsi="Times New Roman"/>
                <w:b/>
                <w:color w:val="000000" w:themeColor="text1"/>
                <w:kern w:val="0"/>
                <w:sz w:val="18"/>
                <w:szCs w:val="18"/>
              </w:rPr>
              <w:t>Total dose (mg)</w:t>
            </w:r>
          </w:p>
        </w:tc>
        <w:tc>
          <w:tcPr>
            <w:tcW w:w="1138" w:type="dxa"/>
            <w:tcBorders>
              <w:top w:val="single" w:sz="4" w:space="0" w:color="auto"/>
              <w:bottom w:val="single" w:sz="18" w:space="0" w:color="auto"/>
            </w:tcBorders>
            <w:vAlign w:val="center"/>
            <w:hideMark/>
          </w:tcPr>
          <w:p w14:paraId="3D5DFD89"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r w:rsidRPr="001876AD">
              <w:rPr>
                <w:rFonts w:ascii="Times New Roman" w:eastAsia="Meiryo UI" w:hAnsi="Times New Roman"/>
                <w:b/>
                <w:color w:val="000000" w:themeColor="text1"/>
                <w:kern w:val="0"/>
                <w:sz w:val="18"/>
                <w:szCs w:val="18"/>
              </w:rPr>
              <w:t>Median daily prescription dose (mg)</w:t>
            </w:r>
          </w:p>
        </w:tc>
        <w:tc>
          <w:tcPr>
            <w:tcW w:w="204" w:type="dxa"/>
            <w:tcBorders>
              <w:bottom w:val="single" w:sz="18" w:space="0" w:color="auto"/>
            </w:tcBorders>
            <w:vAlign w:val="center"/>
          </w:tcPr>
          <w:p w14:paraId="59D437E0"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p>
        </w:tc>
        <w:tc>
          <w:tcPr>
            <w:tcW w:w="1046" w:type="dxa"/>
            <w:tcBorders>
              <w:top w:val="single" w:sz="4" w:space="0" w:color="auto"/>
              <w:bottom w:val="single" w:sz="18" w:space="0" w:color="auto"/>
            </w:tcBorders>
            <w:vAlign w:val="center"/>
            <w:hideMark/>
          </w:tcPr>
          <w:p w14:paraId="3D7074AD"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r w:rsidRPr="001876AD">
              <w:rPr>
                <w:rFonts w:ascii="Times New Roman" w:eastAsia="Meiryo UI" w:hAnsi="Times New Roman"/>
                <w:b/>
                <w:color w:val="000000" w:themeColor="text1"/>
                <w:kern w:val="0"/>
                <w:sz w:val="18"/>
                <w:szCs w:val="18"/>
              </w:rPr>
              <w:t>Number of patients</w:t>
            </w:r>
          </w:p>
        </w:tc>
        <w:tc>
          <w:tcPr>
            <w:tcW w:w="748" w:type="dxa"/>
            <w:tcBorders>
              <w:top w:val="single" w:sz="4" w:space="0" w:color="auto"/>
              <w:bottom w:val="single" w:sz="18" w:space="0" w:color="auto"/>
            </w:tcBorders>
            <w:vAlign w:val="center"/>
            <w:hideMark/>
          </w:tcPr>
          <w:p w14:paraId="1E38E4B2"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p>
        </w:tc>
        <w:tc>
          <w:tcPr>
            <w:tcW w:w="973" w:type="dxa"/>
            <w:tcBorders>
              <w:top w:val="single" w:sz="4" w:space="0" w:color="auto"/>
              <w:bottom w:val="single" w:sz="18" w:space="0" w:color="auto"/>
            </w:tcBorders>
            <w:vAlign w:val="center"/>
            <w:hideMark/>
          </w:tcPr>
          <w:p w14:paraId="07AA3DF6"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r w:rsidRPr="001876AD">
              <w:rPr>
                <w:rFonts w:ascii="Times New Roman" w:eastAsia="Meiryo UI" w:hAnsi="Times New Roman"/>
                <w:b/>
                <w:color w:val="000000" w:themeColor="text1"/>
                <w:kern w:val="0"/>
                <w:sz w:val="18"/>
                <w:szCs w:val="18"/>
              </w:rPr>
              <w:t>Total dose (mg)</w:t>
            </w:r>
          </w:p>
        </w:tc>
        <w:tc>
          <w:tcPr>
            <w:tcW w:w="1138" w:type="dxa"/>
            <w:tcBorders>
              <w:top w:val="single" w:sz="4" w:space="0" w:color="auto"/>
              <w:bottom w:val="single" w:sz="18" w:space="0" w:color="auto"/>
            </w:tcBorders>
            <w:vAlign w:val="center"/>
            <w:hideMark/>
          </w:tcPr>
          <w:p w14:paraId="2917A9CF"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r w:rsidRPr="001876AD">
              <w:rPr>
                <w:rFonts w:ascii="Times New Roman" w:eastAsia="Meiryo UI" w:hAnsi="Times New Roman"/>
                <w:b/>
                <w:color w:val="000000" w:themeColor="text1"/>
                <w:kern w:val="0"/>
                <w:sz w:val="18"/>
                <w:szCs w:val="18"/>
              </w:rPr>
              <w:t>Median daily prescription dose (mg)</w:t>
            </w:r>
          </w:p>
        </w:tc>
        <w:tc>
          <w:tcPr>
            <w:tcW w:w="204" w:type="dxa"/>
            <w:tcBorders>
              <w:bottom w:val="single" w:sz="18" w:space="0" w:color="auto"/>
            </w:tcBorders>
            <w:vAlign w:val="center"/>
          </w:tcPr>
          <w:p w14:paraId="0BDA40D2"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p>
        </w:tc>
        <w:tc>
          <w:tcPr>
            <w:tcW w:w="1032" w:type="dxa"/>
            <w:tcBorders>
              <w:top w:val="single" w:sz="4" w:space="0" w:color="auto"/>
              <w:bottom w:val="single" w:sz="18" w:space="0" w:color="auto"/>
            </w:tcBorders>
            <w:vAlign w:val="center"/>
            <w:hideMark/>
          </w:tcPr>
          <w:p w14:paraId="4EF56ADD"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r w:rsidRPr="001876AD">
              <w:rPr>
                <w:rFonts w:ascii="Times New Roman" w:eastAsia="Meiryo UI" w:hAnsi="Times New Roman"/>
                <w:b/>
                <w:color w:val="000000" w:themeColor="text1"/>
                <w:kern w:val="0"/>
                <w:sz w:val="18"/>
                <w:szCs w:val="18"/>
              </w:rPr>
              <w:t>Number of patients</w:t>
            </w:r>
          </w:p>
        </w:tc>
        <w:tc>
          <w:tcPr>
            <w:tcW w:w="748" w:type="dxa"/>
            <w:tcBorders>
              <w:top w:val="single" w:sz="4" w:space="0" w:color="auto"/>
              <w:bottom w:val="single" w:sz="18" w:space="0" w:color="auto"/>
            </w:tcBorders>
            <w:vAlign w:val="center"/>
            <w:hideMark/>
          </w:tcPr>
          <w:p w14:paraId="3811916D" w14:textId="77777777" w:rsidR="000B03C8" w:rsidRPr="001876AD" w:rsidRDefault="000B03C8" w:rsidP="00B76ADE">
            <w:pPr>
              <w:widowControl/>
              <w:snapToGrid w:val="0"/>
              <w:spacing w:line="480" w:lineRule="auto"/>
              <w:ind w:rightChars="36" w:right="76"/>
              <w:jc w:val="center"/>
              <w:rPr>
                <w:rFonts w:ascii="Times New Roman" w:eastAsia="Meiryo UI" w:hAnsi="Times New Roman"/>
                <w:b/>
                <w:color w:val="000000" w:themeColor="text1"/>
                <w:kern w:val="0"/>
                <w:sz w:val="18"/>
                <w:szCs w:val="18"/>
              </w:rPr>
            </w:pPr>
          </w:p>
        </w:tc>
        <w:tc>
          <w:tcPr>
            <w:tcW w:w="918" w:type="dxa"/>
            <w:tcBorders>
              <w:top w:val="single" w:sz="4" w:space="0" w:color="auto"/>
              <w:bottom w:val="single" w:sz="18" w:space="0" w:color="auto"/>
            </w:tcBorders>
            <w:vAlign w:val="center"/>
            <w:hideMark/>
          </w:tcPr>
          <w:p w14:paraId="1504E714"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r w:rsidRPr="001876AD">
              <w:rPr>
                <w:rFonts w:ascii="Times New Roman" w:eastAsia="Meiryo UI" w:hAnsi="Times New Roman"/>
                <w:b/>
                <w:color w:val="000000" w:themeColor="text1"/>
                <w:kern w:val="0"/>
                <w:sz w:val="18"/>
                <w:szCs w:val="18"/>
              </w:rPr>
              <w:t>Total dose (mg)</w:t>
            </w:r>
          </w:p>
        </w:tc>
        <w:tc>
          <w:tcPr>
            <w:tcW w:w="1138" w:type="dxa"/>
            <w:gridSpan w:val="2"/>
            <w:tcBorders>
              <w:top w:val="single" w:sz="4" w:space="0" w:color="auto"/>
              <w:bottom w:val="single" w:sz="18" w:space="0" w:color="auto"/>
              <w:right w:val="nil"/>
            </w:tcBorders>
            <w:vAlign w:val="center"/>
            <w:hideMark/>
          </w:tcPr>
          <w:p w14:paraId="7821B3FE" w14:textId="77777777" w:rsidR="000B03C8" w:rsidRPr="001876AD" w:rsidRDefault="000B03C8" w:rsidP="00B76ADE">
            <w:pPr>
              <w:widowControl/>
              <w:snapToGrid w:val="0"/>
              <w:spacing w:line="480" w:lineRule="auto"/>
              <w:jc w:val="center"/>
              <w:rPr>
                <w:rFonts w:ascii="Times New Roman" w:eastAsia="Meiryo UI" w:hAnsi="Times New Roman"/>
                <w:b/>
                <w:color w:val="000000" w:themeColor="text1"/>
                <w:kern w:val="0"/>
                <w:sz w:val="18"/>
                <w:szCs w:val="18"/>
              </w:rPr>
            </w:pPr>
            <w:r w:rsidRPr="001876AD">
              <w:rPr>
                <w:rFonts w:ascii="Times New Roman" w:eastAsia="Meiryo UI" w:hAnsi="Times New Roman"/>
                <w:b/>
                <w:color w:val="000000" w:themeColor="text1"/>
                <w:kern w:val="0"/>
                <w:sz w:val="18"/>
                <w:szCs w:val="18"/>
              </w:rPr>
              <w:t>Median daily prescription dose (mg)</w:t>
            </w:r>
          </w:p>
        </w:tc>
      </w:tr>
      <w:tr w:rsidR="000B03C8" w:rsidRPr="001876AD" w14:paraId="33FDD985" w14:textId="77777777" w:rsidTr="00B76ADE">
        <w:trPr>
          <w:gridAfter w:val="1"/>
          <w:wAfter w:w="16" w:type="dxa"/>
          <w:trHeight w:val="94"/>
        </w:trPr>
        <w:tc>
          <w:tcPr>
            <w:tcW w:w="1800" w:type="dxa"/>
            <w:tcBorders>
              <w:top w:val="single" w:sz="18" w:space="0" w:color="auto"/>
              <w:right w:val="nil"/>
            </w:tcBorders>
            <w:noWrap/>
            <w:hideMark/>
          </w:tcPr>
          <w:p w14:paraId="502186A8" w14:textId="77777777" w:rsidR="000B03C8" w:rsidRPr="001876AD" w:rsidRDefault="000B03C8" w:rsidP="00B76ADE">
            <w:pPr>
              <w:widowControl/>
              <w:snapToGrid w:val="0"/>
              <w:spacing w:line="480" w:lineRule="auto"/>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Loxoprofen</w:t>
            </w:r>
          </w:p>
        </w:tc>
        <w:tc>
          <w:tcPr>
            <w:tcW w:w="1079" w:type="dxa"/>
            <w:tcBorders>
              <w:top w:val="single" w:sz="18" w:space="0" w:color="auto"/>
              <w:left w:val="nil"/>
              <w:right w:val="nil"/>
            </w:tcBorders>
            <w:noWrap/>
            <w:vAlign w:val="center"/>
            <w:hideMark/>
          </w:tcPr>
          <w:p w14:paraId="3137AC68"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748</w:t>
            </w:r>
          </w:p>
        </w:tc>
        <w:tc>
          <w:tcPr>
            <w:tcW w:w="785" w:type="dxa"/>
            <w:tcBorders>
              <w:top w:val="single" w:sz="18" w:space="0" w:color="auto"/>
              <w:left w:val="nil"/>
              <w:right w:val="nil"/>
            </w:tcBorders>
            <w:noWrap/>
            <w:vAlign w:val="center"/>
          </w:tcPr>
          <w:p w14:paraId="3FDDCF4C"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18" w:space="0" w:color="auto"/>
              <w:left w:val="nil"/>
              <w:right w:val="nil"/>
            </w:tcBorders>
            <w:noWrap/>
            <w:vAlign w:val="center"/>
          </w:tcPr>
          <w:p w14:paraId="3B667552"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1,680</w:t>
            </w:r>
          </w:p>
        </w:tc>
        <w:tc>
          <w:tcPr>
            <w:tcW w:w="1138" w:type="dxa"/>
            <w:tcBorders>
              <w:top w:val="single" w:sz="18" w:space="0" w:color="auto"/>
              <w:left w:val="nil"/>
              <w:right w:val="nil"/>
            </w:tcBorders>
            <w:noWrap/>
            <w:vAlign w:val="center"/>
          </w:tcPr>
          <w:p w14:paraId="64AF950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120</w:t>
            </w:r>
          </w:p>
        </w:tc>
        <w:tc>
          <w:tcPr>
            <w:tcW w:w="204" w:type="dxa"/>
            <w:tcBorders>
              <w:top w:val="single" w:sz="18" w:space="0" w:color="auto"/>
              <w:left w:val="nil"/>
              <w:right w:val="nil"/>
            </w:tcBorders>
          </w:tcPr>
          <w:p w14:paraId="3EF5A10F"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single" w:sz="18" w:space="0" w:color="auto"/>
              <w:left w:val="nil"/>
              <w:right w:val="nil"/>
            </w:tcBorders>
            <w:noWrap/>
            <w:vAlign w:val="center"/>
            <w:hideMark/>
          </w:tcPr>
          <w:p w14:paraId="7030A306"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106,460</w:t>
            </w:r>
          </w:p>
        </w:tc>
        <w:tc>
          <w:tcPr>
            <w:tcW w:w="748" w:type="dxa"/>
            <w:tcBorders>
              <w:top w:val="single" w:sz="18" w:space="0" w:color="auto"/>
              <w:left w:val="nil"/>
              <w:right w:val="nil"/>
            </w:tcBorders>
            <w:noWrap/>
            <w:vAlign w:val="center"/>
          </w:tcPr>
          <w:p w14:paraId="14EB1092"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73" w:type="dxa"/>
            <w:tcBorders>
              <w:top w:val="single" w:sz="18" w:space="0" w:color="auto"/>
              <w:left w:val="nil"/>
              <w:right w:val="nil"/>
            </w:tcBorders>
            <w:noWrap/>
            <w:vAlign w:val="center"/>
          </w:tcPr>
          <w:p w14:paraId="18E7806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2,460</w:t>
            </w:r>
          </w:p>
        </w:tc>
        <w:tc>
          <w:tcPr>
            <w:tcW w:w="1138" w:type="dxa"/>
            <w:tcBorders>
              <w:top w:val="single" w:sz="18" w:space="0" w:color="auto"/>
              <w:left w:val="nil"/>
              <w:right w:val="nil"/>
            </w:tcBorders>
            <w:noWrap/>
            <w:vAlign w:val="center"/>
          </w:tcPr>
          <w:p w14:paraId="04353D8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180</w:t>
            </w:r>
          </w:p>
        </w:tc>
        <w:tc>
          <w:tcPr>
            <w:tcW w:w="204" w:type="dxa"/>
            <w:tcBorders>
              <w:top w:val="single" w:sz="18" w:space="0" w:color="auto"/>
              <w:left w:val="nil"/>
              <w:right w:val="nil"/>
            </w:tcBorders>
          </w:tcPr>
          <w:p w14:paraId="0985CBD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single" w:sz="18" w:space="0" w:color="auto"/>
              <w:left w:val="nil"/>
              <w:right w:val="nil"/>
            </w:tcBorders>
            <w:noWrap/>
            <w:vAlign w:val="center"/>
            <w:hideMark/>
          </w:tcPr>
          <w:p w14:paraId="6CE9DD9B"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48,566</w:t>
            </w:r>
          </w:p>
        </w:tc>
        <w:tc>
          <w:tcPr>
            <w:tcW w:w="748" w:type="dxa"/>
            <w:tcBorders>
              <w:top w:val="single" w:sz="18" w:space="0" w:color="auto"/>
              <w:left w:val="nil"/>
              <w:right w:val="nil"/>
            </w:tcBorders>
            <w:noWrap/>
            <w:vAlign w:val="center"/>
          </w:tcPr>
          <w:p w14:paraId="62E76FB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18" w:space="0" w:color="auto"/>
              <w:left w:val="nil"/>
              <w:right w:val="nil"/>
            </w:tcBorders>
            <w:noWrap/>
            <w:vAlign w:val="center"/>
          </w:tcPr>
          <w:p w14:paraId="63B62C7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2,520</w:t>
            </w:r>
          </w:p>
        </w:tc>
        <w:tc>
          <w:tcPr>
            <w:tcW w:w="1122" w:type="dxa"/>
            <w:tcBorders>
              <w:top w:val="single" w:sz="18" w:space="0" w:color="auto"/>
              <w:left w:val="nil"/>
              <w:right w:val="nil"/>
            </w:tcBorders>
            <w:noWrap/>
            <w:vAlign w:val="center"/>
          </w:tcPr>
          <w:p w14:paraId="5ED53277"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180</w:t>
            </w:r>
          </w:p>
        </w:tc>
      </w:tr>
      <w:tr w:rsidR="000B03C8" w:rsidRPr="001876AD" w14:paraId="39346B2C" w14:textId="77777777" w:rsidTr="00B76ADE">
        <w:trPr>
          <w:gridAfter w:val="1"/>
          <w:wAfter w:w="16" w:type="dxa"/>
          <w:trHeight w:val="226"/>
        </w:trPr>
        <w:tc>
          <w:tcPr>
            <w:tcW w:w="1800" w:type="dxa"/>
            <w:tcBorders>
              <w:right w:val="nil"/>
            </w:tcBorders>
            <w:noWrap/>
            <w:hideMark/>
          </w:tcPr>
          <w:p w14:paraId="2C8E9870" w14:textId="77777777" w:rsidR="000B03C8" w:rsidRPr="001876AD" w:rsidRDefault="000B03C8" w:rsidP="00B76ADE">
            <w:pPr>
              <w:snapToGrid w:val="0"/>
              <w:spacing w:line="480" w:lineRule="auto"/>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tcPr>
          <w:p w14:paraId="757AC159"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01586A2C"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37EDD0C2"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2,520</w:t>
            </w:r>
          </w:p>
        </w:tc>
        <w:tc>
          <w:tcPr>
            <w:tcW w:w="1138" w:type="dxa"/>
            <w:tcBorders>
              <w:top w:val="nil"/>
              <w:left w:val="nil"/>
              <w:right w:val="nil"/>
            </w:tcBorders>
            <w:noWrap/>
            <w:vAlign w:val="center"/>
          </w:tcPr>
          <w:p w14:paraId="396E73D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180</w:t>
            </w:r>
          </w:p>
        </w:tc>
        <w:tc>
          <w:tcPr>
            <w:tcW w:w="204" w:type="dxa"/>
            <w:tcBorders>
              <w:top w:val="nil"/>
              <w:left w:val="nil"/>
              <w:right w:val="nil"/>
            </w:tcBorders>
          </w:tcPr>
          <w:p w14:paraId="5D5F3B2D"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296E040B"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7C9DD38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73" w:type="dxa"/>
            <w:tcBorders>
              <w:top w:val="nil"/>
              <w:left w:val="nil"/>
              <w:right w:val="nil"/>
            </w:tcBorders>
            <w:noWrap/>
            <w:vAlign w:val="center"/>
          </w:tcPr>
          <w:p w14:paraId="4DC94227"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2,520</w:t>
            </w:r>
          </w:p>
        </w:tc>
        <w:tc>
          <w:tcPr>
            <w:tcW w:w="1138" w:type="dxa"/>
            <w:tcBorders>
              <w:top w:val="nil"/>
              <w:left w:val="nil"/>
              <w:right w:val="nil"/>
            </w:tcBorders>
            <w:noWrap/>
            <w:vAlign w:val="center"/>
          </w:tcPr>
          <w:p w14:paraId="3CFBB71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180</w:t>
            </w:r>
          </w:p>
        </w:tc>
        <w:tc>
          <w:tcPr>
            <w:tcW w:w="204" w:type="dxa"/>
            <w:tcBorders>
              <w:top w:val="nil"/>
              <w:left w:val="nil"/>
              <w:right w:val="nil"/>
            </w:tcBorders>
          </w:tcPr>
          <w:p w14:paraId="1FAC0743"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259F4C44"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6B3D85A5"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323D0CF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2,520</w:t>
            </w:r>
          </w:p>
        </w:tc>
        <w:tc>
          <w:tcPr>
            <w:tcW w:w="1122" w:type="dxa"/>
            <w:tcBorders>
              <w:top w:val="nil"/>
              <w:left w:val="nil"/>
              <w:right w:val="nil"/>
            </w:tcBorders>
            <w:noWrap/>
            <w:vAlign w:val="center"/>
          </w:tcPr>
          <w:p w14:paraId="6B26591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180</w:t>
            </w:r>
          </w:p>
        </w:tc>
      </w:tr>
      <w:tr w:rsidR="000B03C8" w:rsidRPr="001876AD" w14:paraId="7F7EDBDB" w14:textId="77777777" w:rsidTr="00B76ADE">
        <w:trPr>
          <w:gridAfter w:val="1"/>
          <w:wAfter w:w="16" w:type="dxa"/>
          <w:trHeight w:val="107"/>
        </w:trPr>
        <w:tc>
          <w:tcPr>
            <w:tcW w:w="1800" w:type="dxa"/>
            <w:tcBorders>
              <w:bottom w:val="nil"/>
              <w:right w:val="nil"/>
            </w:tcBorders>
            <w:noWrap/>
            <w:hideMark/>
          </w:tcPr>
          <w:p w14:paraId="2B004A3B" w14:textId="77777777" w:rsidR="000B03C8" w:rsidRPr="001876AD" w:rsidRDefault="000B03C8" w:rsidP="00B76ADE">
            <w:pPr>
              <w:snapToGrid w:val="0"/>
              <w:spacing w:line="480" w:lineRule="auto"/>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tcPr>
          <w:p w14:paraId="452C8BB4"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58F8632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right w:val="nil"/>
            </w:tcBorders>
            <w:noWrap/>
            <w:vAlign w:val="center"/>
          </w:tcPr>
          <w:p w14:paraId="4C0115E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2,520</w:t>
            </w:r>
          </w:p>
        </w:tc>
        <w:tc>
          <w:tcPr>
            <w:tcW w:w="1138" w:type="dxa"/>
            <w:tcBorders>
              <w:top w:val="nil"/>
              <w:left w:val="nil"/>
              <w:right w:val="nil"/>
            </w:tcBorders>
            <w:noWrap/>
            <w:vAlign w:val="center"/>
          </w:tcPr>
          <w:p w14:paraId="60B1277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180</w:t>
            </w:r>
          </w:p>
        </w:tc>
        <w:tc>
          <w:tcPr>
            <w:tcW w:w="204" w:type="dxa"/>
            <w:tcBorders>
              <w:top w:val="nil"/>
              <w:left w:val="nil"/>
              <w:right w:val="nil"/>
            </w:tcBorders>
          </w:tcPr>
          <w:p w14:paraId="0744BC95"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73034F42"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61047A7B"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73" w:type="dxa"/>
            <w:tcBorders>
              <w:top w:val="nil"/>
              <w:left w:val="nil"/>
              <w:right w:val="nil"/>
            </w:tcBorders>
            <w:noWrap/>
            <w:vAlign w:val="center"/>
          </w:tcPr>
          <w:p w14:paraId="03DBA2E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5,040</w:t>
            </w:r>
          </w:p>
        </w:tc>
        <w:tc>
          <w:tcPr>
            <w:tcW w:w="1138" w:type="dxa"/>
            <w:tcBorders>
              <w:top w:val="nil"/>
              <w:left w:val="nil"/>
              <w:right w:val="nil"/>
            </w:tcBorders>
            <w:noWrap/>
            <w:vAlign w:val="center"/>
          </w:tcPr>
          <w:p w14:paraId="1C05C9D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180</w:t>
            </w:r>
          </w:p>
        </w:tc>
        <w:tc>
          <w:tcPr>
            <w:tcW w:w="204" w:type="dxa"/>
            <w:tcBorders>
              <w:top w:val="nil"/>
              <w:left w:val="nil"/>
              <w:right w:val="nil"/>
            </w:tcBorders>
          </w:tcPr>
          <w:p w14:paraId="251E21D7"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100506EE"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2BE7996D"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right w:val="nil"/>
            </w:tcBorders>
            <w:noWrap/>
            <w:vAlign w:val="center"/>
          </w:tcPr>
          <w:p w14:paraId="6EF5B09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5,400</w:t>
            </w:r>
          </w:p>
        </w:tc>
        <w:tc>
          <w:tcPr>
            <w:tcW w:w="1122" w:type="dxa"/>
            <w:tcBorders>
              <w:top w:val="nil"/>
              <w:left w:val="nil"/>
              <w:right w:val="nil"/>
            </w:tcBorders>
            <w:noWrap/>
            <w:vAlign w:val="center"/>
          </w:tcPr>
          <w:p w14:paraId="628410A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180</w:t>
            </w:r>
          </w:p>
        </w:tc>
      </w:tr>
      <w:tr w:rsidR="000B03C8" w:rsidRPr="001876AD" w14:paraId="0385E026" w14:textId="77777777" w:rsidTr="00B76ADE">
        <w:trPr>
          <w:gridAfter w:val="1"/>
          <w:wAfter w:w="16" w:type="dxa"/>
          <w:trHeight w:val="132"/>
        </w:trPr>
        <w:tc>
          <w:tcPr>
            <w:tcW w:w="1800" w:type="dxa"/>
            <w:tcBorders>
              <w:top w:val="single" w:sz="4" w:space="0" w:color="auto"/>
              <w:right w:val="nil"/>
            </w:tcBorders>
            <w:noWrap/>
            <w:hideMark/>
          </w:tcPr>
          <w:p w14:paraId="40C56BED" w14:textId="77777777" w:rsidR="000B03C8" w:rsidRPr="001876AD" w:rsidRDefault="000B03C8" w:rsidP="00B76ADE">
            <w:pPr>
              <w:widowControl/>
              <w:snapToGrid w:val="0"/>
              <w:spacing w:line="480" w:lineRule="auto"/>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Celecoxib</w:t>
            </w:r>
          </w:p>
        </w:tc>
        <w:tc>
          <w:tcPr>
            <w:tcW w:w="1079" w:type="dxa"/>
            <w:tcBorders>
              <w:top w:val="single" w:sz="4" w:space="0" w:color="auto"/>
              <w:left w:val="nil"/>
              <w:right w:val="nil"/>
            </w:tcBorders>
            <w:noWrap/>
            <w:vAlign w:val="center"/>
          </w:tcPr>
          <w:p w14:paraId="70CA373D"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262</w:t>
            </w:r>
          </w:p>
        </w:tc>
        <w:tc>
          <w:tcPr>
            <w:tcW w:w="785" w:type="dxa"/>
            <w:tcBorders>
              <w:top w:val="single" w:sz="4" w:space="0" w:color="auto"/>
              <w:left w:val="nil"/>
              <w:right w:val="nil"/>
            </w:tcBorders>
            <w:noWrap/>
            <w:vAlign w:val="center"/>
          </w:tcPr>
          <w:p w14:paraId="18B61EB1"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4" w:space="0" w:color="auto"/>
              <w:left w:val="nil"/>
              <w:right w:val="nil"/>
            </w:tcBorders>
            <w:noWrap/>
            <w:vAlign w:val="center"/>
          </w:tcPr>
          <w:p w14:paraId="1DC425C6"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2,800</w:t>
            </w:r>
          </w:p>
        </w:tc>
        <w:tc>
          <w:tcPr>
            <w:tcW w:w="1138" w:type="dxa"/>
            <w:tcBorders>
              <w:top w:val="single" w:sz="4" w:space="0" w:color="auto"/>
              <w:left w:val="nil"/>
              <w:right w:val="nil"/>
            </w:tcBorders>
            <w:noWrap/>
            <w:vAlign w:val="center"/>
          </w:tcPr>
          <w:p w14:paraId="08E9DC9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200</w:t>
            </w:r>
          </w:p>
        </w:tc>
        <w:tc>
          <w:tcPr>
            <w:tcW w:w="204" w:type="dxa"/>
            <w:tcBorders>
              <w:top w:val="single" w:sz="4" w:space="0" w:color="auto"/>
              <w:left w:val="nil"/>
              <w:right w:val="nil"/>
            </w:tcBorders>
          </w:tcPr>
          <w:p w14:paraId="0EC18260"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single" w:sz="4" w:space="0" w:color="auto"/>
              <w:left w:val="nil"/>
              <w:right w:val="nil"/>
            </w:tcBorders>
            <w:noWrap/>
            <w:vAlign w:val="center"/>
          </w:tcPr>
          <w:p w14:paraId="30B362B6"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35,204</w:t>
            </w:r>
          </w:p>
        </w:tc>
        <w:tc>
          <w:tcPr>
            <w:tcW w:w="748" w:type="dxa"/>
            <w:tcBorders>
              <w:top w:val="single" w:sz="4" w:space="0" w:color="auto"/>
              <w:left w:val="nil"/>
              <w:right w:val="nil"/>
            </w:tcBorders>
            <w:noWrap/>
            <w:vAlign w:val="center"/>
          </w:tcPr>
          <w:p w14:paraId="6CDE9EAE"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73" w:type="dxa"/>
            <w:tcBorders>
              <w:top w:val="single" w:sz="4" w:space="0" w:color="auto"/>
              <w:left w:val="nil"/>
              <w:right w:val="nil"/>
            </w:tcBorders>
            <w:noWrap/>
            <w:vAlign w:val="center"/>
          </w:tcPr>
          <w:p w14:paraId="337A6CC0"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2,800</w:t>
            </w:r>
          </w:p>
        </w:tc>
        <w:tc>
          <w:tcPr>
            <w:tcW w:w="1138" w:type="dxa"/>
            <w:tcBorders>
              <w:top w:val="single" w:sz="4" w:space="0" w:color="auto"/>
              <w:left w:val="nil"/>
              <w:right w:val="nil"/>
            </w:tcBorders>
            <w:noWrap/>
            <w:vAlign w:val="center"/>
          </w:tcPr>
          <w:p w14:paraId="7AAADF2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200</w:t>
            </w:r>
          </w:p>
        </w:tc>
        <w:tc>
          <w:tcPr>
            <w:tcW w:w="204" w:type="dxa"/>
            <w:tcBorders>
              <w:top w:val="single" w:sz="4" w:space="0" w:color="auto"/>
              <w:left w:val="nil"/>
              <w:right w:val="nil"/>
            </w:tcBorders>
          </w:tcPr>
          <w:p w14:paraId="0840FB53"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single" w:sz="4" w:space="0" w:color="auto"/>
              <w:left w:val="nil"/>
              <w:right w:val="nil"/>
            </w:tcBorders>
            <w:noWrap/>
            <w:vAlign w:val="center"/>
          </w:tcPr>
          <w:p w14:paraId="3FF64C56"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44,191</w:t>
            </w:r>
          </w:p>
        </w:tc>
        <w:tc>
          <w:tcPr>
            <w:tcW w:w="748" w:type="dxa"/>
            <w:tcBorders>
              <w:top w:val="single" w:sz="4" w:space="0" w:color="auto"/>
              <w:left w:val="nil"/>
              <w:right w:val="nil"/>
            </w:tcBorders>
            <w:noWrap/>
            <w:vAlign w:val="center"/>
          </w:tcPr>
          <w:p w14:paraId="66DB4705"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4" w:space="0" w:color="auto"/>
              <w:left w:val="nil"/>
              <w:right w:val="nil"/>
            </w:tcBorders>
            <w:noWrap/>
            <w:vAlign w:val="center"/>
          </w:tcPr>
          <w:p w14:paraId="05408B7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2,800</w:t>
            </w:r>
          </w:p>
        </w:tc>
        <w:tc>
          <w:tcPr>
            <w:tcW w:w="1122" w:type="dxa"/>
            <w:tcBorders>
              <w:top w:val="single" w:sz="4" w:space="0" w:color="auto"/>
              <w:left w:val="nil"/>
              <w:right w:val="nil"/>
            </w:tcBorders>
            <w:noWrap/>
            <w:vAlign w:val="center"/>
          </w:tcPr>
          <w:p w14:paraId="18334FB7"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200</w:t>
            </w:r>
          </w:p>
        </w:tc>
      </w:tr>
      <w:tr w:rsidR="000B03C8" w:rsidRPr="001876AD" w14:paraId="004EB57A" w14:textId="77777777" w:rsidTr="00B76ADE">
        <w:trPr>
          <w:gridAfter w:val="1"/>
          <w:wAfter w:w="16" w:type="dxa"/>
          <w:trHeight w:val="255"/>
        </w:trPr>
        <w:tc>
          <w:tcPr>
            <w:tcW w:w="1800" w:type="dxa"/>
            <w:tcBorders>
              <w:right w:val="nil"/>
            </w:tcBorders>
            <w:noWrap/>
            <w:hideMark/>
          </w:tcPr>
          <w:p w14:paraId="41F4BBEA" w14:textId="77777777" w:rsidR="000B03C8" w:rsidRPr="001876AD" w:rsidRDefault="000B03C8" w:rsidP="00B76ADE">
            <w:pPr>
              <w:snapToGrid w:val="0"/>
              <w:spacing w:line="480" w:lineRule="auto"/>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tcPr>
          <w:p w14:paraId="64D9DCFE"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14FFE613"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382A2CA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2,800</w:t>
            </w:r>
          </w:p>
        </w:tc>
        <w:tc>
          <w:tcPr>
            <w:tcW w:w="1138" w:type="dxa"/>
            <w:tcBorders>
              <w:top w:val="nil"/>
              <w:left w:val="nil"/>
              <w:right w:val="nil"/>
            </w:tcBorders>
            <w:noWrap/>
            <w:vAlign w:val="center"/>
          </w:tcPr>
          <w:p w14:paraId="45002D5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200</w:t>
            </w:r>
          </w:p>
        </w:tc>
        <w:tc>
          <w:tcPr>
            <w:tcW w:w="204" w:type="dxa"/>
            <w:tcBorders>
              <w:top w:val="nil"/>
              <w:left w:val="nil"/>
              <w:right w:val="nil"/>
            </w:tcBorders>
          </w:tcPr>
          <w:p w14:paraId="32D8CD5B"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424AF8F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513E24EC"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73" w:type="dxa"/>
            <w:tcBorders>
              <w:top w:val="nil"/>
              <w:left w:val="nil"/>
              <w:right w:val="nil"/>
            </w:tcBorders>
            <w:noWrap/>
            <w:vAlign w:val="center"/>
          </w:tcPr>
          <w:p w14:paraId="581B61F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4,000</w:t>
            </w:r>
          </w:p>
        </w:tc>
        <w:tc>
          <w:tcPr>
            <w:tcW w:w="1138" w:type="dxa"/>
            <w:tcBorders>
              <w:top w:val="nil"/>
              <w:left w:val="nil"/>
              <w:right w:val="nil"/>
            </w:tcBorders>
            <w:noWrap/>
            <w:vAlign w:val="center"/>
          </w:tcPr>
          <w:p w14:paraId="2D8A916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200</w:t>
            </w:r>
          </w:p>
        </w:tc>
        <w:tc>
          <w:tcPr>
            <w:tcW w:w="204" w:type="dxa"/>
            <w:tcBorders>
              <w:top w:val="nil"/>
              <w:left w:val="nil"/>
              <w:right w:val="nil"/>
            </w:tcBorders>
          </w:tcPr>
          <w:p w14:paraId="37F9179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6A0B3A19"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4BC0B20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3A7B051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5,600</w:t>
            </w:r>
          </w:p>
        </w:tc>
        <w:tc>
          <w:tcPr>
            <w:tcW w:w="1122" w:type="dxa"/>
            <w:tcBorders>
              <w:top w:val="nil"/>
              <w:left w:val="nil"/>
              <w:right w:val="nil"/>
            </w:tcBorders>
            <w:noWrap/>
            <w:vAlign w:val="center"/>
          </w:tcPr>
          <w:p w14:paraId="1C8047C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200</w:t>
            </w:r>
          </w:p>
        </w:tc>
      </w:tr>
      <w:tr w:rsidR="000B03C8" w:rsidRPr="001876AD" w14:paraId="4BDCA44B" w14:textId="77777777" w:rsidTr="00B76ADE">
        <w:trPr>
          <w:gridAfter w:val="1"/>
          <w:wAfter w:w="16" w:type="dxa"/>
          <w:trHeight w:val="115"/>
        </w:trPr>
        <w:tc>
          <w:tcPr>
            <w:tcW w:w="1800" w:type="dxa"/>
            <w:tcBorders>
              <w:bottom w:val="nil"/>
              <w:right w:val="nil"/>
            </w:tcBorders>
            <w:noWrap/>
            <w:hideMark/>
          </w:tcPr>
          <w:p w14:paraId="6694B96C" w14:textId="77777777" w:rsidR="000B03C8" w:rsidRPr="001876AD" w:rsidRDefault="000B03C8" w:rsidP="00B76ADE">
            <w:pPr>
              <w:snapToGrid w:val="0"/>
              <w:spacing w:line="480" w:lineRule="auto"/>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tcPr>
          <w:p w14:paraId="729A5599"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25D2D65B"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right w:val="nil"/>
            </w:tcBorders>
            <w:noWrap/>
            <w:vAlign w:val="center"/>
          </w:tcPr>
          <w:p w14:paraId="247619A2"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3,550</w:t>
            </w:r>
          </w:p>
        </w:tc>
        <w:tc>
          <w:tcPr>
            <w:tcW w:w="1138" w:type="dxa"/>
            <w:tcBorders>
              <w:top w:val="nil"/>
              <w:left w:val="nil"/>
              <w:right w:val="nil"/>
            </w:tcBorders>
            <w:noWrap/>
            <w:vAlign w:val="center"/>
          </w:tcPr>
          <w:p w14:paraId="61C214A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200</w:t>
            </w:r>
          </w:p>
        </w:tc>
        <w:tc>
          <w:tcPr>
            <w:tcW w:w="204" w:type="dxa"/>
            <w:tcBorders>
              <w:top w:val="nil"/>
              <w:left w:val="nil"/>
              <w:right w:val="nil"/>
            </w:tcBorders>
          </w:tcPr>
          <w:p w14:paraId="6D9EF201"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05B6F811"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575766A3"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73" w:type="dxa"/>
            <w:tcBorders>
              <w:top w:val="nil"/>
              <w:left w:val="nil"/>
              <w:right w:val="nil"/>
            </w:tcBorders>
            <w:noWrap/>
            <w:vAlign w:val="center"/>
          </w:tcPr>
          <w:p w14:paraId="4F09597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6,800</w:t>
            </w:r>
          </w:p>
        </w:tc>
        <w:tc>
          <w:tcPr>
            <w:tcW w:w="1138" w:type="dxa"/>
            <w:tcBorders>
              <w:top w:val="nil"/>
              <w:left w:val="nil"/>
              <w:right w:val="nil"/>
            </w:tcBorders>
            <w:noWrap/>
            <w:vAlign w:val="center"/>
          </w:tcPr>
          <w:p w14:paraId="34BA642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200</w:t>
            </w:r>
          </w:p>
        </w:tc>
        <w:tc>
          <w:tcPr>
            <w:tcW w:w="204" w:type="dxa"/>
            <w:tcBorders>
              <w:top w:val="nil"/>
              <w:left w:val="nil"/>
              <w:right w:val="nil"/>
            </w:tcBorders>
          </w:tcPr>
          <w:p w14:paraId="6DA0126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30EF50D7"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67FD03F9"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right w:val="nil"/>
            </w:tcBorders>
            <w:noWrap/>
            <w:vAlign w:val="center"/>
          </w:tcPr>
          <w:p w14:paraId="708E4650"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11,200</w:t>
            </w:r>
          </w:p>
        </w:tc>
        <w:tc>
          <w:tcPr>
            <w:tcW w:w="1122" w:type="dxa"/>
            <w:tcBorders>
              <w:top w:val="nil"/>
              <w:left w:val="nil"/>
              <w:right w:val="nil"/>
            </w:tcBorders>
            <w:noWrap/>
            <w:vAlign w:val="center"/>
          </w:tcPr>
          <w:p w14:paraId="1D2C699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200</w:t>
            </w:r>
          </w:p>
        </w:tc>
      </w:tr>
      <w:tr w:rsidR="000B03C8" w:rsidRPr="001876AD" w14:paraId="123588F8" w14:textId="77777777" w:rsidTr="00B76ADE">
        <w:trPr>
          <w:gridAfter w:val="1"/>
          <w:wAfter w:w="16" w:type="dxa"/>
          <w:trHeight w:val="304"/>
        </w:trPr>
        <w:tc>
          <w:tcPr>
            <w:tcW w:w="1800" w:type="dxa"/>
            <w:tcBorders>
              <w:top w:val="single" w:sz="4" w:space="0" w:color="auto"/>
              <w:right w:val="nil"/>
            </w:tcBorders>
            <w:noWrap/>
            <w:hideMark/>
          </w:tcPr>
          <w:p w14:paraId="6A97BF8A" w14:textId="77777777" w:rsidR="000B03C8" w:rsidRPr="001876AD" w:rsidRDefault="000B03C8" w:rsidP="00B76ADE">
            <w:pPr>
              <w:widowControl/>
              <w:snapToGrid w:val="0"/>
              <w:spacing w:line="480" w:lineRule="auto"/>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Acetaminophen</w:t>
            </w:r>
          </w:p>
        </w:tc>
        <w:tc>
          <w:tcPr>
            <w:tcW w:w="1079" w:type="dxa"/>
            <w:tcBorders>
              <w:top w:val="single" w:sz="4" w:space="0" w:color="auto"/>
              <w:left w:val="nil"/>
              <w:right w:val="nil"/>
            </w:tcBorders>
            <w:noWrap/>
            <w:vAlign w:val="center"/>
          </w:tcPr>
          <w:p w14:paraId="5A9BF95B"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1,912</w:t>
            </w:r>
          </w:p>
        </w:tc>
        <w:tc>
          <w:tcPr>
            <w:tcW w:w="785" w:type="dxa"/>
            <w:tcBorders>
              <w:top w:val="single" w:sz="4" w:space="0" w:color="auto"/>
              <w:left w:val="nil"/>
              <w:right w:val="nil"/>
            </w:tcBorders>
            <w:noWrap/>
            <w:vAlign w:val="center"/>
          </w:tcPr>
          <w:p w14:paraId="2CBA0B4D"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4" w:space="0" w:color="auto"/>
              <w:left w:val="nil"/>
              <w:right w:val="nil"/>
            </w:tcBorders>
            <w:noWrap/>
            <w:vAlign w:val="center"/>
          </w:tcPr>
          <w:p w14:paraId="78504A62"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5,200</w:t>
            </w:r>
          </w:p>
        </w:tc>
        <w:tc>
          <w:tcPr>
            <w:tcW w:w="1138" w:type="dxa"/>
            <w:tcBorders>
              <w:top w:val="single" w:sz="4" w:space="0" w:color="auto"/>
              <w:left w:val="nil"/>
              <w:right w:val="nil"/>
            </w:tcBorders>
            <w:noWrap/>
            <w:vAlign w:val="center"/>
          </w:tcPr>
          <w:p w14:paraId="3B42816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500</w:t>
            </w:r>
          </w:p>
        </w:tc>
        <w:tc>
          <w:tcPr>
            <w:tcW w:w="204" w:type="dxa"/>
            <w:tcBorders>
              <w:top w:val="single" w:sz="4" w:space="0" w:color="auto"/>
              <w:left w:val="nil"/>
              <w:right w:val="nil"/>
            </w:tcBorders>
          </w:tcPr>
          <w:p w14:paraId="016AD9D6"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single" w:sz="4" w:space="0" w:color="auto"/>
              <w:left w:val="nil"/>
              <w:right w:val="nil"/>
            </w:tcBorders>
            <w:noWrap/>
            <w:vAlign w:val="center"/>
          </w:tcPr>
          <w:p w14:paraId="7B33878F"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19,916</w:t>
            </w:r>
          </w:p>
        </w:tc>
        <w:tc>
          <w:tcPr>
            <w:tcW w:w="748" w:type="dxa"/>
            <w:tcBorders>
              <w:top w:val="single" w:sz="4" w:space="0" w:color="auto"/>
              <w:left w:val="nil"/>
              <w:right w:val="nil"/>
            </w:tcBorders>
            <w:noWrap/>
            <w:vAlign w:val="center"/>
          </w:tcPr>
          <w:p w14:paraId="02E46839"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73" w:type="dxa"/>
            <w:tcBorders>
              <w:top w:val="single" w:sz="4" w:space="0" w:color="auto"/>
              <w:left w:val="nil"/>
              <w:right w:val="nil"/>
            </w:tcBorders>
            <w:noWrap/>
            <w:vAlign w:val="center"/>
          </w:tcPr>
          <w:p w14:paraId="0F7F07A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9,600</w:t>
            </w:r>
          </w:p>
        </w:tc>
        <w:tc>
          <w:tcPr>
            <w:tcW w:w="1138" w:type="dxa"/>
            <w:tcBorders>
              <w:top w:val="single" w:sz="4" w:space="0" w:color="auto"/>
              <w:left w:val="nil"/>
              <w:right w:val="nil"/>
            </w:tcBorders>
            <w:noWrap/>
            <w:vAlign w:val="center"/>
          </w:tcPr>
          <w:p w14:paraId="1756882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900</w:t>
            </w:r>
          </w:p>
        </w:tc>
        <w:tc>
          <w:tcPr>
            <w:tcW w:w="204" w:type="dxa"/>
            <w:tcBorders>
              <w:top w:val="single" w:sz="4" w:space="0" w:color="auto"/>
              <w:left w:val="nil"/>
              <w:right w:val="nil"/>
            </w:tcBorders>
          </w:tcPr>
          <w:p w14:paraId="6DB27797"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single" w:sz="4" w:space="0" w:color="auto"/>
              <w:left w:val="nil"/>
              <w:right w:val="nil"/>
            </w:tcBorders>
            <w:noWrap/>
            <w:vAlign w:val="center"/>
          </w:tcPr>
          <w:p w14:paraId="72A2CEDE"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24,902</w:t>
            </w:r>
          </w:p>
        </w:tc>
        <w:tc>
          <w:tcPr>
            <w:tcW w:w="748" w:type="dxa"/>
            <w:tcBorders>
              <w:top w:val="single" w:sz="4" w:space="0" w:color="auto"/>
              <w:left w:val="nil"/>
              <w:right w:val="nil"/>
            </w:tcBorders>
            <w:noWrap/>
            <w:vAlign w:val="center"/>
          </w:tcPr>
          <w:p w14:paraId="6AE713F4"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4" w:space="0" w:color="auto"/>
              <w:left w:val="nil"/>
              <w:right w:val="nil"/>
            </w:tcBorders>
            <w:noWrap/>
            <w:vAlign w:val="center"/>
          </w:tcPr>
          <w:p w14:paraId="3DF57AD7"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12,600</w:t>
            </w:r>
          </w:p>
        </w:tc>
        <w:tc>
          <w:tcPr>
            <w:tcW w:w="1122" w:type="dxa"/>
            <w:tcBorders>
              <w:top w:val="single" w:sz="4" w:space="0" w:color="auto"/>
              <w:left w:val="nil"/>
              <w:right w:val="nil"/>
            </w:tcBorders>
            <w:noWrap/>
            <w:vAlign w:val="center"/>
          </w:tcPr>
          <w:p w14:paraId="0D76660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800</w:t>
            </w:r>
          </w:p>
        </w:tc>
      </w:tr>
      <w:tr w:rsidR="000B03C8" w:rsidRPr="001876AD" w14:paraId="690D6386" w14:textId="77777777" w:rsidTr="00B76ADE">
        <w:trPr>
          <w:gridAfter w:val="1"/>
          <w:wAfter w:w="16" w:type="dxa"/>
          <w:trHeight w:val="269"/>
        </w:trPr>
        <w:tc>
          <w:tcPr>
            <w:tcW w:w="1800" w:type="dxa"/>
            <w:tcBorders>
              <w:right w:val="nil"/>
            </w:tcBorders>
            <w:noWrap/>
            <w:hideMark/>
          </w:tcPr>
          <w:p w14:paraId="2AD444D2" w14:textId="77777777" w:rsidR="000B03C8" w:rsidRPr="001876AD" w:rsidRDefault="000B03C8" w:rsidP="00B76ADE">
            <w:pPr>
              <w:snapToGrid w:val="0"/>
              <w:spacing w:line="480" w:lineRule="auto"/>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tcPr>
          <w:p w14:paraId="2C610501"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2109D39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1107856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8,400</w:t>
            </w:r>
          </w:p>
        </w:tc>
        <w:tc>
          <w:tcPr>
            <w:tcW w:w="1138" w:type="dxa"/>
            <w:tcBorders>
              <w:top w:val="nil"/>
              <w:left w:val="nil"/>
              <w:right w:val="nil"/>
            </w:tcBorders>
            <w:noWrap/>
            <w:vAlign w:val="center"/>
          </w:tcPr>
          <w:p w14:paraId="68966F3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600</w:t>
            </w:r>
          </w:p>
        </w:tc>
        <w:tc>
          <w:tcPr>
            <w:tcW w:w="204" w:type="dxa"/>
            <w:tcBorders>
              <w:top w:val="nil"/>
              <w:left w:val="nil"/>
              <w:right w:val="nil"/>
            </w:tcBorders>
          </w:tcPr>
          <w:p w14:paraId="6E34F81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011EF1F7"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1B352F3B"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73" w:type="dxa"/>
            <w:tcBorders>
              <w:top w:val="nil"/>
              <w:left w:val="nil"/>
              <w:right w:val="nil"/>
            </w:tcBorders>
            <w:noWrap/>
            <w:vAlign w:val="center"/>
          </w:tcPr>
          <w:p w14:paraId="62619B2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16,800</w:t>
            </w:r>
          </w:p>
        </w:tc>
        <w:tc>
          <w:tcPr>
            <w:tcW w:w="1138" w:type="dxa"/>
            <w:tcBorders>
              <w:top w:val="nil"/>
              <w:left w:val="nil"/>
              <w:right w:val="nil"/>
            </w:tcBorders>
            <w:noWrap/>
            <w:vAlign w:val="center"/>
          </w:tcPr>
          <w:p w14:paraId="5589759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1,200</w:t>
            </w:r>
          </w:p>
        </w:tc>
        <w:tc>
          <w:tcPr>
            <w:tcW w:w="204" w:type="dxa"/>
            <w:tcBorders>
              <w:top w:val="nil"/>
              <w:left w:val="nil"/>
              <w:right w:val="nil"/>
            </w:tcBorders>
          </w:tcPr>
          <w:p w14:paraId="15717C0D"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3DB0AFCD"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3E552457"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635FE16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22,500</w:t>
            </w:r>
          </w:p>
        </w:tc>
        <w:tc>
          <w:tcPr>
            <w:tcW w:w="1122" w:type="dxa"/>
            <w:tcBorders>
              <w:top w:val="nil"/>
              <w:left w:val="nil"/>
              <w:right w:val="nil"/>
            </w:tcBorders>
            <w:noWrap/>
            <w:vAlign w:val="center"/>
          </w:tcPr>
          <w:p w14:paraId="7057881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1,200</w:t>
            </w:r>
          </w:p>
        </w:tc>
      </w:tr>
      <w:tr w:rsidR="000B03C8" w:rsidRPr="001876AD" w14:paraId="7B957323" w14:textId="77777777" w:rsidTr="00B76ADE">
        <w:trPr>
          <w:gridAfter w:val="1"/>
          <w:wAfter w:w="16" w:type="dxa"/>
          <w:trHeight w:val="242"/>
        </w:trPr>
        <w:tc>
          <w:tcPr>
            <w:tcW w:w="1800" w:type="dxa"/>
            <w:tcBorders>
              <w:bottom w:val="nil"/>
              <w:right w:val="nil"/>
            </w:tcBorders>
            <w:noWrap/>
            <w:hideMark/>
          </w:tcPr>
          <w:p w14:paraId="41B0054A" w14:textId="77777777" w:rsidR="000B03C8" w:rsidRPr="001876AD" w:rsidRDefault="000B03C8" w:rsidP="00B76ADE">
            <w:pPr>
              <w:snapToGrid w:val="0"/>
              <w:spacing w:line="480" w:lineRule="auto"/>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tcPr>
          <w:p w14:paraId="18C7BA28" w14:textId="77777777" w:rsidR="000B03C8" w:rsidRPr="001876AD" w:rsidRDefault="000B03C8" w:rsidP="00B76ADE">
            <w:pPr>
              <w:widowControl/>
              <w:tabs>
                <w:tab w:val="decimal" w:pos="468"/>
              </w:tabs>
              <w:snapToGrid w:val="0"/>
              <w:spacing w:line="480" w:lineRule="auto"/>
              <w:ind w:right="180"/>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413D54F1"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right w:val="nil"/>
            </w:tcBorders>
            <w:noWrap/>
            <w:vAlign w:val="center"/>
          </w:tcPr>
          <w:p w14:paraId="68F0752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12,600</w:t>
            </w:r>
          </w:p>
        </w:tc>
        <w:tc>
          <w:tcPr>
            <w:tcW w:w="1138" w:type="dxa"/>
            <w:tcBorders>
              <w:top w:val="nil"/>
              <w:left w:val="nil"/>
              <w:right w:val="nil"/>
            </w:tcBorders>
            <w:noWrap/>
            <w:vAlign w:val="center"/>
          </w:tcPr>
          <w:p w14:paraId="6BCBE7B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900</w:t>
            </w:r>
          </w:p>
        </w:tc>
        <w:tc>
          <w:tcPr>
            <w:tcW w:w="204" w:type="dxa"/>
            <w:tcBorders>
              <w:top w:val="nil"/>
              <w:left w:val="nil"/>
              <w:right w:val="nil"/>
            </w:tcBorders>
          </w:tcPr>
          <w:p w14:paraId="0885ED7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14F3C3E0"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66AE3373"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73" w:type="dxa"/>
            <w:tcBorders>
              <w:top w:val="nil"/>
              <w:left w:val="nil"/>
              <w:right w:val="nil"/>
            </w:tcBorders>
            <w:noWrap/>
            <w:vAlign w:val="center"/>
          </w:tcPr>
          <w:p w14:paraId="43F8C32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27,000</w:t>
            </w:r>
          </w:p>
        </w:tc>
        <w:tc>
          <w:tcPr>
            <w:tcW w:w="1138" w:type="dxa"/>
            <w:tcBorders>
              <w:top w:val="nil"/>
              <w:left w:val="nil"/>
              <w:right w:val="nil"/>
            </w:tcBorders>
            <w:noWrap/>
            <w:vAlign w:val="center"/>
          </w:tcPr>
          <w:p w14:paraId="3962A89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1,500</w:t>
            </w:r>
          </w:p>
        </w:tc>
        <w:tc>
          <w:tcPr>
            <w:tcW w:w="204" w:type="dxa"/>
            <w:tcBorders>
              <w:top w:val="nil"/>
              <w:left w:val="nil"/>
              <w:right w:val="nil"/>
            </w:tcBorders>
          </w:tcPr>
          <w:p w14:paraId="18EAC6BB"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01D6C2E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2700295B"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right w:val="nil"/>
            </w:tcBorders>
            <w:noWrap/>
            <w:vAlign w:val="center"/>
          </w:tcPr>
          <w:p w14:paraId="4C3F513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50,400</w:t>
            </w:r>
          </w:p>
        </w:tc>
        <w:tc>
          <w:tcPr>
            <w:tcW w:w="1122" w:type="dxa"/>
            <w:tcBorders>
              <w:top w:val="nil"/>
              <w:left w:val="nil"/>
              <w:right w:val="nil"/>
            </w:tcBorders>
            <w:noWrap/>
            <w:vAlign w:val="center"/>
          </w:tcPr>
          <w:p w14:paraId="341A9A12"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1,500</w:t>
            </w:r>
          </w:p>
        </w:tc>
      </w:tr>
      <w:tr w:rsidR="000B03C8" w:rsidRPr="001876AD" w14:paraId="04BEC0A8" w14:textId="77777777" w:rsidTr="00B76ADE">
        <w:trPr>
          <w:gridAfter w:val="1"/>
          <w:wAfter w:w="16" w:type="dxa"/>
          <w:trHeight w:val="136"/>
        </w:trPr>
        <w:tc>
          <w:tcPr>
            <w:tcW w:w="1800" w:type="dxa"/>
            <w:tcBorders>
              <w:top w:val="single" w:sz="4" w:space="0" w:color="auto"/>
              <w:right w:val="nil"/>
            </w:tcBorders>
            <w:noWrap/>
            <w:hideMark/>
          </w:tcPr>
          <w:p w14:paraId="2F6EF44F" w14:textId="77777777" w:rsidR="000B03C8" w:rsidRPr="001876AD" w:rsidRDefault="000B03C8" w:rsidP="00B76ADE">
            <w:pPr>
              <w:widowControl/>
              <w:snapToGrid w:val="0"/>
              <w:spacing w:line="480" w:lineRule="auto"/>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Pregabalin</w:t>
            </w:r>
          </w:p>
        </w:tc>
        <w:tc>
          <w:tcPr>
            <w:tcW w:w="1079" w:type="dxa"/>
            <w:tcBorders>
              <w:top w:val="single" w:sz="4" w:space="0" w:color="auto"/>
              <w:left w:val="nil"/>
              <w:right w:val="nil"/>
            </w:tcBorders>
            <w:noWrap/>
            <w:vAlign w:val="center"/>
          </w:tcPr>
          <w:p w14:paraId="4E9F586F"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29</w:t>
            </w:r>
          </w:p>
        </w:tc>
        <w:tc>
          <w:tcPr>
            <w:tcW w:w="785" w:type="dxa"/>
            <w:tcBorders>
              <w:top w:val="single" w:sz="4" w:space="0" w:color="auto"/>
              <w:left w:val="nil"/>
              <w:right w:val="nil"/>
            </w:tcBorders>
            <w:noWrap/>
            <w:vAlign w:val="center"/>
          </w:tcPr>
          <w:p w14:paraId="52107D14"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4" w:space="0" w:color="auto"/>
              <w:left w:val="nil"/>
              <w:right w:val="nil"/>
            </w:tcBorders>
            <w:noWrap/>
            <w:vAlign w:val="center"/>
          </w:tcPr>
          <w:p w14:paraId="5D9B518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1,250</w:t>
            </w:r>
          </w:p>
        </w:tc>
        <w:tc>
          <w:tcPr>
            <w:tcW w:w="1138" w:type="dxa"/>
            <w:tcBorders>
              <w:top w:val="single" w:sz="4" w:space="0" w:color="auto"/>
              <w:left w:val="nil"/>
              <w:right w:val="nil"/>
            </w:tcBorders>
            <w:noWrap/>
            <w:vAlign w:val="center"/>
          </w:tcPr>
          <w:p w14:paraId="2A93FCD7"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50</w:t>
            </w:r>
          </w:p>
        </w:tc>
        <w:tc>
          <w:tcPr>
            <w:tcW w:w="204" w:type="dxa"/>
            <w:tcBorders>
              <w:top w:val="single" w:sz="4" w:space="0" w:color="auto"/>
              <w:left w:val="nil"/>
              <w:right w:val="nil"/>
            </w:tcBorders>
          </w:tcPr>
          <w:p w14:paraId="0A57988E"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single" w:sz="4" w:space="0" w:color="auto"/>
              <w:left w:val="nil"/>
              <w:right w:val="nil"/>
            </w:tcBorders>
            <w:noWrap/>
            <w:vAlign w:val="center"/>
          </w:tcPr>
          <w:p w14:paraId="5D8427E5"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22,409</w:t>
            </w:r>
          </w:p>
        </w:tc>
        <w:tc>
          <w:tcPr>
            <w:tcW w:w="748" w:type="dxa"/>
            <w:tcBorders>
              <w:top w:val="single" w:sz="4" w:space="0" w:color="auto"/>
              <w:left w:val="nil"/>
              <w:right w:val="nil"/>
            </w:tcBorders>
            <w:noWrap/>
            <w:vAlign w:val="center"/>
          </w:tcPr>
          <w:p w14:paraId="31FB71C1"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73" w:type="dxa"/>
            <w:tcBorders>
              <w:top w:val="single" w:sz="4" w:space="0" w:color="auto"/>
              <w:left w:val="nil"/>
              <w:right w:val="nil"/>
            </w:tcBorders>
            <w:noWrap/>
            <w:vAlign w:val="center"/>
          </w:tcPr>
          <w:p w14:paraId="1647D2B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1,400</w:t>
            </w:r>
          </w:p>
        </w:tc>
        <w:tc>
          <w:tcPr>
            <w:tcW w:w="1138" w:type="dxa"/>
            <w:tcBorders>
              <w:top w:val="single" w:sz="4" w:space="0" w:color="auto"/>
              <w:left w:val="nil"/>
              <w:right w:val="nil"/>
            </w:tcBorders>
            <w:noWrap/>
            <w:vAlign w:val="center"/>
          </w:tcPr>
          <w:p w14:paraId="5C6C0CB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50</w:t>
            </w:r>
          </w:p>
        </w:tc>
        <w:tc>
          <w:tcPr>
            <w:tcW w:w="204" w:type="dxa"/>
            <w:tcBorders>
              <w:top w:val="single" w:sz="4" w:space="0" w:color="auto"/>
              <w:left w:val="nil"/>
              <w:right w:val="nil"/>
            </w:tcBorders>
          </w:tcPr>
          <w:p w14:paraId="383014C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single" w:sz="4" w:space="0" w:color="auto"/>
              <w:left w:val="nil"/>
              <w:right w:val="nil"/>
            </w:tcBorders>
            <w:noWrap/>
            <w:vAlign w:val="center"/>
          </w:tcPr>
          <w:p w14:paraId="279A09C2"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24,343</w:t>
            </w:r>
          </w:p>
        </w:tc>
        <w:tc>
          <w:tcPr>
            <w:tcW w:w="748" w:type="dxa"/>
            <w:tcBorders>
              <w:top w:val="single" w:sz="4" w:space="0" w:color="auto"/>
              <w:left w:val="nil"/>
              <w:right w:val="nil"/>
            </w:tcBorders>
            <w:noWrap/>
            <w:vAlign w:val="center"/>
          </w:tcPr>
          <w:p w14:paraId="5B752DCB"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4" w:space="0" w:color="auto"/>
              <w:left w:val="nil"/>
              <w:right w:val="nil"/>
            </w:tcBorders>
            <w:noWrap/>
            <w:vAlign w:val="center"/>
          </w:tcPr>
          <w:p w14:paraId="396AA82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1,400</w:t>
            </w:r>
          </w:p>
        </w:tc>
        <w:tc>
          <w:tcPr>
            <w:tcW w:w="1122" w:type="dxa"/>
            <w:tcBorders>
              <w:top w:val="single" w:sz="4" w:space="0" w:color="auto"/>
              <w:left w:val="nil"/>
              <w:right w:val="nil"/>
            </w:tcBorders>
            <w:noWrap/>
            <w:vAlign w:val="center"/>
          </w:tcPr>
          <w:p w14:paraId="4BC2A19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50</w:t>
            </w:r>
          </w:p>
        </w:tc>
      </w:tr>
      <w:tr w:rsidR="000B03C8" w:rsidRPr="001876AD" w14:paraId="7E893FFF" w14:textId="77777777" w:rsidTr="00B76ADE">
        <w:trPr>
          <w:gridAfter w:val="1"/>
          <w:wAfter w:w="16" w:type="dxa"/>
          <w:trHeight w:val="217"/>
        </w:trPr>
        <w:tc>
          <w:tcPr>
            <w:tcW w:w="1800" w:type="dxa"/>
            <w:tcBorders>
              <w:right w:val="nil"/>
            </w:tcBorders>
            <w:noWrap/>
            <w:hideMark/>
          </w:tcPr>
          <w:p w14:paraId="24F19E7C" w14:textId="77777777" w:rsidR="000B03C8" w:rsidRPr="001876AD" w:rsidRDefault="000B03C8" w:rsidP="00B76ADE">
            <w:pPr>
              <w:snapToGrid w:val="0"/>
              <w:spacing w:line="480" w:lineRule="auto"/>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tcPr>
          <w:p w14:paraId="6459D063"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649C61E5"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5E6478A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2,100</w:t>
            </w:r>
          </w:p>
        </w:tc>
        <w:tc>
          <w:tcPr>
            <w:tcW w:w="1138" w:type="dxa"/>
            <w:tcBorders>
              <w:top w:val="nil"/>
              <w:left w:val="nil"/>
              <w:right w:val="nil"/>
            </w:tcBorders>
            <w:noWrap/>
            <w:vAlign w:val="center"/>
          </w:tcPr>
          <w:p w14:paraId="4F75EFD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50</w:t>
            </w:r>
          </w:p>
        </w:tc>
        <w:tc>
          <w:tcPr>
            <w:tcW w:w="204" w:type="dxa"/>
            <w:tcBorders>
              <w:top w:val="nil"/>
              <w:left w:val="nil"/>
              <w:right w:val="nil"/>
            </w:tcBorders>
          </w:tcPr>
          <w:p w14:paraId="7A7FF6E1"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1A2F10C6"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1AA3394C"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73" w:type="dxa"/>
            <w:tcBorders>
              <w:top w:val="nil"/>
              <w:left w:val="nil"/>
              <w:right w:val="nil"/>
            </w:tcBorders>
            <w:noWrap/>
            <w:vAlign w:val="center"/>
          </w:tcPr>
          <w:p w14:paraId="02D9E96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3,150</w:t>
            </w:r>
          </w:p>
        </w:tc>
        <w:tc>
          <w:tcPr>
            <w:tcW w:w="1138" w:type="dxa"/>
            <w:tcBorders>
              <w:top w:val="nil"/>
              <w:left w:val="nil"/>
              <w:right w:val="nil"/>
            </w:tcBorders>
            <w:noWrap/>
            <w:vAlign w:val="center"/>
          </w:tcPr>
          <w:p w14:paraId="7CDB271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100</w:t>
            </w:r>
          </w:p>
        </w:tc>
        <w:tc>
          <w:tcPr>
            <w:tcW w:w="204" w:type="dxa"/>
            <w:tcBorders>
              <w:top w:val="nil"/>
              <w:left w:val="nil"/>
              <w:right w:val="nil"/>
            </w:tcBorders>
          </w:tcPr>
          <w:p w14:paraId="7E77C365"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538FFE63"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561F102D"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00BC83F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3,500</w:t>
            </w:r>
          </w:p>
        </w:tc>
        <w:tc>
          <w:tcPr>
            <w:tcW w:w="1122" w:type="dxa"/>
            <w:tcBorders>
              <w:top w:val="nil"/>
              <w:left w:val="nil"/>
              <w:right w:val="nil"/>
            </w:tcBorders>
            <w:noWrap/>
            <w:vAlign w:val="center"/>
          </w:tcPr>
          <w:p w14:paraId="5B203B2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w:t>
            </w:r>
          </w:p>
        </w:tc>
      </w:tr>
      <w:tr w:rsidR="000B03C8" w:rsidRPr="001876AD" w14:paraId="36EA1A2D" w14:textId="77777777" w:rsidTr="00B76ADE">
        <w:trPr>
          <w:gridAfter w:val="1"/>
          <w:wAfter w:w="16" w:type="dxa"/>
          <w:trHeight w:val="261"/>
        </w:trPr>
        <w:tc>
          <w:tcPr>
            <w:tcW w:w="1800" w:type="dxa"/>
            <w:tcBorders>
              <w:right w:val="nil"/>
            </w:tcBorders>
            <w:noWrap/>
            <w:hideMark/>
          </w:tcPr>
          <w:p w14:paraId="72690B3A" w14:textId="77777777" w:rsidR="000B03C8" w:rsidRPr="001876AD" w:rsidRDefault="000B03C8" w:rsidP="00B76ADE">
            <w:pPr>
              <w:snapToGrid w:val="0"/>
              <w:spacing w:line="480" w:lineRule="auto"/>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tcPr>
          <w:p w14:paraId="42E097FF"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3D33E914"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right w:val="nil"/>
            </w:tcBorders>
            <w:noWrap/>
            <w:vAlign w:val="center"/>
          </w:tcPr>
          <w:p w14:paraId="0B817D22"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4,500</w:t>
            </w:r>
          </w:p>
        </w:tc>
        <w:tc>
          <w:tcPr>
            <w:tcW w:w="1138" w:type="dxa"/>
            <w:tcBorders>
              <w:top w:val="nil"/>
              <w:left w:val="nil"/>
              <w:right w:val="nil"/>
            </w:tcBorders>
            <w:noWrap/>
            <w:vAlign w:val="center"/>
          </w:tcPr>
          <w:p w14:paraId="01AA452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11</w:t>
            </w:r>
            <w:r w:rsidRPr="001876AD">
              <w:rPr>
                <w:rFonts w:ascii="Times New Roman" w:eastAsia="Meiryo UI" w:hAnsi="Times New Roman" w:hint="eastAsia"/>
                <w:color w:val="000000" w:themeColor="text1"/>
                <w:kern w:val="0"/>
                <w:sz w:val="18"/>
                <w:szCs w:val="18"/>
              </w:rPr>
              <w:t>5</w:t>
            </w:r>
          </w:p>
        </w:tc>
        <w:tc>
          <w:tcPr>
            <w:tcW w:w="204" w:type="dxa"/>
            <w:tcBorders>
              <w:top w:val="nil"/>
              <w:left w:val="nil"/>
              <w:right w:val="nil"/>
            </w:tcBorders>
          </w:tcPr>
          <w:p w14:paraId="7C2C1E7E"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439AB77E"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217E3B8F"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73" w:type="dxa"/>
            <w:tcBorders>
              <w:top w:val="nil"/>
              <w:left w:val="nil"/>
              <w:right w:val="nil"/>
            </w:tcBorders>
            <w:noWrap/>
            <w:vAlign w:val="center"/>
          </w:tcPr>
          <w:p w14:paraId="02BFAE2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7,350</w:t>
            </w:r>
          </w:p>
        </w:tc>
        <w:tc>
          <w:tcPr>
            <w:tcW w:w="1138" w:type="dxa"/>
            <w:tcBorders>
              <w:top w:val="nil"/>
              <w:left w:val="nil"/>
              <w:right w:val="nil"/>
            </w:tcBorders>
            <w:noWrap/>
            <w:vAlign w:val="center"/>
          </w:tcPr>
          <w:p w14:paraId="0E89A3E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150</w:t>
            </w:r>
          </w:p>
        </w:tc>
        <w:tc>
          <w:tcPr>
            <w:tcW w:w="204" w:type="dxa"/>
            <w:tcBorders>
              <w:top w:val="nil"/>
              <w:left w:val="nil"/>
              <w:right w:val="nil"/>
            </w:tcBorders>
          </w:tcPr>
          <w:p w14:paraId="5162A20D"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4FEFAD3B"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38D5887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right w:val="nil"/>
            </w:tcBorders>
            <w:noWrap/>
            <w:vAlign w:val="center"/>
          </w:tcPr>
          <w:p w14:paraId="72E1743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7,350</w:t>
            </w:r>
          </w:p>
        </w:tc>
        <w:tc>
          <w:tcPr>
            <w:tcW w:w="1122" w:type="dxa"/>
            <w:tcBorders>
              <w:top w:val="nil"/>
              <w:left w:val="nil"/>
              <w:right w:val="nil"/>
            </w:tcBorders>
            <w:noWrap/>
            <w:vAlign w:val="center"/>
          </w:tcPr>
          <w:p w14:paraId="4E33DE7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13</w:t>
            </w:r>
            <w:r w:rsidRPr="001876AD">
              <w:rPr>
                <w:rFonts w:ascii="Times New Roman" w:eastAsia="Meiryo UI" w:hAnsi="Times New Roman" w:hint="eastAsia"/>
                <w:color w:val="000000" w:themeColor="text1"/>
                <w:kern w:val="0"/>
                <w:sz w:val="18"/>
                <w:szCs w:val="18"/>
              </w:rPr>
              <w:t>7</w:t>
            </w:r>
          </w:p>
        </w:tc>
      </w:tr>
      <w:tr w:rsidR="000B03C8" w:rsidRPr="001876AD" w14:paraId="034AA80D" w14:textId="77777777" w:rsidTr="00B76ADE">
        <w:trPr>
          <w:gridAfter w:val="1"/>
          <w:wAfter w:w="16" w:type="dxa"/>
          <w:trHeight w:val="249"/>
        </w:trPr>
        <w:tc>
          <w:tcPr>
            <w:tcW w:w="1800" w:type="dxa"/>
            <w:vMerge w:val="restart"/>
            <w:tcBorders>
              <w:top w:val="single" w:sz="4" w:space="0" w:color="auto"/>
              <w:right w:val="nil"/>
            </w:tcBorders>
            <w:noWrap/>
            <w:hideMark/>
          </w:tcPr>
          <w:p w14:paraId="4DFB0ADC" w14:textId="77777777" w:rsidR="000B03C8" w:rsidRPr="001876AD" w:rsidRDefault="000B03C8" w:rsidP="00B76ADE">
            <w:pPr>
              <w:widowControl/>
              <w:snapToGrid w:val="0"/>
              <w:spacing w:line="480" w:lineRule="auto"/>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 xml:space="preserve">Acetaminophen </w:t>
            </w:r>
            <w:r w:rsidRPr="001876AD">
              <w:rPr>
                <w:rFonts w:ascii="Times New Roman" w:eastAsia="Meiryo UI" w:hAnsi="Times New Roman"/>
                <w:color w:val="000000" w:themeColor="text1"/>
                <w:kern w:val="0"/>
                <w:sz w:val="18"/>
                <w:szCs w:val="18"/>
              </w:rPr>
              <w:lastRenderedPageBreak/>
              <w:t>combinations</w:t>
            </w:r>
          </w:p>
        </w:tc>
        <w:tc>
          <w:tcPr>
            <w:tcW w:w="1079" w:type="dxa"/>
            <w:tcBorders>
              <w:top w:val="single" w:sz="4" w:space="0" w:color="auto"/>
              <w:left w:val="nil"/>
              <w:right w:val="nil"/>
            </w:tcBorders>
            <w:noWrap/>
            <w:vAlign w:val="center"/>
          </w:tcPr>
          <w:p w14:paraId="32DC83F2"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lastRenderedPageBreak/>
              <w:t>487</w:t>
            </w:r>
          </w:p>
        </w:tc>
        <w:tc>
          <w:tcPr>
            <w:tcW w:w="785" w:type="dxa"/>
            <w:tcBorders>
              <w:top w:val="single" w:sz="4" w:space="0" w:color="auto"/>
              <w:left w:val="nil"/>
              <w:right w:val="nil"/>
            </w:tcBorders>
            <w:noWrap/>
            <w:vAlign w:val="center"/>
          </w:tcPr>
          <w:p w14:paraId="50BEB594"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4" w:space="0" w:color="auto"/>
              <w:left w:val="nil"/>
              <w:right w:val="nil"/>
            </w:tcBorders>
            <w:noWrap/>
            <w:vAlign w:val="center"/>
          </w:tcPr>
          <w:p w14:paraId="3F48C05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725</w:t>
            </w:r>
          </w:p>
        </w:tc>
        <w:tc>
          <w:tcPr>
            <w:tcW w:w="1138" w:type="dxa"/>
            <w:tcBorders>
              <w:top w:val="single" w:sz="4" w:space="0" w:color="auto"/>
              <w:left w:val="nil"/>
              <w:right w:val="nil"/>
            </w:tcBorders>
            <w:noWrap/>
            <w:vAlign w:val="center"/>
          </w:tcPr>
          <w:p w14:paraId="6508823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w:t>
            </w:r>
          </w:p>
        </w:tc>
        <w:tc>
          <w:tcPr>
            <w:tcW w:w="204" w:type="dxa"/>
            <w:tcBorders>
              <w:top w:val="single" w:sz="4" w:space="0" w:color="auto"/>
              <w:left w:val="nil"/>
              <w:right w:val="nil"/>
            </w:tcBorders>
          </w:tcPr>
          <w:p w14:paraId="1277FD9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single" w:sz="4" w:space="0" w:color="auto"/>
              <w:left w:val="nil"/>
              <w:right w:val="nil"/>
            </w:tcBorders>
            <w:noWrap/>
            <w:vAlign w:val="center"/>
          </w:tcPr>
          <w:p w14:paraId="2048C853"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12,070</w:t>
            </w:r>
          </w:p>
        </w:tc>
        <w:tc>
          <w:tcPr>
            <w:tcW w:w="748" w:type="dxa"/>
            <w:tcBorders>
              <w:top w:val="single" w:sz="4" w:space="0" w:color="auto"/>
              <w:left w:val="nil"/>
              <w:right w:val="nil"/>
            </w:tcBorders>
            <w:noWrap/>
            <w:vAlign w:val="center"/>
          </w:tcPr>
          <w:p w14:paraId="2339E7A7"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73" w:type="dxa"/>
            <w:tcBorders>
              <w:top w:val="single" w:sz="4" w:space="0" w:color="auto"/>
              <w:left w:val="nil"/>
              <w:right w:val="nil"/>
            </w:tcBorders>
            <w:noWrap/>
            <w:vAlign w:val="center"/>
          </w:tcPr>
          <w:p w14:paraId="7F78C0C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4,500</w:t>
            </w:r>
          </w:p>
        </w:tc>
        <w:tc>
          <w:tcPr>
            <w:tcW w:w="1138" w:type="dxa"/>
            <w:tcBorders>
              <w:top w:val="single" w:sz="4" w:space="0" w:color="auto"/>
              <w:left w:val="nil"/>
              <w:right w:val="nil"/>
            </w:tcBorders>
            <w:noWrap/>
            <w:vAlign w:val="center"/>
          </w:tcPr>
          <w:p w14:paraId="5688FE6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450</w:t>
            </w:r>
          </w:p>
        </w:tc>
        <w:tc>
          <w:tcPr>
            <w:tcW w:w="204" w:type="dxa"/>
            <w:tcBorders>
              <w:top w:val="single" w:sz="4" w:space="0" w:color="auto"/>
              <w:left w:val="nil"/>
              <w:right w:val="nil"/>
            </w:tcBorders>
          </w:tcPr>
          <w:p w14:paraId="609429A7"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single" w:sz="4" w:space="0" w:color="auto"/>
              <w:left w:val="nil"/>
              <w:right w:val="nil"/>
            </w:tcBorders>
            <w:noWrap/>
            <w:vAlign w:val="center"/>
          </w:tcPr>
          <w:p w14:paraId="2F0ED804"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7,561</w:t>
            </w:r>
          </w:p>
        </w:tc>
        <w:tc>
          <w:tcPr>
            <w:tcW w:w="748" w:type="dxa"/>
            <w:tcBorders>
              <w:top w:val="single" w:sz="4" w:space="0" w:color="auto"/>
              <w:left w:val="nil"/>
              <w:right w:val="nil"/>
            </w:tcBorders>
            <w:noWrap/>
            <w:vAlign w:val="center"/>
          </w:tcPr>
          <w:p w14:paraId="6781DDF4"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4" w:space="0" w:color="auto"/>
              <w:left w:val="nil"/>
              <w:right w:val="nil"/>
            </w:tcBorders>
            <w:noWrap/>
            <w:vAlign w:val="center"/>
          </w:tcPr>
          <w:p w14:paraId="7C2CC4E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4,500</w:t>
            </w:r>
          </w:p>
        </w:tc>
        <w:tc>
          <w:tcPr>
            <w:tcW w:w="1122" w:type="dxa"/>
            <w:tcBorders>
              <w:top w:val="single" w:sz="4" w:space="0" w:color="auto"/>
              <w:left w:val="nil"/>
              <w:right w:val="nil"/>
            </w:tcBorders>
            <w:noWrap/>
            <w:vAlign w:val="center"/>
          </w:tcPr>
          <w:p w14:paraId="5C8C093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450</w:t>
            </w:r>
          </w:p>
        </w:tc>
      </w:tr>
      <w:tr w:rsidR="000B03C8" w:rsidRPr="001876AD" w14:paraId="79B9348E" w14:textId="77777777" w:rsidTr="00B76ADE">
        <w:trPr>
          <w:gridAfter w:val="1"/>
          <w:wAfter w:w="16" w:type="dxa"/>
          <w:trHeight w:val="199"/>
        </w:trPr>
        <w:tc>
          <w:tcPr>
            <w:tcW w:w="1800" w:type="dxa"/>
            <w:vMerge/>
            <w:tcBorders>
              <w:right w:val="nil"/>
            </w:tcBorders>
            <w:noWrap/>
            <w:hideMark/>
          </w:tcPr>
          <w:p w14:paraId="621DB41E" w14:textId="77777777" w:rsidR="000B03C8" w:rsidRPr="001876AD" w:rsidRDefault="000B03C8" w:rsidP="00B76ADE">
            <w:pPr>
              <w:snapToGrid w:val="0"/>
              <w:spacing w:line="480" w:lineRule="auto"/>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tcPr>
          <w:p w14:paraId="2893C1FD"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4785BE4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70E1B2E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2,250</w:t>
            </w:r>
          </w:p>
        </w:tc>
        <w:tc>
          <w:tcPr>
            <w:tcW w:w="1138" w:type="dxa"/>
            <w:tcBorders>
              <w:top w:val="nil"/>
              <w:left w:val="nil"/>
              <w:right w:val="nil"/>
            </w:tcBorders>
            <w:noWrap/>
            <w:vAlign w:val="center"/>
          </w:tcPr>
          <w:p w14:paraId="1D997DE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225</w:t>
            </w:r>
          </w:p>
        </w:tc>
        <w:tc>
          <w:tcPr>
            <w:tcW w:w="204" w:type="dxa"/>
            <w:tcBorders>
              <w:top w:val="nil"/>
              <w:left w:val="nil"/>
              <w:right w:val="nil"/>
            </w:tcBorders>
          </w:tcPr>
          <w:p w14:paraId="2480822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710DED94"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3E6037AF"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73" w:type="dxa"/>
            <w:tcBorders>
              <w:top w:val="nil"/>
              <w:left w:val="nil"/>
              <w:right w:val="nil"/>
            </w:tcBorders>
            <w:noWrap/>
            <w:vAlign w:val="center"/>
          </w:tcPr>
          <w:p w14:paraId="0C45043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5,250</w:t>
            </w:r>
          </w:p>
        </w:tc>
        <w:tc>
          <w:tcPr>
            <w:tcW w:w="1138" w:type="dxa"/>
            <w:tcBorders>
              <w:top w:val="nil"/>
              <w:left w:val="nil"/>
              <w:right w:val="nil"/>
            </w:tcBorders>
            <w:noWrap/>
            <w:vAlign w:val="center"/>
          </w:tcPr>
          <w:p w14:paraId="4EBFDBC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450</w:t>
            </w:r>
          </w:p>
        </w:tc>
        <w:tc>
          <w:tcPr>
            <w:tcW w:w="204" w:type="dxa"/>
            <w:tcBorders>
              <w:top w:val="nil"/>
              <w:left w:val="nil"/>
              <w:right w:val="nil"/>
            </w:tcBorders>
          </w:tcPr>
          <w:p w14:paraId="315EDEF9"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1F9CB819"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5A4F4F0D"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2F9899D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4,950</w:t>
            </w:r>
          </w:p>
        </w:tc>
        <w:tc>
          <w:tcPr>
            <w:tcW w:w="1122" w:type="dxa"/>
            <w:tcBorders>
              <w:top w:val="nil"/>
              <w:left w:val="nil"/>
              <w:right w:val="nil"/>
            </w:tcBorders>
            <w:noWrap/>
            <w:vAlign w:val="center"/>
          </w:tcPr>
          <w:p w14:paraId="0C537B9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450</w:t>
            </w:r>
          </w:p>
        </w:tc>
      </w:tr>
      <w:tr w:rsidR="000B03C8" w:rsidRPr="001876AD" w14:paraId="107E0218" w14:textId="77777777" w:rsidTr="00B76ADE">
        <w:trPr>
          <w:gridAfter w:val="1"/>
          <w:wAfter w:w="16" w:type="dxa"/>
          <w:trHeight w:val="253"/>
        </w:trPr>
        <w:tc>
          <w:tcPr>
            <w:tcW w:w="1800" w:type="dxa"/>
            <w:vMerge/>
            <w:tcBorders>
              <w:right w:val="nil"/>
            </w:tcBorders>
            <w:noWrap/>
            <w:hideMark/>
          </w:tcPr>
          <w:p w14:paraId="51223095" w14:textId="77777777" w:rsidR="000B03C8" w:rsidRPr="001876AD" w:rsidRDefault="000B03C8" w:rsidP="00B76ADE">
            <w:pPr>
              <w:snapToGrid w:val="0"/>
              <w:spacing w:line="480" w:lineRule="auto"/>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tcPr>
          <w:p w14:paraId="27AEADDB"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7350695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right w:val="nil"/>
            </w:tcBorders>
            <w:noWrap/>
            <w:vAlign w:val="center"/>
          </w:tcPr>
          <w:p w14:paraId="6EE65D6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4,200</w:t>
            </w:r>
          </w:p>
        </w:tc>
        <w:tc>
          <w:tcPr>
            <w:tcW w:w="1138" w:type="dxa"/>
            <w:tcBorders>
              <w:top w:val="nil"/>
              <w:left w:val="nil"/>
              <w:right w:val="nil"/>
            </w:tcBorders>
            <w:noWrap/>
            <w:vAlign w:val="center"/>
          </w:tcPr>
          <w:p w14:paraId="169A7C82"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400</w:t>
            </w:r>
          </w:p>
        </w:tc>
        <w:tc>
          <w:tcPr>
            <w:tcW w:w="204" w:type="dxa"/>
            <w:tcBorders>
              <w:top w:val="nil"/>
              <w:left w:val="nil"/>
              <w:right w:val="nil"/>
            </w:tcBorders>
          </w:tcPr>
          <w:p w14:paraId="3FA74857"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0F8F0587"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7CD3D04D"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73" w:type="dxa"/>
            <w:tcBorders>
              <w:top w:val="nil"/>
              <w:left w:val="nil"/>
              <w:right w:val="nil"/>
            </w:tcBorders>
            <w:noWrap/>
            <w:vAlign w:val="center"/>
          </w:tcPr>
          <w:p w14:paraId="64EB060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6,750</w:t>
            </w:r>
          </w:p>
        </w:tc>
        <w:tc>
          <w:tcPr>
            <w:tcW w:w="1138" w:type="dxa"/>
            <w:tcBorders>
              <w:top w:val="nil"/>
              <w:left w:val="nil"/>
              <w:right w:val="nil"/>
            </w:tcBorders>
            <w:noWrap/>
            <w:vAlign w:val="center"/>
          </w:tcPr>
          <w:p w14:paraId="2752C4F6"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500</w:t>
            </w:r>
          </w:p>
        </w:tc>
        <w:tc>
          <w:tcPr>
            <w:tcW w:w="204" w:type="dxa"/>
            <w:tcBorders>
              <w:top w:val="nil"/>
              <w:left w:val="nil"/>
              <w:right w:val="nil"/>
            </w:tcBorders>
          </w:tcPr>
          <w:p w14:paraId="2D5ACE5C"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0FAB73B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3F831A95"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right w:val="nil"/>
            </w:tcBorders>
            <w:noWrap/>
            <w:vAlign w:val="center"/>
          </w:tcPr>
          <w:p w14:paraId="239F9D9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6,300</w:t>
            </w:r>
          </w:p>
        </w:tc>
        <w:tc>
          <w:tcPr>
            <w:tcW w:w="1122" w:type="dxa"/>
            <w:tcBorders>
              <w:top w:val="nil"/>
              <w:left w:val="nil"/>
              <w:right w:val="nil"/>
            </w:tcBorders>
            <w:noWrap/>
            <w:vAlign w:val="center"/>
          </w:tcPr>
          <w:p w14:paraId="3D6CC2E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450</w:t>
            </w:r>
          </w:p>
        </w:tc>
      </w:tr>
      <w:tr w:rsidR="000B03C8" w:rsidRPr="001876AD" w14:paraId="4C2A6A35" w14:textId="77777777" w:rsidTr="00B76ADE">
        <w:trPr>
          <w:gridAfter w:val="1"/>
          <w:wAfter w:w="16" w:type="dxa"/>
          <w:trHeight w:val="155"/>
        </w:trPr>
        <w:tc>
          <w:tcPr>
            <w:tcW w:w="1800" w:type="dxa"/>
            <w:vMerge w:val="restart"/>
            <w:tcBorders>
              <w:top w:val="single" w:sz="4" w:space="0" w:color="auto"/>
              <w:right w:val="nil"/>
            </w:tcBorders>
            <w:noWrap/>
            <w:hideMark/>
          </w:tcPr>
          <w:p w14:paraId="4D2314F4" w14:textId="77777777" w:rsidR="000B03C8" w:rsidRPr="001876AD" w:rsidRDefault="000B03C8" w:rsidP="00B76ADE">
            <w:pPr>
              <w:widowControl/>
              <w:snapToGrid w:val="0"/>
              <w:spacing w:line="480" w:lineRule="auto"/>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Shakuyaku-kanzo-to</w:t>
            </w:r>
          </w:p>
        </w:tc>
        <w:tc>
          <w:tcPr>
            <w:tcW w:w="1079" w:type="dxa"/>
            <w:tcBorders>
              <w:top w:val="single" w:sz="4" w:space="0" w:color="auto"/>
              <w:left w:val="nil"/>
              <w:right w:val="nil"/>
            </w:tcBorders>
            <w:noWrap/>
            <w:vAlign w:val="center"/>
          </w:tcPr>
          <w:p w14:paraId="55E7C45C"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47</w:t>
            </w:r>
          </w:p>
        </w:tc>
        <w:tc>
          <w:tcPr>
            <w:tcW w:w="785" w:type="dxa"/>
            <w:tcBorders>
              <w:top w:val="single" w:sz="4" w:space="0" w:color="auto"/>
              <w:left w:val="nil"/>
              <w:right w:val="nil"/>
            </w:tcBorders>
            <w:noWrap/>
            <w:vAlign w:val="center"/>
          </w:tcPr>
          <w:p w14:paraId="3764D09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4" w:space="0" w:color="auto"/>
              <w:left w:val="nil"/>
              <w:right w:val="nil"/>
            </w:tcBorders>
            <w:noWrap/>
            <w:vAlign w:val="center"/>
          </w:tcPr>
          <w:p w14:paraId="31A32286"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35,000</w:t>
            </w:r>
          </w:p>
        </w:tc>
        <w:tc>
          <w:tcPr>
            <w:tcW w:w="1138" w:type="dxa"/>
            <w:tcBorders>
              <w:top w:val="single" w:sz="4" w:space="0" w:color="auto"/>
              <w:left w:val="nil"/>
              <w:right w:val="nil"/>
            </w:tcBorders>
            <w:noWrap/>
            <w:vAlign w:val="center"/>
          </w:tcPr>
          <w:p w14:paraId="5A703736"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2,500</w:t>
            </w:r>
          </w:p>
        </w:tc>
        <w:tc>
          <w:tcPr>
            <w:tcW w:w="204" w:type="dxa"/>
            <w:tcBorders>
              <w:top w:val="single" w:sz="4" w:space="0" w:color="auto"/>
              <w:left w:val="nil"/>
              <w:right w:val="nil"/>
            </w:tcBorders>
          </w:tcPr>
          <w:p w14:paraId="1E02E5DD"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single" w:sz="4" w:space="0" w:color="auto"/>
              <w:left w:val="nil"/>
              <w:right w:val="nil"/>
            </w:tcBorders>
            <w:noWrap/>
            <w:vAlign w:val="center"/>
          </w:tcPr>
          <w:p w14:paraId="7039218E"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5,430</w:t>
            </w:r>
          </w:p>
        </w:tc>
        <w:tc>
          <w:tcPr>
            <w:tcW w:w="748" w:type="dxa"/>
            <w:tcBorders>
              <w:top w:val="single" w:sz="4" w:space="0" w:color="auto"/>
              <w:left w:val="nil"/>
              <w:right w:val="nil"/>
            </w:tcBorders>
            <w:noWrap/>
            <w:vAlign w:val="center"/>
          </w:tcPr>
          <w:p w14:paraId="5AC92F5C"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73" w:type="dxa"/>
            <w:tcBorders>
              <w:top w:val="single" w:sz="4" w:space="0" w:color="auto"/>
              <w:left w:val="nil"/>
              <w:right w:val="nil"/>
            </w:tcBorders>
            <w:noWrap/>
            <w:vAlign w:val="center"/>
          </w:tcPr>
          <w:p w14:paraId="732AB01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70,000</w:t>
            </w:r>
          </w:p>
        </w:tc>
        <w:tc>
          <w:tcPr>
            <w:tcW w:w="1138" w:type="dxa"/>
            <w:tcBorders>
              <w:top w:val="single" w:sz="4" w:space="0" w:color="auto"/>
              <w:left w:val="nil"/>
              <w:right w:val="nil"/>
            </w:tcBorders>
            <w:noWrap/>
            <w:vAlign w:val="center"/>
          </w:tcPr>
          <w:p w14:paraId="47B3449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2,500</w:t>
            </w:r>
          </w:p>
        </w:tc>
        <w:tc>
          <w:tcPr>
            <w:tcW w:w="204" w:type="dxa"/>
            <w:tcBorders>
              <w:top w:val="single" w:sz="4" w:space="0" w:color="auto"/>
              <w:left w:val="nil"/>
              <w:right w:val="nil"/>
            </w:tcBorders>
          </w:tcPr>
          <w:p w14:paraId="435C3372"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single" w:sz="4" w:space="0" w:color="auto"/>
              <w:left w:val="nil"/>
              <w:right w:val="nil"/>
            </w:tcBorders>
            <w:noWrap/>
            <w:vAlign w:val="center"/>
          </w:tcPr>
          <w:p w14:paraId="432E724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12,084</w:t>
            </w:r>
          </w:p>
        </w:tc>
        <w:tc>
          <w:tcPr>
            <w:tcW w:w="748" w:type="dxa"/>
            <w:tcBorders>
              <w:top w:val="single" w:sz="4" w:space="0" w:color="auto"/>
              <w:left w:val="nil"/>
              <w:right w:val="nil"/>
            </w:tcBorders>
            <w:noWrap/>
            <w:vAlign w:val="center"/>
          </w:tcPr>
          <w:p w14:paraId="67E31423"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4" w:space="0" w:color="auto"/>
              <w:left w:val="nil"/>
              <w:right w:val="nil"/>
            </w:tcBorders>
            <w:noWrap/>
            <w:vAlign w:val="center"/>
          </w:tcPr>
          <w:p w14:paraId="0D8876B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70,000</w:t>
            </w:r>
          </w:p>
        </w:tc>
        <w:tc>
          <w:tcPr>
            <w:tcW w:w="1122" w:type="dxa"/>
            <w:tcBorders>
              <w:top w:val="single" w:sz="4" w:space="0" w:color="auto"/>
              <w:left w:val="nil"/>
              <w:right w:val="nil"/>
            </w:tcBorders>
            <w:noWrap/>
            <w:vAlign w:val="center"/>
          </w:tcPr>
          <w:p w14:paraId="473EB81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2,500</w:t>
            </w:r>
          </w:p>
        </w:tc>
      </w:tr>
      <w:tr w:rsidR="000B03C8" w:rsidRPr="001876AD" w14:paraId="46760E1D" w14:textId="77777777" w:rsidTr="00B76ADE">
        <w:trPr>
          <w:gridAfter w:val="1"/>
          <w:wAfter w:w="16" w:type="dxa"/>
          <w:trHeight w:val="213"/>
        </w:trPr>
        <w:tc>
          <w:tcPr>
            <w:tcW w:w="1800" w:type="dxa"/>
            <w:vMerge/>
            <w:tcBorders>
              <w:right w:val="nil"/>
            </w:tcBorders>
            <w:noWrap/>
            <w:hideMark/>
          </w:tcPr>
          <w:p w14:paraId="12395124" w14:textId="77777777" w:rsidR="000B03C8" w:rsidRPr="001876AD" w:rsidRDefault="000B03C8" w:rsidP="00B76ADE">
            <w:pPr>
              <w:snapToGrid w:val="0"/>
              <w:spacing w:line="480" w:lineRule="auto"/>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tcPr>
          <w:p w14:paraId="3BEA9C68"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327F22D1"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5267680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70,000</w:t>
            </w:r>
          </w:p>
        </w:tc>
        <w:tc>
          <w:tcPr>
            <w:tcW w:w="1138" w:type="dxa"/>
            <w:tcBorders>
              <w:top w:val="nil"/>
              <w:left w:val="nil"/>
              <w:right w:val="nil"/>
            </w:tcBorders>
            <w:noWrap/>
            <w:vAlign w:val="center"/>
          </w:tcPr>
          <w:p w14:paraId="640E5537"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3,000</w:t>
            </w:r>
          </w:p>
        </w:tc>
        <w:tc>
          <w:tcPr>
            <w:tcW w:w="204" w:type="dxa"/>
            <w:tcBorders>
              <w:top w:val="nil"/>
              <w:left w:val="nil"/>
              <w:right w:val="nil"/>
            </w:tcBorders>
          </w:tcPr>
          <w:p w14:paraId="14E8112D"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25E797EF"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40BC6239"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73" w:type="dxa"/>
            <w:tcBorders>
              <w:top w:val="nil"/>
              <w:left w:val="nil"/>
              <w:right w:val="nil"/>
            </w:tcBorders>
            <w:noWrap/>
            <w:vAlign w:val="center"/>
          </w:tcPr>
          <w:p w14:paraId="1610F99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105,000</w:t>
            </w:r>
          </w:p>
        </w:tc>
        <w:tc>
          <w:tcPr>
            <w:tcW w:w="1138" w:type="dxa"/>
            <w:tcBorders>
              <w:top w:val="nil"/>
              <w:left w:val="nil"/>
              <w:right w:val="nil"/>
            </w:tcBorders>
            <w:noWrap/>
            <w:vAlign w:val="center"/>
          </w:tcPr>
          <w:p w14:paraId="24445B12"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6,000</w:t>
            </w:r>
          </w:p>
        </w:tc>
        <w:tc>
          <w:tcPr>
            <w:tcW w:w="204" w:type="dxa"/>
            <w:tcBorders>
              <w:top w:val="nil"/>
              <w:left w:val="nil"/>
              <w:right w:val="nil"/>
            </w:tcBorders>
          </w:tcPr>
          <w:p w14:paraId="6D667802"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0F16E6F5"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7CA6ECC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2AD6EC8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105,000</w:t>
            </w:r>
          </w:p>
        </w:tc>
        <w:tc>
          <w:tcPr>
            <w:tcW w:w="1122" w:type="dxa"/>
            <w:tcBorders>
              <w:top w:val="nil"/>
              <w:left w:val="nil"/>
              <w:right w:val="nil"/>
            </w:tcBorders>
            <w:noWrap/>
            <w:vAlign w:val="center"/>
          </w:tcPr>
          <w:p w14:paraId="123CEDA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4,000</w:t>
            </w:r>
          </w:p>
        </w:tc>
      </w:tr>
      <w:tr w:rsidR="000B03C8" w:rsidRPr="001876AD" w14:paraId="2C1BEA80" w14:textId="77777777" w:rsidTr="00B76ADE">
        <w:trPr>
          <w:gridAfter w:val="1"/>
          <w:wAfter w:w="16" w:type="dxa"/>
          <w:trHeight w:val="248"/>
        </w:trPr>
        <w:tc>
          <w:tcPr>
            <w:tcW w:w="1800" w:type="dxa"/>
            <w:vMerge/>
            <w:tcBorders>
              <w:bottom w:val="nil"/>
              <w:right w:val="nil"/>
            </w:tcBorders>
            <w:noWrap/>
            <w:hideMark/>
          </w:tcPr>
          <w:p w14:paraId="3A083E56" w14:textId="77777777" w:rsidR="000B03C8" w:rsidRPr="001876AD" w:rsidRDefault="000B03C8" w:rsidP="00B76ADE">
            <w:pPr>
              <w:snapToGrid w:val="0"/>
              <w:spacing w:line="480" w:lineRule="auto"/>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tcPr>
          <w:p w14:paraId="694C2DE0"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2A88D2E7"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right w:val="nil"/>
            </w:tcBorders>
            <w:noWrap/>
            <w:vAlign w:val="center"/>
          </w:tcPr>
          <w:p w14:paraId="5E0FAA4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105,000</w:t>
            </w:r>
          </w:p>
        </w:tc>
        <w:tc>
          <w:tcPr>
            <w:tcW w:w="1138" w:type="dxa"/>
            <w:tcBorders>
              <w:top w:val="nil"/>
              <w:left w:val="nil"/>
              <w:right w:val="nil"/>
            </w:tcBorders>
            <w:noWrap/>
            <w:vAlign w:val="center"/>
          </w:tcPr>
          <w:p w14:paraId="1A0549A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6,750</w:t>
            </w:r>
          </w:p>
        </w:tc>
        <w:tc>
          <w:tcPr>
            <w:tcW w:w="204" w:type="dxa"/>
            <w:tcBorders>
              <w:top w:val="nil"/>
              <w:left w:val="nil"/>
              <w:right w:val="nil"/>
            </w:tcBorders>
          </w:tcPr>
          <w:p w14:paraId="57E6706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3E7384EC"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70BF3995"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73" w:type="dxa"/>
            <w:tcBorders>
              <w:top w:val="nil"/>
              <w:left w:val="nil"/>
              <w:right w:val="nil"/>
            </w:tcBorders>
            <w:noWrap/>
            <w:vAlign w:val="center"/>
          </w:tcPr>
          <w:p w14:paraId="7310FFE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225,000</w:t>
            </w:r>
          </w:p>
        </w:tc>
        <w:tc>
          <w:tcPr>
            <w:tcW w:w="1138" w:type="dxa"/>
            <w:tcBorders>
              <w:top w:val="nil"/>
              <w:left w:val="nil"/>
              <w:right w:val="nil"/>
            </w:tcBorders>
            <w:noWrap/>
            <w:vAlign w:val="center"/>
          </w:tcPr>
          <w:p w14:paraId="6E35A3E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7,500</w:t>
            </w:r>
          </w:p>
        </w:tc>
        <w:tc>
          <w:tcPr>
            <w:tcW w:w="204" w:type="dxa"/>
            <w:tcBorders>
              <w:top w:val="nil"/>
              <w:left w:val="nil"/>
              <w:right w:val="nil"/>
            </w:tcBorders>
          </w:tcPr>
          <w:p w14:paraId="1ADE6356"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6095A28C"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6789B990"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right w:val="nil"/>
            </w:tcBorders>
            <w:noWrap/>
            <w:vAlign w:val="center"/>
          </w:tcPr>
          <w:p w14:paraId="29A0A7F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225,000</w:t>
            </w:r>
          </w:p>
        </w:tc>
        <w:tc>
          <w:tcPr>
            <w:tcW w:w="1122" w:type="dxa"/>
            <w:tcBorders>
              <w:top w:val="nil"/>
              <w:left w:val="nil"/>
              <w:right w:val="nil"/>
            </w:tcBorders>
            <w:noWrap/>
            <w:vAlign w:val="center"/>
          </w:tcPr>
          <w:p w14:paraId="1357D89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7,500</w:t>
            </w:r>
          </w:p>
        </w:tc>
      </w:tr>
      <w:tr w:rsidR="000B03C8" w:rsidRPr="001876AD" w14:paraId="54AFB2FE" w14:textId="77777777" w:rsidTr="00B76ADE">
        <w:trPr>
          <w:gridAfter w:val="1"/>
          <w:wAfter w:w="16" w:type="dxa"/>
          <w:trHeight w:val="214"/>
        </w:trPr>
        <w:tc>
          <w:tcPr>
            <w:tcW w:w="1800" w:type="dxa"/>
            <w:tcBorders>
              <w:top w:val="single" w:sz="4" w:space="0" w:color="auto"/>
              <w:right w:val="nil"/>
            </w:tcBorders>
            <w:noWrap/>
            <w:hideMark/>
          </w:tcPr>
          <w:p w14:paraId="45FFF057" w14:textId="77777777" w:rsidR="000B03C8" w:rsidRPr="001876AD" w:rsidRDefault="000B03C8" w:rsidP="00B76ADE">
            <w:pPr>
              <w:widowControl/>
              <w:snapToGrid w:val="0"/>
              <w:spacing w:line="480" w:lineRule="auto"/>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Neurotropin</w:t>
            </w:r>
          </w:p>
        </w:tc>
        <w:tc>
          <w:tcPr>
            <w:tcW w:w="1079" w:type="dxa"/>
            <w:tcBorders>
              <w:top w:val="single" w:sz="4" w:space="0" w:color="auto"/>
              <w:left w:val="nil"/>
              <w:right w:val="nil"/>
            </w:tcBorders>
            <w:noWrap/>
            <w:vAlign w:val="center"/>
          </w:tcPr>
          <w:p w14:paraId="06B40A28"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34</w:t>
            </w:r>
          </w:p>
        </w:tc>
        <w:tc>
          <w:tcPr>
            <w:tcW w:w="785" w:type="dxa"/>
            <w:tcBorders>
              <w:top w:val="single" w:sz="4" w:space="0" w:color="auto"/>
              <w:left w:val="nil"/>
              <w:right w:val="nil"/>
            </w:tcBorders>
            <w:noWrap/>
            <w:vAlign w:val="center"/>
          </w:tcPr>
          <w:p w14:paraId="43F65E1F"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4" w:space="0" w:color="auto"/>
              <w:left w:val="nil"/>
              <w:right w:val="nil"/>
            </w:tcBorders>
            <w:noWrap/>
            <w:vAlign w:val="center"/>
          </w:tcPr>
          <w:p w14:paraId="5D85B0F0"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224</w:t>
            </w:r>
          </w:p>
        </w:tc>
        <w:tc>
          <w:tcPr>
            <w:tcW w:w="1138" w:type="dxa"/>
            <w:tcBorders>
              <w:top w:val="single" w:sz="4" w:space="0" w:color="auto"/>
              <w:left w:val="nil"/>
              <w:right w:val="nil"/>
            </w:tcBorders>
            <w:noWrap/>
            <w:vAlign w:val="center"/>
          </w:tcPr>
          <w:p w14:paraId="6CE1D3A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16</w:t>
            </w:r>
          </w:p>
        </w:tc>
        <w:tc>
          <w:tcPr>
            <w:tcW w:w="204" w:type="dxa"/>
            <w:tcBorders>
              <w:top w:val="single" w:sz="4" w:space="0" w:color="auto"/>
              <w:left w:val="nil"/>
              <w:right w:val="nil"/>
            </w:tcBorders>
          </w:tcPr>
          <w:p w14:paraId="2E82BB04"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single" w:sz="4" w:space="0" w:color="auto"/>
              <w:left w:val="nil"/>
              <w:right w:val="nil"/>
            </w:tcBorders>
            <w:noWrap/>
            <w:vAlign w:val="center"/>
          </w:tcPr>
          <w:p w14:paraId="684D453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8,180</w:t>
            </w:r>
          </w:p>
        </w:tc>
        <w:tc>
          <w:tcPr>
            <w:tcW w:w="748" w:type="dxa"/>
            <w:tcBorders>
              <w:top w:val="single" w:sz="4" w:space="0" w:color="auto"/>
              <w:left w:val="nil"/>
              <w:right w:val="nil"/>
            </w:tcBorders>
            <w:noWrap/>
            <w:vAlign w:val="center"/>
          </w:tcPr>
          <w:p w14:paraId="77655B1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73" w:type="dxa"/>
            <w:tcBorders>
              <w:top w:val="single" w:sz="4" w:space="0" w:color="auto"/>
              <w:left w:val="nil"/>
              <w:right w:val="nil"/>
            </w:tcBorders>
            <w:noWrap/>
            <w:vAlign w:val="center"/>
          </w:tcPr>
          <w:p w14:paraId="06649B30"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224</w:t>
            </w:r>
          </w:p>
        </w:tc>
        <w:tc>
          <w:tcPr>
            <w:tcW w:w="1138" w:type="dxa"/>
            <w:tcBorders>
              <w:top w:val="single" w:sz="4" w:space="0" w:color="auto"/>
              <w:left w:val="nil"/>
              <w:right w:val="nil"/>
            </w:tcBorders>
            <w:noWrap/>
            <w:vAlign w:val="center"/>
          </w:tcPr>
          <w:p w14:paraId="5CA23077"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16</w:t>
            </w:r>
          </w:p>
        </w:tc>
        <w:tc>
          <w:tcPr>
            <w:tcW w:w="204" w:type="dxa"/>
            <w:tcBorders>
              <w:top w:val="single" w:sz="4" w:space="0" w:color="auto"/>
              <w:left w:val="nil"/>
              <w:right w:val="nil"/>
            </w:tcBorders>
          </w:tcPr>
          <w:p w14:paraId="552A2FA1"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single" w:sz="4" w:space="0" w:color="auto"/>
              <w:left w:val="nil"/>
              <w:right w:val="nil"/>
            </w:tcBorders>
            <w:noWrap/>
            <w:vAlign w:val="center"/>
          </w:tcPr>
          <w:p w14:paraId="4E720AA1"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8,825</w:t>
            </w:r>
          </w:p>
        </w:tc>
        <w:tc>
          <w:tcPr>
            <w:tcW w:w="748" w:type="dxa"/>
            <w:tcBorders>
              <w:top w:val="single" w:sz="4" w:space="0" w:color="auto"/>
              <w:left w:val="nil"/>
              <w:right w:val="nil"/>
            </w:tcBorders>
            <w:noWrap/>
            <w:vAlign w:val="center"/>
          </w:tcPr>
          <w:p w14:paraId="080EA5D9"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4" w:space="0" w:color="auto"/>
              <w:left w:val="nil"/>
              <w:right w:val="nil"/>
            </w:tcBorders>
            <w:noWrap/>
            <w:vAlign w:val="center"/>
          </w:tcPr>
          <w:p w14:paraId="34FD23C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224</w:t>
            </w:r>
          </w:p>
        </w:tc>
        <w:tc>
          <w:tcPr>
            <w:tcW w:w="1122" w:type="dxa"/>
            <w:tcBorders>
              <w:top w:val="single" w:sz="4" w:space="0" w:color="auto"/>
              <w:left w:val="nil"/>
              <w:right w:val="nil"/>
            </w:tcBorders>
            <w:noWrap/>
            <w:vAlign w:val="center"/>
          </w:tcPr>
          <w:p w14:paraId="6E51D6F0"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16</w:t>
            </w:r>
          </w:p>
        </w:tc>
      </w:tr>
      <w:tr w:rsidR="000B03C8" w:rsidRPr="001876AD" w14:paraId="0C36C921" w14:textId="77777777" w:rsidTr="00B76ADE">
        <w:trPr>
          <w:gridAfter w:val="1"/>
          <w:wAfter w:w="16" w:type="dxa"/>
          <w:trHeight w:val="207"/>
        </w:trPr>
        <w:tc>
          <w:tcPr>
            <w:tcW w:w="1800" w:type="dxa"/>
            <w:tcBorders>
              <w:right w:val="nil"/>
            </w:tcBorders>
            <w:noWrap/>
            <w:hideMark/>
          </w:tcPr>
          <w:p w14:paraId="73729336" w14:textId="77777777" w:rsidR="000B03C8" w:rsidRPr="001876AD" w:rsidRDefault="000B03C8" w:rsidP="00B76ADE">
            <w:pPr>
              <w:widowControl/>
              <w:snapToGrid w:val="0"/>
              <w:spacing w:line="480" w:lineRule="auto"/>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tcPr>
          <w:p w14:paraId="0D866FC3"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797A4A1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6379C57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294</w:t>
            </w:r>
          </w:p>
        </w:tc>
        <w:tc>
          <w:tcPr>
            <w:tcW w:w="1138" w:type="dxa"/>
            <w:tcBorders>
              <w:top w:val="nil"/>
              <w:left w:val="nil"/>
              <w:right w:val="nil"/>
            </w:tcBorders>
            <w:noWrap/>
            <w:vAlign w:val="center"/>
          </w:tcPr>
          <w:p w14:paraId="5199A0E0"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16</w:t>
            </w:r>
          </w:p>
        </w:tc>
        <w:tc>
          <w:tcPr>
            <w:tcW w:w="204" w:type="dxa"/>
            <w:tcBorders>
              <w:top w:val="nil"/>
              <w:left w:val="nil"/>
              <w:right w:val="nil"/>
            </w:tcBorders>
          </w:tcPr>
          <w:p w14:paraId="0DBD9D20"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3E418FBE"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743451EC"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73" w:type="dxa"/>
            <w:tcBorders>
              <w:top w:val="nil"/>
              <w:left w:val="nil"/>
              <w:right w:val="nil"/>
            </w:tcBorders>
            <w:noWrap/>
            <w:vAlign w:val="center"/>
          </w:tcPr>
          <w:p w14:paraId="1637CC2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368</w:t>
            </w:r>
          </w:p>
        </w:tc>
        <w:tc>
          <w:tcPr>
            <w:tcW w:w="1138" w:type="dxa"/>
            <w:tcBorders>
              <w:top w:val="nil"/>
              <w:left w:val="nil"/>
              <w:right w:val="nil"/>
            </w:tcBorders>
            <w:noWrap/>
            <w:vAlign w:val="center"/>
          </w:tcPr>
          <w:p w14:paraId="759F28D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16</w:t>
            </w:r>
          </w:p>
        </w:tc>
        <w:tc>
          <w:tcPr>
            <w:tcW w:w="204" w:type="dxa"/>
            <w:tcBorders>
              <w:top w:val="nil"/>
              <w:left w:val="nil"/>
              <w:right w:val="nil"/>
            </w:tcBorders>
          </w:tcPr>
          <w:p w14:paraId="75EF916E"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02AB1F94"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79E7128E"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30BFCEB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504</w:t>
            </w:r>
          </w:p>
        </w:tc>
        <w:tc>
          <w:tcPr>
            <w:tcW w:w="1122" w:type="dxa"/>
            <w:tcBorders>
              <w:top w:val="nil"/>
              <w:left w:val="nil"/>
              <w:right w:val="nil"/>
            </w:tcBorders>
            <w:noWrap/>
            <w:vAlign w:val="center"/>
          </w:tcPr>
          <w:p w14:paraId="496A406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16</w:t>
            </w:r>
          </w:p>
        </w:tc>
      </w:tr>
      <w:tr w:rsidR="000B03C8" w:rsidRPr="001876AD" w14:paraId="29258CB1" w14:textId="77777777" w:rsidTr="00B76ADE">
        <w:trPr>
          <w:gridAfter w:val="1"/>
          <w:wAfter w:w="16" w:type="dxa"/>
          <w:trHeight w:val="144"/>
        </w:trPr>
        <w:tc>
          <w:tcPr>
            <w:tcW w:w="1800" w:type="dxa"/>
            <w:tcBorders>
              <w:right w:val="nil"/>
            </w:tcBorders>
            <w:noWrap/>
            <w:hideMark/>
          </w:tcPr>
          <w:p w14:paraId="2CCEB28F" w14:textId="77777777" w:rsidR="000B03C8" w:rsidRPr="001876AD" w:rsidRDefault="000B03C8" w:rsidP="00B76ADE">
            <w:pPr>
              <w:widowControl/>
              <w:snapToGrid w:val="0"/>
              <w:spacing w:line="480" w:lineRule="auto"/>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tcPr>
          <w:p w14:paraId="10A4DAF0"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1F6FEB80"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right w:val="nil"/>
            </w:tcBorders>
            <w:noWrap/>
            <w:vAlign w:val="center"/>
          </w:tcPr>
          <w:p w14:paraId="23AA5DD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610</w:t>
            </w:r>
          </w:p>
        </w:tc>
        <w:tc>
          <w:tcPr>
            <w:tcW w:w="1138" w:type="dxa"/>
            <w:tcBorders>
              <w:top w:val="nil"/>
              <w:left w:val="nil"/>
              <w:right w:val="nil"/>
            </w:tcBorders>
            <w:noWrap/>
            <w:vAlign w:val="center"/>
          </w:tcPr>
          <w:p w14:paraId="59DE36B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16</w:t>
            </w:r>
          </w:p>
        </w:tc>
        <w:tc>
          <w:tcPr>
            <w:tcW w:w="204" w:type="dxa"/>
            <w:tcBorders>
              <w:top w:val="nil"/>
              <w:left w:val="nil"/>
              <w:right w:val="nil"/>
            </w:tcBorders>
          </w:tcPr>
          <w:p w14:paraId="3CE56312"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47166E8C"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429BD5DD"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73" w:type="dxa"/>
            <w:tcBorders>
              <w:top w:val="nil"/>
              <w:left w:val="nil"/>
              <w:right w:val="nil"/>
            </w:tcBorders>
            <w:noWrap/>
            <w:vAlign w:val="center"/>
          </w:tcPr>
          <w:p w14:paraId="6F68536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784</w:t>
            </w:r>
          </w:p>
        </w:tc>
        <w:tc>
          <w:tcPr>
            <w:tcW w:w="1138" w:type="dxa"/>
            <w:tcBorders>
              <w:top w:val="nil"/>
              <w:left w:val="nil"/>
              <w:right w:val="nil"/>
            </w:tcBorders>
            <w:noWrap/>
            <w:vAlign w:val="center"/>
          </w:tcPr>
          <w:p w14:paraId="10557C2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16</w:t>
            </w:r>
          </w:p>
        </w:tc>
        <w:tc>
          <w:tcPr>
            <w:tcW w:w="204" w:type="dxa"/>
            <w:tcBorders>
              <w:top w:val="nil"/>
              <w:left w:val="nil"/>
              <w:right w:val="nil"/>
            </w:tcBorders>
          </w:tcPr>
          <w:p w14:paraId="3A87B775"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0395E98F"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292DD590"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right w:val="nil"/>
            </w:tcBorders>
            <w:noWrap/>
            <w:vAlign w:val="center"/>
          </w:tcPr>
          <w:p w14:paraId="5E66BB2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1,184</w:t>
            </w:r>
          </w:p>
        </w:tc>
        <w:tc>
          <w:tcPr>
            <w:tcW w:w="1122" w:type="dxa"/>
            <w:tcBorders>
              <w:top w:val="nil"/>
              <w:left w:val="nil"/>
              <w:right w:val="nil"/>
            </w:tcBorders>
            <w:noWrap/>
            <w:vAlign w:val="center"/>
          </w:tcPr>
          <w:p w14:paraId="26265F5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16</w:t>
            </w:r>
          </w:p>
        </w:tc>
      </w:tr>
      <w:tr w:rsidR="000B03C8" w:rsidRPr="001876AD" w14:paraId="15E705C1" w14:textId="77777777" w:rsidTr="00B76ADE">
        <w:trPr>
          <w:gridAfter w:val="1"/>
          <w:wAfter w:w="16" w:type="dxa"/>
          <w:trHeight w:val="169"/>
        </w:trPr>
        <w:tc>
          <w:tcPr>
            <w:tcW w:w="1800" w:type="dxa"/>
            <w:vMerge w:val="restart"/>
            <w:tcBorders>
              <w:top w:val="single" w:sz="4" w:space="0" w:color="auto"/>
              <w:right w:val="nil"/>
            </w:tcBorders>
            <w:noWrap/>
            <w:hideMark/>
          </w:tcPr>
          <w:p w14:paraId="2093193A"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TA combination</w:t>
            </w:r>
          </w:p>
          <w:p w14:paraId="463B7F04"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p>
        </w:tc>
        <w:tc>
          <w:tcPr>
            <w:tcW w:w="1079" w:type="dxa"/>
            <w:tcBorders>
              <w:top w:val="single" w:sz="4" w:space="0" w:color="auto"/>
              <w:left w:val="nil"/>
              <w:right w:val="nil"/>
            </w:tcBorders>
            <w:noWrap/>
            <w:vAlign w:val="center"/>
            <w:hideMark/>
          </w:tcPr>
          <w:p w14:paraId="73849816"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w:t>
            </w:r>
          </w:p>
        </w:tc>
        <w:tc>
          <w:tcPr>
            <w:tcW w:w="785" w:type="dxa"/>
            <w:tcBorders>
              <w:top w:val="single" w:sz="4" w:space="0" w:color="auto"/>
              <w:left w:val="nil"/>
              <w:right w:val="nil"/>
            </w:tcBorders>
            <w:noWrap/>
            <w:vAlign w:val="center"/>
          </w:tcPr>
          <w:p w14:paraId="40CB89D0"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4" w:space="0" w:color="auto"/>
              <w:left w:val="nil"/>
              <w:right w:val="nil"/>
            </w:tcBorders>
            <w:noWrap/>
            <w:vAlign w:val="center"/>
          </w:tcPr>
          <w:p w14:paraId="5B72DA4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1,050</w:t>
            </w:r>
          </w:p>
        </w:tc>
        <w:tc>
          <w:tcPr>
            <w:tcW w:w="1138" w:type="dxa"/>
            <w:tcBorders>
              <w:top w:val="single" w:sz="4" w:space="0" w:color="auto"/>
              <w:left w:val="nil"/>
              <w:right w:val="nil"/>
            </w:tcBorders>
            <w:noWrap/>
            <w:vAlign w:val="center"/>
          </w:tcPr>
          <w:p w14:paraId="602D07A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w:t>
            </w:r>
          </w:p>
        </w:tc>
        <w:tc>
          <w:tcPr>
            <w:tcW w:w="204" w:type="dxa"/>
            <w:tcBorders>
              <w:top w:val="single" w:sz="4" w:space="0" w:color="auto"/>
              <w:left w:val="nil"/>
              <w:right w:val="nil"/>
            </w:tcBorders>
          </w:tcPr>
          <w:p w14:paraId="3A8C3391"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single" w:sz="4" w:space="0" w:color="auto"/>
              <w:left w:val="nil"/>
              <w:right w:val="nil"/>
            </w:tcBorders>
            <w:noWrap/>
            <w:vAlign w:val="center"/>
          </w:tcPr>
          <w:p w14:paraId="2FA3129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6,287</w:t>
            </w:r>
          </w:p>
        </w:tc>
        <w:tc>
          <w:tcPr>
            <w:tcW w:w="748" w:type="dxa"/>
            <w:tcBorders>
              <w:top w:val="single" w:sz="4" w:space="0" w:color="auto"/>
              <w:left w:val="nil"/>
              <w:right w:val="nil"/>
            </w:tcBorders>
            <w:noWrap/>
            <w:vAlign w:val="center"/>
          </w:tcPr>
          <w:p w14:paraId="1E0D5804"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73" w:type="dxa"/>
            <w:tcBorders>
              <w:top w:val="single" w:sz="4" w:space="0" w:color="auto"/>
              <w:left w:val="nil"/>
              <w:right w:val="nil"/>
            </w:tcBorders>
            <w:noWrap/>
            <w:vAlign w:val="center"/>
          </w:tcPr>
          <w:p w14:paraId="00F6628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1,575</w:t>
            </w:r>
          </w:p>
        </w:tc>
        <w:tc>
          <w:tcPr>
            <w:tcW w:w="1138" w:type="dxa"/>
            <w:tcBorders>
              <w:top w:val="single" w:sz="4" w:space="0" w:color="auto"/>
              <w:left w:val="nil"/>
              <w:right w:val="nil"/>
            </w:tcBorders>
            <w:noWrap/>
            <w:vAlign w:val="center"/>
          </w:tcPr>
          <w:p w14:paraId="072E9D0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w:t>
            </w:r>
          </w:p>
        </w:tc>
        <w:tc>
          <w:tcPr>
            <w:tcW w:w="204" w:type="dxa"/>
            <w:tcBorders>
              <w:top w:val="single" w:sz="4" w:space="0" w:color="auto"/>
              <w:left w:val="nil"/>
              <w:right w:val="nil"/>
            </w:tcBorders>
          </w:tcPr>
          <w:p w14:paraId="224BC48E"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single" w:sz="4" w:space="0" w:color="auto"/>
              <w:left w:val="nil"/>
              <w:right w:val="nil"/>
            </w:tcBorders>
            <w:noWrap/>
            <w:vAlign w:val="center"/>
          </w:tcPr>
          <w:p w14:paraId="4FC04FD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6,414</w:t>
            </w:r>
          </w:p>
        </w:tc>
        <w:tc>
          <w:tcPr>
            <w:tcW w:w="748" w:type="dxa"/>
            <w:tcBorders>
              <w:top w:val="single" w:sz="4" w:space="0" w:color="auto"/>
              <w:left w:val="nil"/>
              <w:right w:val="nil"/>
            </w:tcBorders>
            <w:noWrap/>
            <w:vAlign w:val="center"/>
          </w:tcPr>
          <w:p w14:paraId="1FC3E1E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4" w:space="0" w:color="auto"/>
              <w:left w:val="nil"/>
              <w:right w:val="nil"/>
            </w:tcBorders>
            <w:noWrap/>
            <w:vAlign w:val="center"/>
          </w:tcPr>
          <w:p w14:paraId="38BE479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1,575</w:t>
            </w:r>
          </w:p>
        </w:tc>
        <w:tc>
          <w:tcPr>
            <w:tcW w:w="1122" w:type="dxa"/>
            <w:tcBorders>
              <w:top w:val="single" w:sz="4" w:space="0" w:color="auto"/>
              <w:left w:val="nil"/>
              <w:right w:val="nil"/>
            </w:tcBorders>
            <w:noWrap/>
            <w:vAlign w:val="center"/>
          </w:tcPr>
          <w:p w14:paraId="76CC47A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w:t>
            </w:r>
          </w:p>
        </w:tc>
      </w:tr>
      <w:tr w:rsidR="000B03C8" w:rsidRPr="001876AD" w14:paraId="677858D0" w14:textId="77777777" w:rsidTr="00B76ADE">
        <w:trPr>
          <w:gridAfter w:val="1"/>
          <w:wAfter w:w="16" w:type="dxa"/>
          <w:trHeight w:val="177"/>
        </w:trPr>
        <w:tc>
          <w:tcPr>
            <w:tcW w:w="1800" w:type="dxa"/>
            <w:vMerge/>
            <w:tcBorders>
              <w:right w:val="nil"/>
            </w:tcBorders>
            <w:noWrap/>
            <w:hideMark/>
          </w:tcPr>
          <w:p w14:paraId="5AD47648" w14:textId="77777777" w:rsidR="000B03C8" w:rsidRPr="001876AD" w:rsidRDefault="000B03C8" w:rsidP="00B76ADE">
            <w:pPr>
              <w:snapToGrid w:val="0"/>
              <w:spacing w:line="480" w:lineRule="auto"/>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hideMark/>
          </w:tcPr>
          <w:p w14:paraId="23CA98B3"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2E50DE20"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6F6635F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2,100</w:t>
            </w:r>
          </w:p>
        </w:tc>
        <w:tc>
          <w:tcPr>
            <w:tcW w:w="1138" w:type="dxa"/>
            <w:tcBorders>
              <w:top w:val="nil"/>
              <w:left w:val="nil"/>
              <w:right w:val="nil"/>
            </w:tcBorders>
            <w:noWrap/>
            <w:vAlign w:val="center"/>
          </w:tcPr>
          <w:p w14:paraId="3F30EB0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w:t>
            </w:r>
          </w:p>
        </w:tc>
        <w:tc>
          <w:tcPr>
            <w:tcW w:w="204" w:type="dxa"/>
            <w:tcBorders>
              <w:top w:val="nil"/>
              <w:left w:val="nil"/>
              <w:right w:val="nil"/>
            </w:tcBorders>
          </w:tcPr>
          <w:p w14:paraId="52B4F1C3"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02ABA29B"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0D89C2D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73" w:type="dxa"/>
            <w:tcBorders>
              <w:top w:val="nil"/>
              <w:left w:val="nil"/>
              <w:right w:val="nil"/>
            </w:tcBorders>
            <w:noWrap/>
            <w:vAlign w:val="center"/>
          </w:tcPr>
          <w:p w14:paraId="7904843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3,150</w:t>
            </w:r>
          </w:p>
        </w:tc>
        <w:tc>
          <w:tcPr>
            <w:tcW w:w="1138" w:type="dxa"/>
            <w:tcBorders>
              <w:top w:val="nil"/>
              <w:left w:val="nil"/>
              <w:right w:val="nil"/>
            </w:tcBorders>
            <w:noWrap/>
            <w:vAlign w:val="center"/>
          </w:tcPr>
          <w:p w14:paraId="3D5198E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11</w:t>
            </w:r>
            <w:r w:rsidRPr="001876AD">
              <w:rPr>
                <w:rFonts w:ascii="Times New Roman" w:eastAsia="Meiryo UI" w:hAnsi="Times New Roman" w:hint="eastAsia"/>
                <w:color w:val="000000" w:themeColor="text1"/>
                <w:kern w:val="0"/>
                <w:sz w:val="18"/>
                <w:szCs w:val="18"/>
              </w:rPr>
              <w:t>3</w:t>
            </w:r>
          </w:p>
        </w:tc>
        <w:tc>
          <w:tcPr>
            <w:tcW w:w="204" w:type="dxa"/>
            <w:tcBorders>
              <w:top w:val="nil"/>
              <w:left w:val="nil"/>
              <w:right w:val="nil"/>
            </w:tcBorders>
          </w:tcPr>
          <w:p w14:paraId="7E63F596"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5BD17E9E"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0EF34872"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262EF71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3,375</w:t>
            </w:r>
          </w:p>
        </w:tc>
        <w:tc>
          <w:tcPr>
            <w:tcW w:w="1122" w:type="dxa"/>
            <w:tcBorders>
              <w:top w:val="nil"/>
              <w:left w:val="nil"/>
              <w:right w:val="nil"/>
            </w:tcBorders>
            <w:noWrap/>
            <w:vAlign w:val="center"/>
          </w:tcPr>
          <w:p w14:paraId="72CAC1C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w:t>
            </w:r>
          </w:p>
        </w:tc>
      </w:tr>
      <w:tr w:rsidR="000B03C8" w:rsidRPr="001876AD" w14:paraId="7D7790DF" w14:textId="77777777" w:rsidTr="00B76ADE">
        <w:trPr>
          <w:gridAfter w:val="1"/>
          <w:wAfter w:w="16" w:type="dxa"/>
          <w:trHeight w:val="142"/>
        </w:trPr>
        <w:tc>
          <w:tcPr>
            <w:tcW w:w="1800" w:type="dxa"/>
            <w:vMerge/>
            <w:tcBorders>
              <w:right w:val="nil"/>
            </w:tcBorders>
            <w:noWrap/>
            <w:hideMark/>
          </w:tcPr>
          <w:p w14:paraId="0EF410E3" w14:textId="77777777" w:rsidR="000B03C8" w:rsidRPr="001876AD" w:rsidRDefault="000B03C8" w:rsidP="00B76ADE">
            <w:pPr>
              <w:snapToGrid w:val="0"/>
              <w:spacing w:line="480" w:lineRule="auto"/>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hideMark/>
          </w:tcPr>
          <w:p w14:paraId="44388877"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47D81951"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right w:val="nil"/>
            </w:tcBorders>
            <w:noWrap/>
            <w:vAlign w:val="center"/>
          </w:tcPr>
          <w:p w14:paraId="48501B5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2,100</w:t>
            </w:r>
          </w:p>
        </w:tc>
        <w:tc>
          <w:tcPr>
            <w:tcW w:w="1138" w:type="dxa"/>
            <w:tcBorders>
              <w:top w:val="nil"/>
              <w:left w:val="nil"/>
              <w:right w:val="nil"/>
            </w:tcBorders>
            <w:noWrap/>
            <w:vAlign w:val="center"/>
          </w:tcPr>
          <w:p w14:paraId="44355CB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100</w:t>
            </w:r>
          </w:p>
        </w:tc>
        <w:tc>
          <w:tcPr>
            <w:tcW w:w="204" w:type="dxa"/>
            <w:tcBorders>
              <w:top w:val="nil"/>
              <w:left w:val="nil"/>
              <w:right w:val="nil"/>
            </w:tcBorders>
          </w:tcPr>
          <w:p w14:paraId="4E332509"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1B209F77"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4D925FDD"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73" w:type="dxa"/>
            <w:tcBorders>
              <w:top w:val="nil"/>
              <w:left w:val="nil"/>
              <w:right w:val="nil"/>
            </w:tcBorders>
            <w:noWrap/>
            <w:vAlign w:val="center"/>
          </w:tcPr>
          <w:p w14:paraId="03746DA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6,300</w:t>
            </w:r>
          </w:p>
        </w:tc>
        <w:tc>
          <w:tcPr>
            <w:tcW w:w="1138" w:type="dxa"/>
            <w:tcBorders>
              <w:top w:val="nil"/>
              <w:left w:val="nil"/>
              <w:right w:val="nil"/>
            </w:tcBorders>
            <w:noWrap/>
            <w:vAlign w:val="center"/>
          </w:tcPr>
          <w:p w14:paraId="249EE39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150</w:t>
            </w:r>
          </w:p>
        </w:tc>
        <w:tc>
          <w:tcPr>
            <w:tcW w:w="204" w:type="dxa"/>
            <w:tcBorders>
              <w:top w:val="nil"/>
              <w:left w:val="nil"/>
              <w:right w:val="nil"/>
            </w:tcBorders>
          </w:tcPr>
          <w:p w14:paraId="7E8D64AD"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115C3EBB"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1ADF456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right w:val="nil"/>
            </w:tcBorders>
            <w:noWrap/>
            <w:vAlign w:val="center"/>
          </w:tcPr>
          <w:p w14:paraId="0276667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6,825</w:t>
            </w:r>
          </w:p>
        </w:tc>
        <w:tc>
          <w:tcPr>
            <w:tcW w:w="1122" w:type="dxa"/>
            <w:tcBorders>
              <w:top w:val="nil"/>
              <w:left w:val="nil"/>
              <w:right w:val="nil"/>
            </w:tcBorders>
            <w:noWrap/>
            <w:vAlign w:val="center"/>
          </w:tcPr>
          <w:p w14:paraId="1345F292"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11</w:t>
            </w:r>
            <w:r w:rsidRPr="001876AD">
              <w:rPr>
                <w:rFonts w:ascii="Times New Roman" w:eastAsia="Meiryo UI" w:hAnsi="Times New Roman" w:hint="eastAsia"/>
                <w:color w:val="000000" w:themeColor="text1"/>
                <w:kern w:val="0"/>
                <w:sz w:val="18"/>
                <w:szCs w:val="18"/>
              </w:rPr>
              <w:t>3</w:t>
            </w:r>
          </w:p>
        </w:tc>
      </w:tr>
      <w:tr w:rsidR="000B03C8" w:rsidRPr="001876AD" w14:paraId="159A20B5" w14:textId="77777777" w:rsidTr="00B76ADE">
        <w:trPr>
          <w:gridAfter w:val="1"/>
          <w:wAfter w:w="16" w:type="dxa"/>
          <w:trHeight w:val="78"/>
        </w:trPr>
        <w:tc>
          <w:tcPr>
            <w:tcW w:w="1800" w:type="dxa"/>
            <w:tcBorders>
              <w:top w:val="single" w:sz="4" w:space="0" w:color="auto"/>
              <w:right w:val="nil"/>
            </w:tcBorders>
            <w:noWrap/>
            <w:hideMark/>
          </w:tcPr>
          <w:p w14:paraId="6EFDB6F1" w14:textId="77777777" w:rsidR="000B03C8" w:rsidRPr="001876AD" w:rsidRDefault="000B03C8" w:rsidP="00B76ADE">
            <w:pPr>
              <w:widowControl/>
              <w:snapToGrid w:val="0"/>
              <w:spacing w:line="480" w:lineRule="auto"/>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Diclofenac</w:t>
            </w:r>
          </w:p>
        </w:tc>
        <w:tc>
          <w:tcPr>
            <w:tcW w:w="1079" w:type="dxa"/>
            <w:tcBorders>
              <w:top w:val="single" w:sz="4" w:space="0" w:color="auto"/>
              <w:left w:val="nil"/>
              <w:right w:val="nil"/>
            </w:tcBorders>
            <w:noWrap/>
            <w:vAlign w:val="center"/>
            <w:hideMark/>
          </w:tcPr>
          <w:p w14:paraId="1660262D"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43</w:t>
            </w:r>
          </w:p>
        </w:tc>
        <w:tc>
          <w:tcPr>
            <w:tcW w:w="785" w:type="dxa"/>
            <w:tcBorders>
              <w:top w:val="single" w:sz="4" w:space="0" w:color="auto"/>
              <w:left w:val="nil"/>
              <w:right w:val="nil"/>
            </w:tcBorders>
            <w:noWrap/>
            <w:vAlign w:val="center"/>
          </w:tcPr>
          <w:p w14:paraId="01A5521C"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4" w:space="0" w:color="auto"/>
              <w:left w:val="nil"/>
              <w:right w:val="nil"/>
            </w:tcBorders>
            <w:noWrap/>
            <w:vAlign w:val="center"/>
          </w:tcPr>
          <w:p w14:paraId="3E4BB3C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53</w:t>
            </w:r>
            <w:r w:rsidRPr="001876AD">
              <w:rPr>
                <w:rFonts w:ascii="Times New Roman" w:eastAsia="Meiryo UI" w:hAnsi="Times New Roman" w:hint="eastAsia"/>
                <w:color w:val="000000" w:themeColor="text1"/>
                <w:kern w:val="0"/>
                <w:sz w:val="18"/>
                <w:szCs w:val="18"/>
              </w:rPr>
              <w:t>8</w:t>
            </w:r>
          </w:p>
        </w:tc>
        <w:tc>
          <w:tcPr>
            <w:tcW w:w="1138" w:type="dxa"/>
            <w:tcBorders>
              <w:top w:val="single" w:sz="4" w:space="0" w:color="auto"/>
              <w:left w:val="nil"/>
              <w:right w:val="nil"/>
            </w:tcBorders>
            <w:noWrap/>
            <w:vAlign w:val="center"/>
          </w:tcPr>
          <w:p w14:paraId="793C5DD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50</w:t>
            </w:r>
          </w:p>
        </w:tc>
        <w:tc>
          <w:tcPr>
            <w:tcW w:w="204" w:type="dxa"/>
            <w:tcBorders>
              <w:top w:val="single" w:sz="4" w:space="0" w:color="auto"/>
              <w:left w:val="nil"/>
              <w:right w:val="nil"/>
            </w:tcBorders>
          </w:tcPr>
          <w:p w14:paraId="1BE9CFA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single" w:sz="4" w:space="0" w:color="auto"/>
              <w:left w:val="nil"/>
              <w:right w:val="nil"/>
            </w:tcBorders>
            <w:noWrap/>
            <w:vAlign w:val="center"/>
          </w:tcPr>
          <w:p w14:paraId="73D0614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8,521</w:t>
            </w:r>
          </w:p>
        </w:tc>
        <w:tc>
          <w:tcPr>
            <w:tcW w:w="748" w:type="dxa"/>
            <w:tcBorders>
              <w:top w:val="single" w:sz="4" w:space="0" w:color="auto"/>
              <w:left w:val="nil"/>
              <w:right w:val="nil"/>
            </w:tcBorders>
            <w:noWrap/>
            <w:vAlign w:val="center"/>
          </w:tcPr>
          <w:p w14:paraId="1C30EDA9"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73" w:type="dxa"/>
            <w:tcBorders>
              <w:top w:val="single" w:sz="4" w:space="0" w:color="auto"/>
              <w:left w:val="nil"/>
              <w:right w:val="nil"/>
            </w:tcBorders>
            <w:noWrap/>
            <w:vAlign w:val="center"/>
          </w:tcPr>
          <w:p w14:paraId="1C1A327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1,050</w:t>
            </w:r>
          </w:p>
        </w:tc>
        <w:tc>
          <w:tcPr>
            <w:tcW w:w="1138" w:type="dxa"/>
            <w:tcBorders>
              <w:top w:val="single" w:sz="4" w:space="0" w:color="auto"/>
              <w:left w:val="nil"/>
              <w:right w:val="nil"/>
            </w:tcBorders>
            <w:noWrap/>
            <w:vAlign w:val="center"/>
          </w:tcPr>
          <w:p w14:paraId="340E5F9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w:t>
            </w:r>
          </w:p>
        </w:tc>
        <w:tc>
          <w:tcPr>
            <w:tcW w:w="204" w:type="dxa"/>
            <w:tcBorders>
              <w:top w:val="single" w:sz="4" w:space="0" w:color="auto"/>
              <w:left w:val="nil"/>
              <w:right w:val="nil"/>
            </w:tcBorders>
          </w:tcPr>
          <w:p w14:paraId="2676CAD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single" w:sz="4" w:space="0" w:color="auto"/>
              <w:left w:val="nil"/>
              <w:right w:val="nil"/>
            </w:tcBorders>
            <w:noWrap/>
            <w:vAlign w:val="center"/>
          </w:tcPr>
          <w:p w14:paraId="3650C53E"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2,791</w:t>
            </w:r>
          </w:p>
        </w:tc>
        <w:tc>
          <w:tcPr>
            <w:tcW w:w="748" w:type="dxa"/>
            <w:tcBorders>
              <w:top w:val="single" w:sz="4" w:space="0" w:color="auto"/>
              <w:left w:val="nil"/>
              <w:right w:val="nil"/>
            </w:tcBorders>
            <w:noWrap/>
            <w:vAlign w:val="center"/>
          </w:tcPr>
          <w:p w14:paraId="53ABB044"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4" w:space="0" w:color="auto"/>
              <w:left w:val="nil"/>
              <w:right w:val="nil"/>
            </w:tcBorders>
            <w:noWrap/>
            <w:vAlign w:val="center"/>
          </w:tcPr>
          <w:p w14:paraId="7C960B3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1,050</w:t>
            </w:r>
          </w:p>
        </w:tc>
        <w:tc>
          <w:tcPr>
            <w:tcW w:w="1122" w:type="dxa"/>
            <w:tcBorders>
              <w:top w:val="single" w:sz="4" w:space="0" w:color="auto"/>
              <w:left w:val="nil"/>
              <w:right w:val="nil"/>
            </w:tcBorders>
            <w:noWrap/>
            <w:vAlign w:val="center"/>
          </w:tcPr>
          <w:p w14:paraId="233A7B5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w:t>
            </w:r>
          </w:p>
        </w:tc>
      </w:tr>
      <w:tr w:rsidR="000B03C8" w:rsidRPr="001876AD" w14:paraId="244F023B" w14:textId="77777777" w:rsidTr="00B76ADE">
        <w:trPr>
          <w:gridAfter w:val="1"/>
          <w:wAfter w:w="16" w:type="dxa"/>
          <w:trHeight w:val="262"/>
        </w:trPr>
        <w:tc>
          <w:tcPr>
            <w:tcW w:w="1800" w:type="dxa"/>
            <w:tcBorders>
              <w:right w:val="nil"/>
            </w:tcBorders>
            <w:noWrap/>
            <w:hideMark/>
          </w:tcPr>
          <w:p w14:paraId="54E57567" w14:textId="77777777" w:rsidR="000B03C8" w:rsidRPr="001876AD" w:rsidRDefault="000B03C8" w:rsidP="00B76ADE">
            <w:pPr>
              <w:snapToGrid w:val="0"/>
              <w:spacing w:line="480" w:lineRule="auto"/>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tcPr>
          <w:p w14:paraId="01D5CC5C"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020D940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5DF4A9A2"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700</w:t>
            </w:r>
          </w:p>
        </w:tc>
        <w:tc>
          <w:tcPr>
            <w:tcW w:w="1138" w:type="dxa"/>
            <w:tcBorders>
              <w:top w:val="nil"/>
              <w:left w:val="nil"/>
              <w:right w:val="nil"/>
            </w:tcBorders>
            <w:noWrap/>
            <w:vAlign w:val="center"/>
          </w:tcPr>
          <w:p w14:paraId="0E1C9B9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50</w:t>
            </w:r>
          </w:p>
        </w:tc>
        <w:tc>
          <w:tcPr>
            <w:tcW w:w="204" w:type="dxa"/>
            <w:tcBorders>
              <w:top w:val="nil"/>
              <w:left w:val="nil"/>
              <w:right w:val="nil"/>
            </w:tcBorders>
          </w:tcPr>
          <w:p w14:paraId="7A88D533"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6E680953"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283AA279"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73" w:type="dxa"/>
            <w:tcBorders>
              <w:top w:val="nil"/>
              <w:left w:val="nil"/>
              <w:right w:val="nil"/>
            </w:tcBorders>
            <w:noWrap/>
            <w:vAlign w:val="center"/>
          </w:tcPr>
          <w:p w14:paraId="6C77D66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1,050</w:t>
            </w:r>
          </w:p>
        </w:tc>
        <w:tc>
          <w:tcPr>
            <w:tcW w:w="1138" w:type="dxa"/>
            <w:tcBorders>
              <w:top w:val="nil"/>
              <w:left w:val="nil"/>
              <w:right w:val="nil"/>
            </w:tcBorders>
            <w:noWrap/>
            <w:vAlign w:val="center"/>
          </w:tcPr>
          <w:p w14:paraId="4C68C3B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w:t>
            </w:r>
          </w:p>
        </w:tc>
        <w:tc>
          <w:tcPr>
            <w:tcW w:w="204" w:type="dxa"/>
            <w:tcBorders>
              <w:top w:val="nil"/>
              <w:left w:val="nil"/>
              <w:right w:val="nil"/>
            </w:tcBorders>
          </w:tcPr>
          <w:p w14:paraId="6A2A5552"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751809F2"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36427CFB"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2FC16A9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1,400</w:t>
            </w:r>
          </w:p>
        </w:tc>
        <w:tc>
          <w:tcPr>
            <w:tcW w:w="1122" w:type="dxa"/>
            <w:tcBorders>
              <w:top w:val="nil"/>
              <w:left w:val="nil"/>
              <w:right w:val="nil"/>
            </w:tcBorders>
            <w:noWrap/>
            <w:vAlign w:val="center"/>
          </w:tcPr>
          <w:p w14:paraId="2A23390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w:t>
            </w:r>
          </w:p>
        </w:tc>
      </w:tr>
      <w:tr w:rsidR="000B03C8" w:rsidRPr="001876AD" w14:paraId="3741D6D6" w14:textId="77777777" w:rsidTr="00B76ADE">
        <w:trPr>
          <w:gridAfter w:val="1"/>
          <w:wAfter w:w="16" w:type="dxa"/>
          <w:trHeight w:val="93"/>
        </w:trPr>
        <w:tc>
          <w:tcPr>
            <w:tcW w:w="1800" w:type="dxa"/>
            <w:tcBorders>
              <w:bottom w:val="nil"/>
              <w:right w:val="nil"/>
            </w:tcBorders>
            <w:noWrap/>
            <w:hideMark/>
          </w:tcPr>
          <w:p w14:paraId="0615589F" w14:textId="77777777" w:rsidR="000B03C8" w:rsidRPr="001876AD" w:rsidRDefault="000B03C8" w:rsidP="00B76ADE">
            <w:pPr>
              <w:snapToGrid w:val="0"/>
              <w:spacing w:line="480" w:lineRule="auto"/>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tcPr>
          <w:p w14:paraId="7BF56E4D"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11957610"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right w:val="nil"/>
            </w:tcBorders>
            <w:noWrap/>
            <w:vAlign w:val="center"/>
          </w:tcPr>
          <w:p w14:paraId="2DDF017B"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1,050</w:t>
            </w:r>
          </w:p>
        </w:tc>
        <w:tc>
          <w:tcPr>
            <w:tcW w:w="1138" w:type="dxa"/>
            <w:tcBorders>
              <w:top w:val="nil"/>
              <w:left w:val="nil"/>
              <w:right w:val="nil"/>
            </w:tcBorders>
            <w:noWrap/>
            <w:vAlign w:val="center"/>
          </w:tcPr>
          <w:p w14:paraId="5F4891F7"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w:t>
            </w:r>
          </w:p>
        </w:tc>
        <w:tc>
          <w:tcPr>
            <w:tcW w:w="204" w:type="dxa"/>
            <w:tcBorders>
              <w:top w:val="nil"/>
              <w:left w:val="nil"/>
              <w:right w:val="nil"/>
            </w:tcBorders>
          </w:tcPr>
          <w:p w14:paraId="7E14991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77427B9E"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4C8D624B"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73" w:type="dxa"/>
            <w:tcBorders>
              <w:top w:val="nil"/>
              <w:left w:val="nil"/>
              <w:right w:val="nil"/>
            </w:tcBorders>
            <w:noWrap/>
            <w:vAlign w:val="center"/>
          </w:tcPr>
          <w:p w14:paraId="6700C7DC"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2,100</w:t>
            </w:r>
          </w:p>
        </w:tc>
        <w:tc>
          <w:tcPr>
            <w:tcW w:w="1138" w:type="dxa"/>
            <w:tcBorders>
              <w:top w:val="nil"/>
              <w:left w:val="nil"/>
              <w:right w:val="nil"/>
            </w:tcBorders>
            <w:noWrap/>
            <w:vAlign w:val="center"/>
          </w:tcPr>
          <w:p w14:paraId="2400435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w:t>
            </w:r>
          </w:p>
        </w:tc>
        <w:tc>
          <w:tcPr>
            <w:tcW w:w="204" w:type="dxa"/>
            <w:tcBorders>
              <w:top w:val="nil"/>
              <w:left w:val="nil"/>
              <w:right w:val="nil"/>
            </w:tcBorders>
          </w:tcPr>
          <w:p w14:paraId="392493E9"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4B4B1EAC"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1BE47BD6"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right w:val="nil"/>
            </w:tcBorders>
            <w:noWrap/>
            <w:vAlign w:val="center"/>
          </w:tcPr>
          <w:p w14:paraId="276F81E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2,625</w:t>
            </w:r>
          </w:p>
        </w:tc>
        <w:tc>
          <w:tcPr>
            <w:tcW w:w="1122" w:type="dxa"/>
            <w:tcBorders>
              <w:top w:val="nil"/>
              <w:left w:val="nil"/>
              <w:right w:val="nil"/>
            </w:tcBorders>
            <w:noWrap/>
            <w:vAlign w:val="center"/>
          </w:tcPr>
          <w:p w14:paraId="7BD8625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75</w:t>
            </w:r>
          </w:p>
        </w:tc>
      </w:tr>
      <w:tr w:rsidR="000B03C8" w:rsidRPr="001876AD" w14:paraId="49640EE4" w14:textId="77777777" w:rsidTr="00B76ADE">
        <w:trPr>
          <w:gridAfter w:val="1"/>
          <w:wAfter w:w="16" w:type="dxa"/>
          <w:trHeight w:val="206"/>
        </w:trPr>
        <w:tc>
          <w:tcPr>
            <w:tcW w:w="1800" w:type="dxa"/>
            <w:tcBorders>
              <w:top w:val="single" w:sz="4" w:space="0" w:color="auto"/>
              <w:right w:val="nil"/>
            </w:tcBorders>
            <w:noWrap/>
            <w:hideMark/>
          </w:tcPr>
          <w:p w14:paraId="73DB95CC" w14:textId="77777777" w:rsidR="000B03C8" w:rsidRPr="001876AD" w:rsidRDefault="000B03C8" w:rsidP="00B76ADE">
            <w:pPr>
              <w:widowControl/>
              <w:snapToGrid w:val="0"/>
              <w:spacing w:line="480" w:lineRule="auto"/>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Duloxetine</w:t>
            </w:r>
          </w:p>
        </w:tc>
        <w:tc>
          <w:tcPr>
            <w:tcW w:w="1079" w:type="dxa"/>
            <w:tcBorders>
              <w:top w:val="single" w:sz="4" w:space="0" w:color="auto"/>
              <w:left w:val="nil"/>
              <w:right w:val="nil"/>
            </w:tcBorders>
            <w:noWrap/>
            <w:vAlign w:val="center"/>
          </w:tcPr>
          <w:p w14:paraId="4A0EACF1"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23</w:t>
            </w:r>
          </w:p>
        </w:tc>
        <w:tc>
          <w:tcPr>
            <w:tcW w:w="785" w:type="dxa"/>
            <w:tcBorders>
              <w:top w:val="single" w:sz="4" w:space="0" w:color="auto"/>
              <w:left w:val="nil"/>
              <w:right w:val="nil"/>
            </w:tcBorders>
            <w:noWrap/>
            <w:vAlign w:val="center"/>
          </w:tcPr>
          <w:p w14:paraId="300D80E1"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4" w:space="0" w:color="auto"/>
              <w:left w:val="nil"/>
              <w:right w:val="nil"/>
            </w:tcBorders>
            <w:noWrap/>
            <w:vAlign w:val="center"/>
          </w:tcPr>
          <w:p w14:paraId="1115FDB9"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650</w:t>
            </w:r>
          </w:p>
        </w:tc>
        <w:tc>
          <w:tcPr>
            <w:tcW w:w="1138" w:type="dxa"/>
            <w:tcBorders>
              <w:top w:val="single" w:sz="4" w:space="0" w:color="auto"/>
              <w:left w:val="nil"/>
              <w:right w:val="nil"/>
            </w:tcBorders>
            <w:noWrap/>
            <w:vAlign w:val="center"/>
          </w:tcPr>
          <w:p w14:paraId="13B36EB6"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20</w:t>
            </w:r>
          </w:p>
        </w:tc>
        <w:tc>
          <w:tcPr>
            <w:tcW w:w="204" w:type="dxa"/>
            <w:tcBorders>
              <w:top w:val="single" w:sz="4" w:space="0" w:color="auto"/>
              <w:left w:val="nil"/>
              <w:right w:val="nil"/>
            </w:tcBorders>
          </w:tcPr>
          <w:p w14:paraId="65AB010D"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single" w:sz="4" w:space="0" w:color="auto"/>
              <w:left w:val="nil"/>
              <w:right w:val="nil"/>
            </w:tcBorders>
            <w:noWrap/>
            <w:vAlign w:val="center"/>
          </w:tcPr>
          <w:p w14:paraId="6C542DC1"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7,258</w:t>
            </w:r>
          </w:p>
        </w:tc>
        <w:tc>
          <w:tcPr>
            <w:tcW w:w="748" w:type="dxa"/>
            <w:tcBorders>
              <w:top w:val="single" w:sz="4" w:space="0" w:color="auto"/>
              <w:left w:val="nil"/>
              <w:right w:val="nil"/>
            </w:tcBorders>
            <w:noWrap/>
            <w:vAlign w:val="center"/>
          </w:tcPr>
          <w:p w14:paraId="746C43BD"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73" w:type="dxa"/>
            <w:tcBorders>
              <w:top w:val="single" w:sz="4" w:space="0" w:color="auto"/>
              <w:left w:val="nil"/>
              <w:right w:val="nil"/>
            </w:tcBorders>
            <w:noWrap/>
            <w:vAlign w:val="center"/>
          </w:tcPr>
          <w:p w14:paraId="786FA8F6"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560</w:t>
            </w:r>
          </w:p>
        </w:tc>
        <w:tc>
          <w:tcPr>
            <w:tcW w:w="1138" w:type="dxa"/>
            <w:tcBorders>
              <w:top w:val="single" w:sz="4" w:space="0" w:color="auto"/>
              <w:left w:val="nil"/>
              <w:right w:val="nil"/>
            </w:tcBorders>
            <w:noWrap/>
            <w:vAlign w:val="center"/>
          </w:tcPr>
          <w:p w14:paraId="6EB1D69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20</w:t>
            </w:r>
          </w:p>
        </w:tc>
        <w:tc>
          <w:tcPr>
            <w:tcW w:w="204" w:type="dxa"/>
            <w:tcBorders>
              <w:top w:val="single" w:sz="4" w:space="0" w:color="auto"/>
              <w:left w:val="nil"/>
              <w:right w:val="nil"/>
            </w:tcBorders>
          </w:tcPr>
          <w:p w14:paraId="3781FDA7"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single" w:sz="4" w:space="0" w:color="auto"/>
              <w:left w:val="nil"/>
              <w:right w:val="nil"/>
            </w:tcBorders>
            <w:noWrap/>
            <w:vAlign w:val="center"/>
          </w:tcPr>
          <w:p w14:paraId="10ECBC53"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4,601</w:t>
            </w:r>
          </w:p>
        </w:tc>
        <w:tc>
          <w:tcPr>
            <w:tcW w:w="748" w:type="dxa"/>
            <w:tcBorders>
              <w:top w:val="single" w:sz="4" w:space="0" w:color="auto"/>
              <w:left w:val="nil"/>
              <w:right w:val="nil"/>
            </w:tcBorders>
            <w:noWrap/>
            <w:vAlign w:val="center"/>
          </w:tcPr>
          <w:p w14:paraId="650168A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Q1</w:t>
            </w:r>
          </w:p>
        </w:tc>
        <w:tc>
          <w:tcPr>
            <w:tcW w:w="918" w:type="dxa"/>
            <w:tcBorders>
              <w:top w:val="single" w:sz="4" w:space="0" w:color="auto"/>
              <w:left w:val="nil"/>
              <w:right w:val="nil"/>
            </w:tcBorders>
            <w:noWrap/>
            <w:vAlign w:val="center"/>
          </w:tcPr>
          <w:p w14:paraId="0218F13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560</w:t>
            </w:r>
          </w:p>
        </w:tc>
        <w:tc>
          <w:tcPr>
            <w:tcW w:w="1122" w:type="dxa"/>
            <w:tcBorders>
              <w:top w:val="single" w:sz="4" w:space="0" w:color="auto"/>
              <w:left w:val="nil"/>
              <w:right w:val="nil"/>
            </w:tcBorders>
            <w:noWrap/>
            <w:vAlign w:val="center"/>
          </w:tcPr>
          <w:p w14:paraId="11E99775"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20</w:t>
            </w:r>
          </w:p>
        </w:tc>
      </w:tr>
      <w:tr w:rsidR="000B03C8" w:rsidRPr="001876AD" w14:paraId="01B8BD6D" w14:textId="77777777" w:rsidTr="00B76ADE">
        <w:trPr>
          <w:gridAfter w:val="1"/>
          <w:wAfter w:w="16" w:type="dxa"/>
          <w:trHeight w:val="307"/>
        </w:trPr>
        <w:tc>
          <w:tcPr>
            <w:tcW w:w="1800" w:type="dxa"/>
            <w:tcBorders>
              <w:right w:val="nil"/>
            </w:tcBorders>
            <w:noWrap/>
            <w:vAlign w:val="center"/>
            <w:hideMark/>
          </w:tcPr>
          <w:p w14:paraId="1E9C11D4" w14:textId="77777777" w:rsidR="000B03C8" w:rsidRPr="001876AD" w:rsidRDefault="000B03C8" w:rsidP="00B76ADE">
            <w:pPr>
              <w:snapToGrid w:val="0"/>
              <w:spacing w:line="480" w:lineRule="auto"/>
              <w:jc w:val="left"/>
              <w:rPr>
                <w:rFonts w:ascii="Times New Roman" w:eastAsia="Meiryo UI" w:hAnsi="Times New Roman"/>
                <w:color w:val="000000" w:themeColor="text1"/>
                <w:kern w:val="0"/>
                <w:sz w:val="18"/>
                <w:szCs w:val="18"/>
              </w:rPr>
            </w:pPr>
          </w:p>
        </w:tc>
        <w:tc>
          <w:tcPr>
            <w:tcW w:w="1079" w:type="dxa"/>
            <w:tcBorders>
              <w:top w:val="nil"/>
              <w:left w:val="nil"/>
              <w:right w:val="nil"/>
            </w:tcBorders>
            <w:noWrap/>
            <w:vAlign w:val="center"/>
          </w:tcPr>
          <w:p w14:paraId="6464B30D"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right w:val="nil"/>
            </w:tcBorders>
            <w:noWrap/>
            <w:vAlign w:val="center"/>
          </w:tcPr>
          <w:p w14:paraId="0635ED0B"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5DD3610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1,800</w:t>
            </w:r>
          </w:p>
        </w:tc>
        <w:tc>
          <w:tcPr>
            <w:tcW w:w="1138" w:type="dxa"/>
            <w:tcBorders>
              <w:top w:val="nil"/>
              <w:left w:val="nil"/>
              <w:right w:val="nil"/>
            </w:tcBorders>
            <w:noWrap/>
            <w:vAlign w:val="center"/>
          </w:tcPr>
          <w:p w14:paraId="113D9BC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20</w:t>
            </w:r>
          </w:p>
        </w:tc>
        <w:tc>
          <w:tcPr>
            <w:tcW w:w="204" w:type="dxa"/>
            <w:tcBorders>
              <w:top w:val="nil"/>
              <w:left w:val="nil"/>
              <w:right w:val="nil"/>
            </w:tcBorders>
          </w:tcPr>
          <w:p w14:paraId="038D625B"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right w:val="nil"/>
            </w:tcBorders>
            <w:noWrap/>
            <w:vAlign w:val="center"/>
          </w:tcPr>
          <w:p w14:paraId="620300B8"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283F6D82"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73" w:type="dxa"/>
            <w:tcBorders>
              <w:top w:val="nil"/>
              <w:left w:val="nil"/>
              <w:right w:val="nil"/>
            </w:tcBorders>
            <w:noWrap/>
            <w:vAlign w:val="center"/>
          </w:tcPr>
          <w:p w14:paraId="2458E5D3"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1,200</w:t>
            </w:r>
          </w:p>
        </w:tc>
        <w:tc>
          <w:tcPr>
            <w:tcW w:w="1138" w:type="dxa"/>
            <w:tcBorders>
              <w:top w:val="nil"/>
              <w:left w:val="nil"/>
              <w:right w:val="nil"/>
            </w:tcBorders>
            <w:noWrap/>
            <w:vAlign w:val="center"/>
          </w:tcPr>
          <w:p w14:paraId="0175A21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20</w:t>
            </w:r>
          </w:p>
        </w:tc>
        <w:tc>
          <w:tcPr>
            <w:tcW w:w="204" w:type="dxa"/>
            <w:tcBorders>
              <w:top w:val="nil"/>
              <w:left w:val="nil"/>
              <w:right w:val="nil"/>
            </w:tcBorders>
          </w:tcPr>
          <w:p w14:paraId="18D78540"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32" w:type="dxa"/>
            <w:tcBorders>
              <w:top w:val="nil"/>
              <w:left w:val="nil"/>
              <w:right w:val="nil"/>
            </w:tcBorders>
            <w:noWrap/>
            <w:vAlign w:val="center"/>
          </w:tcPr>
          <w:p w14:paraId="1F1FB3A2"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right w:val="nil"/>
            </w:tcBorders>
            <w:noWrap/>
            <w:vAlign w:val="center"/>
          </w:tcPr>
          <w:p w14:paraId="1E3B027E"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Median</w:t>
            </w:r>
          </w:p>
        </w:tc>
        <w:tc>
          <w:tcPr>
            <w:tcW w:w="918" w:type="dxa"/>
            <w:tcBorders>
              <w:top w:val="nil"/>
              <w:left w:val="nil"/>
              <w:right w:val="nil"/>
            </w:tcBorders>
            <w:noWrap/>
            <w:vAlign w:val="center"/>
          </w:tcPr>
          <w:p w14:paraId="58DB532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1,260</w:t>
            </w:r>
          </w:p>
        </w:tc>
        <w:tc>
          <w:tcPr>
            <w:tcW w:w="1122" w:type="dxa"/>
            <w:tcBorders>
              <w:top w:val="nil"/>
              <w:left w:val="nil"/>
              <w:right w:val="nil"/>
            </w:tcBorders>
            <w:noWrap/>
            <w:vAlign w:val="center"/>
          </w:tcPr>
          <w:p w14:paraId="71130521"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20</w:t>
            </w:r>
          </w:p>
        </w:tc>
      </w:tr>
      <w:tr w:rsidR="000B03C8" w:rsidRPr="001876AD" w14:paraId="13FED60F" w14:textId="77777777" w:rsidTr="00B76ADE">
        <w:trPr>
          <w:gridAfter w:val="1"/>
          <w:wAfter w:w="16" w:type="dxa"/>
          <w:trHeight w:val="188"/>
        </w:trPr>
        <w:tc>
          <w:tcPr>
            <w:tcW w:w="1800" w:type="dxa"/>
            <w:tcBorders>
              <w:bottom w:val="single" w:sz="18" w:space="0" w:color="auto"/>
              <w:right w:val="nil"/>
            </w:tcBorders>
            <w:noWrap/>
            <w:vAlign w:val="center"/>
            <w:hideMark/>
          </w:tcPr>
          <w:p w14:paraId="2747AA95" w14:textId="77777777" w:rsidR="000B03C8" w:rsidRPr="001876AD" w:rsidRDefault="000B03C8" w:rsidP="00B76ADE">
            <w:pPr>
              <w:snapToGrid w:val="0"/>
              <w:spacing w:line="480" w:lineRule="auto"/>
              <w:jc w:val="left"/>
              <w:rPr>
                <w:rFonts w:ascii="Times New Roman" w:eastAsia="Meiryo UI" w:hAnsi="Times New Roman"/>
                <w:color w:val="000000" w:themeColor="text1"/>
                <w:kern w:val="0"/>
                <w:sz w:val="18"/>
                <w:szCs w:val="18"/>
              </w:rPr>
            </w:pPr>
          </w:p>
        </w:tc>
        <w:tc>
          <w:tcPr>
            <w:tcW w:w="1079" w:type="dxa"/>
            <w:tcBorders>
              <w:top w:val="nil"/>
              <w:left w:val="nil"/>
              <w:bottom w:val="single" w:sz="18" w:space="0" w:color="auto"/>
              <w:right w:val="nil"/>
            </w:tcBorders>
            <w:noWrap/>
            <w:vAlign w:val="center"/>
          </w:tcPr>
          <w:p w14:paraId="0367E183" w14:textId="77777777" w:rsidR="000B03C8" w:rsidRPr="001876AD" w:rsidRDefault="000B03C8" w:rsidP="00B76ADE">
            <w:pPr>
              <w:widowControl/>
              <w:tabs>
                <w:tab w:val="decimal" w:pos="468"/>
              </w:tabs>
              <w:snapToGrid w:val="0"/>
              <w:spacing w:line="480" w:lineRule="auto"/>
              <w:jc w:val="center"/>
              <w:rPr>
                <w:rFonts w:ascii="Times New Roman" w:eastAsia="Meiryo UI" w:hAnsi="Times New Roman"/>
                <w:color w:val="000000" w:themeColor="text1"/>
                <w:kern w:val="0"/>
                <w:sz w:val="18"/>
                <w:szCs w:val="18"/>
              </w:rPr>
            </w:pPr>
          </w:p>
        </w:tc>
        <w:tc>
          <w:tcPr>
            <w:tcW w:w="785" w:type="dxa"/>
            <w:tcBorders>
              <w:top w:val="nil"/>
              <w:left w:val="nil"/>
              <w:bottom w:val="single" w:sz="18" w:space="0" w:color="auto"/>
              <w:right w:val="nil"/>
            </w:tcBorders>
            <w:noWrap/>
            <w:vAlign w:val="center"/>
          </w:tcPr>
          <w:p w14:paraId="43431EBB"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bottom w:val="single" w:sz="18" w:space="0" w:color="auto"/>
              <w:right w:val="nil"/>
            </w:tcBorders>
            <w:noWrap/>
            <w:vAlign w:val="center"/>
          </w:tcPr>
          <w:p w14:paraId="00FEB1FF"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3,220</w:t>
            </w:r>
          </w:p>
        </w:tc>
        <w:tc>
          <w:tcPr>
            <w:tcW w:w="1138" w:type="dxa"/>
            <w:tcBorders>
              <w:top w:val="nil"/>
              <w:left w:val="nil"/>
              <w:bottom w:val="single" w:sz="18" w:space="0" w:color="auto"/>
              <w:right w:val="nil"/>
            </w:tcBorders>
            <w:noWrap/>
            <w:vAlign w:val="center"/>
          </w:tcPr>
          <w:p w14:paraId="45FF30BE"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33</w:t>
            </w:r>
          </w:p>
        </w:tc>
        <w:tc>
          <w:tcPr>
            <w:tcW w:w="204" w:type="dxa"/>
            <w:tcBorders>
              <w:top w:val="nil"/>
              <w:left w:val="nil"/>
              <w:bottom w:val="single" w:sz="18" w:space="0" w:color="auto"/>
              <w:right w:val="nil"/>
            </w:tcBorders>
          </w:tcPr>
          <w:p w14:paraId="69FDD033"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1046" w:type="dxa"/>
            <w:tcBorders>
              <w:top w:val="nil"/>
              <w:left w:val="nil"/>
              <w:bottom w:val="single" w:sz="18" w:space="0" w:color="auto"/>
              <w:right w:val="nil"/>
            </w:tcBorders>
            <w:noWrap/>
            <w:vAlign w:val="center"/>
          </w:tcPr>
          <w:p w14:paraId="49291E67"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bottom w:val="single" w:sz="18" w:space="0" w:color="auto"/>
              <w:right w:val="nil"/>
            </w:tcBorders>
            <w:noWrap/>
            <w:vAlign w:val="center"/>
          </w:tcPr>
          <w:p w14:paraId="49802225"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73" w:type="dxa"/>
            <w:tcBorders>
              <w:top w:val="nil"/>
              <w:left w:val="nil"/>
              <w:bottom w:val="single" w:sz="18" w:space="0" w:color="auto"/>
              <w:right w:val="nil"/>
            </w:tcBorders>
            <w:noWrap/>
            <w:vAlign w:val="center"/>
          </w:tcPr>
          <w:p w14:paraId="53AABF48"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2,800</w:t>
            </w:r>
          </w:p>
        </w:tc>
        <w:tc>
          <w:tcPr>
            <w:tcW w:w="1138" w:type="dxa"/>
            <w:tcBorders>
              <w:top w:val="nil"/>
              <w:left w:val="nil"/>
              <w:bottom w:val="single" w:sz="18" w:space="0" w:color="auto"/>
              <w:right w:val="nil"/>
            </w:tcBorders>
            <w:noWrap/>
            <w:vAlign w:val="center"/>
          </w:tcPr>
          <w:p w14:paraId="5878FED4"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40</w:t>
            </w:r>
          </w:p>
        </w:tc>
        <w:tc>
          <w:tcPr>
            <w:tcW w:w="204" w:type="dxa"/>
            <w:tcBorders>
              <w:top w:val="nil"/>
              <w:left w:val="nil"/>
              <w:bottom w:val="single" w:sz="18" w:space="0" w:color="auto"/>
              <w:right w:val="nil"/>
            </w:tcBorders>
          </w:tcPr>
          <w:p w14:paraId="34D4E468" w14:textId="77777777" w:rsidR="000B03C8" w:rsidRPr="001876AD" w:rsidRDefault="000B03C8" w:rsidP="00B76ADE">
            <w:pPr>
              <w:widowControl/>
              <w:snapToGrid w:val="0"/>
              <w:spacing w:line="480" w:lineRule="auto"/>
              <w:jc w:val="left"/>
              <w:rPr>
                <w:rFonts w:ascii="Times New Roman" w:eastAsia="Meiryo UI" w:hAnsi="Times New Roman"/>
                <w:color w:val="000000" w:themeColor="text1"/>
                <w:kern w:val="0"/>
                <w:sz w:val="18"/>
                <w:szCs w:val="18"/>
              </w:rPr>
            </w:pPr>
          </w:p>
        </w:tc>
        <w:tc>
          <w:tcPr>
            <w:tcW w:w="1032" w:type="dxa"/>
            <w:tcBorders>
              <w:top w:val="nil"/>
              <w:left w:val="nil"/>
              <w:bottom w:val="single" w:sz="18" w:space="0" w:color="auto"/>
              <w:right w:val="nil"/>
            </w:tcBorders>
            <w:noWrap/>
            <w:vAlign w:val="center"/>
          </w:tcPr>
          <w:p w14:paraId="664B3801"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p>
        </w:tc>
        <w:tc>
          <w:tcPr>
            <w:tcW w:w="748" w:type="dxa"/>
            <w:tcBorders>
              <w:top w:val="nil"/>
              <w:left w:val="nil"/>
              <w:bottom w:val="single" w:sz="18" w:space="0" w:color="auto"/>
              <w:right w:val="nil"/>
            </w:tcBorders>
            <w:noWrap/>
            <w:vAlign w:val="center"/>
          </w:tcPr>
          <w:p w14:paraId="6EB0707A" w14:textId="77777777" w:rsidR="000B03C8" w:rsidRPr="001876AD" w:rsidRDefault="000B03C8" w:rsidP="00B76ADE">
            <w:pPr>
              <w:widowControl/>
              <w:snapToGrid w:val="0"/>
              <w:spacing w:line="480" w:lineRule="auto"/>
              <w:jc w:val="center"/>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Q3</w:t>
            </w:r>
          </w:p>
        </w:tc>
        <w:tc>
          <w:tcPr>
            <w:tcW w:w="918" w:type="dxa"/>
            <w:tcBorders>
              <w:top w:val="nil"/>
              <w:left w:val="nil"/>
              <w:bottom w:val="single" w:sz="18" w:space="0" w:color="auto"/>
              <w:right w:val="nil"/>
            </w:tcBorders>
            <w:noWrap/>
            <w:vAlign w:val="center"/>
          </w:tcPr>
          <w:p w14:paraId="01D7EAAA"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2,520</w:t>
            </w:r>
          </w:p>
        </w:tc>
        <w:tc>
          <w:tcPr>
            <w:tcW w:w="1122" w:type="dxa"/>
            <w:tcBorders>
              <w:top w:val="nil"/>
              <w:left w:val="nil"/>
              <w:bottom w:val="single" w:sz="18" w:space="0" w:color="auto"/>
              <w:right w:val="nil"/>
            </w:tcBorders>
            <w:noWrap/>
            <w:vAlign w:val="center"/>
          </w:tcPr>
          <w:p w14:paraId="5352366D" w14:textId="77777777" w:rsidR="000B03C8" w:rsidRPr="001876AD" w:rsidRDefault="000B03C8" w:rsidP="00B76ADE">
            <w:pPr>
              <w:widowControl/>
              <w:snapToGrid w:val="0"/>
              <w:spacing w:line="480" w:lineRule="auto"/>
              <w:jc w:val="right"/>
              <w:rPr>
                <w:rFonts w:ascii="Times New Roman" w:eastAsia="Meiryo UI" w:hAnsi="Times New Roman"/>
                <w:color w:val="000000" w:themeColor="text1"/>
                <w:kern w:val="0"/>
                <w:sz w:val="18"/>
                <w:szCs w:val="18"/>
              </w:rPr>
            </w:pPr>
            <w:r w:rsidRPr="001876AD">
              <w:rPr>
                <w:rFonts w:ascii="Times New Roman" w:eastAsia="Meiryo UI" w:hAnsi="Times New Roman"/>
                <w:color w:val="000000" w:themeColor="text1"/>
                <w:kern w:val="0"/>
                <w:sz w:val="18"/>
                <w:szCs w:val="18"/>
              </w:rPr>
              <w:t>3</w:t>
            </w:r>
            <w:r w:rsidRPr="001876AD">
              <w:rPr>
                <w:rFonts w:ascii="Times New Roman" w:eastAsia="Meiryo UI" w:hAnsi="Times New Roman" w:hint="eastAsia"/>
                <w:color w:val="000000" w:themeColor="text1"/>
                <w:kern w:val="0"/>
                <w:sz w:val="18"/>
                <w:szCs w:val="18"/>
              </w:rPr>
              <w:t>7</w:t>
            </w:r>
          </w:p>
        </w:tc>
      </w:tr>
    </w:tbl>
    <w:p w14:paraId="3266BB7E" w14:textId="77777777" w:rsidR="000B03C8" w:rsidRPr="001876AD" w:rsidRDefault="000B03C8" w:rsidP="000B03C8">
      <w:pPr>
        <w:pStyle w:val="ListParagraph"/>
        <w:snapToGrid w:val="0"/>
        <w:spacing w:line="480" w:lineRule="auto"/>
        <w:ind w:leftChars="0" w:left="0"/>
        <w:rPr>
          <w:rFonts w:ascii="Times New Roman" w:eastAsia="Meiryo UI" w:hAnsi="Times New Roman"/>
          <w:kern w:val="0"/>
          <w:sz w:val="18"/>
          <w:szCs w:val="18"/>
        </w:rPr>
      </w:pPr>
      <w:r w:rsidRPr="001876AD">
        <w:rPr>
          <w:rFonts w:ascii="Times New Roman" w:eastAsia="Meiryo UI" w:hAnsi="Times New Roman"/>
          <w:color w:val="000000" w:themeColor="text1"/>
          <w:kern w:val="0"/>
          <w:sz w:val="18"/>
          <w:szCs w:val="18"/>
        </w:rPr>
        <w:t>TA combination:</w:t>
      </w:r>
      <w:r w:rsidRPr="001876AD">
        <w:rPr>
          <w:rFonts w:ascii="Times New Roman" w:eastAsia="Meiryo UI" w:hAnsi="Times New Roman" w:hint="eastAsia"/>
          <w:color w:val="000000" w:themeColor="text1"/>
          <w:kern w:val="0"/>
          <w:sz w:val="18"/>
          <w:szCs w:val="18"/>
        </w:rPr>
        <w:t xml:space="preserve"> </w:t>
      </w:r>
      <w:r w:rsidRPr="001876AD">
        <w:rPr>
          <w:rFonts w:ascii="Times New Roman" w:eastAsia="Meiryo UI" w:hAnsi="Times New Roman" w:hint="eastAsia"/>
          <w:kern w:val="0"/>
          <w:sz w:val="18"/>
          <w:szCs w:val="18"/>
        </w:rPr>
        <w:t>t</w:t>
      </w:r>
      <w:r w:rsidRPr="001876AD">
        <w:rPr>
          <w:rFonts w:ascii="Times New Roman" w:eastAsia="Meiryo UI" w:hAnsi="Times New Roman"/>
          <w:kern w:val="0"/>
          <w:sz w:val="18"/>
          <w:szCs w:val="18"/>
        </w:rPr>
        <w:t>ramadol &amp; acetaminophen combination</w:t>
      </w:r>
      <w:r w:rsidRPr="001876AD">
        <w:rPr>
          <w:rFonts w:ascii="Times New Roman" w:eastAsia="Meiryo UI" w:hAnsi="Times New Roman" w:hint="eastAsia"/>
          <w:kern w:val="0"/>
          <w:sz w:val="18"/>
          <w:szCs w:val="18"/>
        </w:rPr>
        <w:t xml:space="preserve">; </w:t>
      </w:r>
      <w:r w:rsidRPr="001876AD">
        <w:rPr>
          <w:rFonts w:ascii="Times New Roman" w:eastAsia="Meiryo UI" w:hAnsi="Times New Roman"/>
          <w:kern w:val="0"/>
          <w:sz w:val="18"/>
          <w:szCs w:val="18"/>
        </w:rPr>
        <w:t>Q1:</w:t>
      </w:r>
      <w:r w:rsidRPr="001876AD">
        <w:rPr>
          <w:rFonts w:ascii="Times New Roman" w:eastAsia="Meiryo UI" w:hAnsi="Times New Roman" w:hint="eastAsia"/>
          <w:kern w:val="0"/>
          <w:sz w:val="18"/>
          <w:szCs w:val="18"/>
        </w:rPr>
        <w:t xml:space="preserve"> </w:t>
      </w:r>
      <w:r w:rsidRPr="001876AD">
        <w:rPr>
          <w:rFonts w:ascii="Times New Roman" w:eastAsia="Meiryo UI" w:hAnsi="Times New Roman"/>
          <w:kern w:val="0"/>
          <w:sz w:val="18"/>
          <w:szCs w:val="18"/>
        </w:rPr>
        <w:t>first quartile</w:t>
      </w:r>
      <w:r w:rsidRPr="001876AD">
        <w:rPr>
          <w:rFonts w:ascii="Times New Roman" w:eastAsia="Meiryo UI" w:hAnsi="Times New Roman" w:hint="eastAsia"/>
          <w:kern w:val="0"/>
          <w:sz w:val="18"/>
          <w:szCs w:val="18"/>
        </w:rPr>
        <w:t>;</w:t>
      </w:r>
      <w:r w:rsidRPr="001876AD">
        <w:rPr>
          <w:rFonts w:ascii="Times New Roman" w:eastAsia="Meiryo UI" w:hAnsi="Times New Roman"/>
          <w:kern w:val="0"/>
          <w:sz w:val="18"/>
          <w:szCs w:val="18"/>
        </w:rPr>
        <w:t xml:space="preserve"> Q3:</w:t>
      </w:r>
      <w:r w:rsidRPr="001876AD">
        <w:rPr>
          <w:rFonts w:ascii="Times New Roman" w:eastAsia="Meiryo UI" w:hAnsi="Times New Roman" w:hint="eastAsia"/>
          <w:kern w:val="0"/>
          <w:sz w:val="18"/>
          <w:szCs w:val="18"/>
        </w:rPr>
        <w:t xml:space="preserve"> </w:t>
      </w:r>
      <w:r w:rsidRPr="001876AD">
        <w:rPr>
          <w:rFonts w:ascii="Times New Roman" w:eastAsia="Meiryo UI" w:hAnsi="Times New Roman"/>
          <w:kern w:val="0"/>
          <w:sz w:val="18"/>
          <w:szCs w:val="18"/>
        </w:rPr>
        <w:t>third quartile</w:t>
      </w:r>
      <w:r w:rsidRPr="001876AD">
        <w:rPr>
          <w:rFonts w:ascii="Times New Roman" w:eastAsia="Meiryo UI" w:hAnsi="Times New Roman" w:hint="eastAsia"/>
          <w:kern w:val="0"/>
          <w:sz w:val="18"/>
          <w:szCs w:val="18"/>
        </w:rPr>
        <w:t>.</w:t>
      </w:r>
    </w:p>
    <w:p w14:paraId="2A339389" w14:textId="77777777" w:rsidR="009407C3" w:rsidRPr="001876AD" w:rsidRDefault="009407C3">
      <w:pPr>
        <w:spacing w:line="480" w:lineRule="auto"/>
        <w:rPr>
          <w:rFonts w:ascii="Meiryo" w:eastAsia="Meiryo" w:hAnsi="Meiryo" w:cs="Meiryo"/>
          <w:b/>
          <w:sz w:val="28"/>
        </w:rPr>
        <w:sectPr w:rsidR="009407C3" w:rsidRPr="001876AD" w:rsidSect="00140908">
          <w:pgSz w:w="16838" w:h="11906" w:orient="landscape"/>
          <w:pgMar w:top="1701" w:right="1701" w:bottom="1701" w:left="1985" w:header="851" w:footer="992" w:gutter="0"/>
          <w:cols w:space="425"/>
          <w:docGrid w:type="linesAndChars" w:linePitch="360"/>
        </w:sectPr>
      </w:pPr>
    </w:p>
    <w:p w14:paraId="17AFC28B" w14:textId="77777777" w:rsidR="009407C3" w:rsidRPr="001876AD" w:rsidRDefault="009407C3" w:rsidP="000B03C8">
      <w:pPr>
        <w:spacing w:line="480" w:lineRule="auto"/>
        <w:rPr>
          <w:sz w:val="24"/>
          <w:szCs w:val="24"/>
        </w:rPr>
      </w:pPr>
      <w:r w:rsidRPr="001876AD">
        <w:rPr>
          <w:rFonts w:ascii="Times New Roman" w:hAnsi="Times New Roman"/>
          <w:b/>
          <w:sz w:val="24"/>
          <w:szCs w:val="24"/>
        </w:rPr>
        <w:lastRenderedPageBreak/>
        <w:t>Gap period</w:t>
      </w:r>
    </w:p>
    <w:p w14:paraId="4CC704D2" w14:textId="77777777" w:rsidR="009407C3" w:rsidRPr="001876AD" w:rsidRDefault="009407C3" w:rsidP="000B03C8">
      <w:pPr>
        <w:spacing w:line="480" w:lineRule="auto"/>
        <w:rPr>
          <w:sz w:val="24"/>
          <w:szCs w:val="24"/>
        </w:rPr>
      </w:pPr>
      <w:r w:rsidRPr="001876AD">
        <w:rPr>
          <w:rFonts w:ascii="Times New Roman" w:hAnsi="Times New Roman"/>
          <w:b/>
          <w:sz w:val="24"/>
          <w:szCs w:val="24"/>
        </w:rPr>
        <w:t>Gap period of continued prescription (deemed period of continued prescription)</w:t>
      </w:r>
    </w:p>
    <w:p w14:paraId="0A10BA38" w14:textId="77777777" w:rsidR="009407C3" w:rsidRPr="001876AD" w:rsidRDefault="009407C3" w:rsidP="009D1B54">
      <w:pPr>
        <w:snapToGrid w:val="0"/>
        <w:spacing w:line="480" w:lineRule="auto"/>
        <w:jc w:val="left"/>
        <w:rPr>
          <w:rFonts w:ascii="Times New Roman" w:eastAsia="Meiryo UI" w:hAnsi="Times New Roman"/>
          <w:sz w:val="24"/>
          <w:szCs w:val="24"/>
        </w:rPr>
      </w:pPr>
      <w:r w:rsidRPr="001876AD">
        <w:rPr>
          <w:rFonts w:ascii="Times New Roman" w:eastAsia="Meiryo UI" w:hAnsi="Times New Roman"/>
          <w:sz w:val="24"/>
          <w:szCs w:val="24"/>
        </w:rPr>
        <w:t xml:space="preserve">The continued prescription period was defined as the period of continued prescription, and the data obtained were used for the results in this article. The gap periods of continued prescription were the periods involving the lowest prescribed doses which were reduced at the patient's own discretion. Gap periods of continued prescriptions were not collected as </w:t>
      </w:r>
      <w:r w:rsidR="003A09F1" w:rsidRPr="001876AD">
        <w:rPr>
          <w:rFonts w:ascii="Times New Roman" w:eastAsia="Meiryo UI" w:hAnsi="Times New Roman"/>
          <w:sz w:val="24"/>
          <w:szCs w:val="24"/>
        </w:rPr>
        <w:t>endpoints</w:t>
      </w:r>
      <w:r w:rsidRPr="001876AD">
        <w:rPr>
          <w:rFonts w:ascii="Times New Roman" w:eastAsia="Meiryo UI" w:hAnsi="Times New Roman"/>
          <w:sz w:val="24"/>
          <w:szCs w:val="24"/>
        </w:rPr>
        <w:t xml:space="preserve"> but were used for evaluating the continued prescription periods.</w:t>
      </w:r>
    </w:p>
    <w:p w14:paraId="3EC4A639" w14:textId="77777777" w:rsidR="009407C3" w:rsidRPr="001876AD" w:rsidRDefault="009407C3">
      <w:pPr>
        <w:snapToGrid w:val="0"/>
        <w:spacing w:line="480" w:lineRule="auto"/>
        <w:ind w:firstLineChars="100" w:firstLine="240"/>
        <w:rPr>
          <w:rFonts w:ascii="Times New Roman" w:eastAsia="Meiryo UI" w:hAnsi="Times New Roman"/>
          <w:sz w:val="24"/>
          <w:szCs w:val="24"/>
        </w:rPr>
      </w:pPr>
      <w:r w:rsidRPr="001876AD">
        <w:rPr>
          <w:rFonts w:ascii="Times New Roman" w:eastAsia="Meiryo UI" w:hAnsi="Times New Roman"/>
          <w:sz w:val="24"/>
          <w:szCs w:val="24"/>
        </w:rPr>
        <w:t xml:space="preserve">The minimum specification amount was defined as follows: </w:t>
      </w:r>
    </w:p>
    <w:p w14:paraId="1929B52C" w14:textId="77777777" w:rsidR="009407C3" w:rsidRPr="001876AD" w:rsidRDefault="009407C3">
      <w:pPr>
        <w:snapToGrid w:val="0"/>
        <w:spacing w:line="480" w:lineRule="auto"/>
        <w:ind w:left="1" w:firstLineChars="100" w:firstLine="240"/>
        <w:rPr>
          <w:rFonts w:ascii="Times New Roman" w:eastAsia="Meiryo UI" w:hAnsi="Times New Roman"/>
          <w:sz w:val="24"/>
          <w:szCs w:val="24"/>
        </w:rPr>
      </w:pPr>
      <w:r w:rsidRPr="001876AD">
        <w:rPr>
          <w:rFonts w:ascii="Times New Roman" w:eastAsia="Meiryo UI" w:hAnsi="Times New Roman"/>
          <w:sz w:val="24"/>
          <w:szCs w:val="24"/>
        </w:rPr>
        <w:t xml:space="preserve">When the dosage form was a tablet, “the minimum specification amount” was defined as the content of active </w:t>
      </w:r>
      <w:r w:rsidRPr="001876AD">
        <w:rPr>
          <w:rFonts w:ascii="Times New Roman" w:eastAsia="Meiryo UI" w:hAnsi="Times New Roman"/>
          <w:bCs/>
          <w:sz w:val="24"/>
          <w:szCs w:val="24"/>
        </w:rPr>
        <w:t>ingredients</w:t>
      </w:r>
      <w:r w:rsidRPr="001876AD">
        <w:rPr>
          <w:rFonts w:ascii="Times New Roman" w:eastAsia="Meiryo UI" w:hAnsi="Times New Roman"/>
          <w:sz w:val="24"/>
          <w:szCs w:val="24"/>
        </w:rPr>
        <w:t xml:space="preserve"> in one tablet. When the dosage forms were dry syrup, fine granules, powders, granules, or other measured forms, “the minimum specification amount” was defined as only one of the doses/day described in the package insert.</w:t>
      </w:r>
    </w:p>
    <w:p w14:paraId="70181201" w14:textId="77777777" w:rsidR="009407C3" w:rsidRPr="001876AD" w:rsidRDefault="009407C3">
      <w:pPr>
        <w:snapToGrid w:val="0"/>
        <w:spacing w:line="480" w:lineRule="auto"/>
        <w:ind w:left="1" w:firstLineChars="100" w:firstLine="240"/>
        <w:rPr>
          <w:rFonts w:ascii="Times New Roman" w:eastAsia="Meiryo UI" w:hAnsi="Times New Roman"/>
          <w:sz w:val="24"/>
          <w:szCs w:val="24"/>
        </w:rPr>
      </w:pPr>
      <w:r w:rsidRPr="001876AD">
        <w:rPr>
          <w:rFonts w:ascii="Times New Roman" w:eastAsia="Meiryo UI" w:hAnsi="Times New Roman"/>
          <w:sz w:val="24"/>
          <w:szCs w:val="24"/>
        </w:rPr>
        <w:t>In this study, the gap period of continued prescription was defined as the period during which the prescription was deemed to be continuous and was defined as the longest number of days to completion of treatment after taking “the minimum specification amount” of drugs every day plus 3 days. The boundary values for +3 days were as indicated in the following example: if</w:t>
      </w:r>
      <w:r w:rsidRPr="001876AD">
        <w:rPr>
          <w:rFonts w:ascii="Arial" w:hAnsi="Arial" w:cs="Arial"/>
          <w:color w:val="333333"/>
          <w:szCs w:val="21"/>
        </w:rPr>
        <w:t xml:space="preserve"> </w:t>
      </w:r>
      <w:r w:rsidRPr="001876AD">
        <w:rPr>
          <w:rFonts w:ascii="Times New Roman" w:eastAsia="Meiryo UI" w:hAnsi="Times New Roman"/>
          <w:sz w:val="24"/>
          <w:szCs w:val="24"/>
        </w:rPr>
        <w:t>the final prescription date based on the “minimum specification amount” was April 1, it was judged a continued prescription if the prescription was renewed by April 4. After the first prescription, if the prescription-to-prescription interval fell within the gap period of continued prescription, the prescription was deemed to be continuous. All other cases were deemed to be treatment discontinuation.</w:t>
      </w:r>
    </w:p>
    <w:p w14:paraId="667792F8" w14:textId="77777777" w:rsidR="009407C3" w:rsidRPr="001876AD" w:rsidRDefault="009407C3">
      <w:pPr>
        <w:snapToGrid w:val="0"/>
        <w:spacing w:line="480" w:lineRule="auto"/>
        <w:ind w:left="1" w:firstLineChars="100" w:firstLine="240"/>
        <w:rPr>
          <w:rFonts w:ascii="Times New Roman" w:eastAsia="Meiryo UI" w:hAnsi="Times New Roman"/>
          <w:sz w:val="24"/>
          <w:szCs w:val="24"/>
        </w:rPr>
      </w:pPr>
      <w:r w:rsidRPr="001876AD">
        <w:rPr>
          <w:rFonts w:ascii="Times New Roman" w:eastAsia="Meiryo UI" w:hAnsi="Times New Roman"/>
          <w:sz w:val="24"/>
          <w:szCs w:val="24"/>
        </w:rPr>
        <w:lastRenderedPageBreak/>
        <w:t>When different dosage forms of the same drug were prescribed on the same day, the number of prescription days was calculated based on the sum of the prescription doses of the “minimum specification amount” in calculating the gap period of continued prescription.</w:t>
      </w:r>
    </w:p>
    <w:p w14:paraId="144E0F6F" w14:textId="77777777" w:rsidR="009407C3" w:rsidRPr="001876AD" w:rsidRDefault="009407C3">
      <w:pPr>
        <w:snapToGrid w:val="0"/>
        <w:spacing w:line="480" w:lineRule="auto"/>
        <w:ind w:left="1" w:firstLineChars="100" w:firstLine="240"/>
        <w:rPr>
          <w:rFonts w:ascii="Times New Roman" w:eastAsia="Meiryo UI" w:hAnsi="Times New Roman"/>
          <w:sz w:val="24"/>
          <w:szCs w:val="24"/>
        </w:rPr>
      </w:pPr>
      <w:r w:rsidRPr="001876AD">
        <w:rPr>
          <w:rFonts w:ascii="Times New Roman" w:eastAsia="Meiryo UI" w:hAnsi="Times New Roman"/>
          <w:sz w:val="24"/>
          <w:szCs w:val="24"/>
        </w:rPr>
        <w:t>An example of calculation for the gap period is shown in Fig</w:t>
      </w:r>
      <w:r w:rsidR="00983DBC" w:rsidRPr="001876AD">
        <w:rPr>
          <w:rFonts w:ascii="Times New Roman" w:eastAsia="Meiryo UI" w:hAnsi="Times New Roman" w:hint="eastAsia"/>
          <w:sz w:val="24"/>
          <w:szCs w:val="24"/>
        </w:rPr>
        <w:t xml:space="preserve">ure </w:t>
      </w:r>
      <w:r w:rsidR="00983DBC" w:rsidRPr="001876AD">
        <w:rPr>
          <w:rFonts w:ascii="Times New Roman" w:eastAsia="Meiryo UI" w:hAnsi="Times New Roman"/>
          <w:sz w:val="24"/>
          <w:szCs w:val="24"/>
        </w:rPr>
        <w:t>S</w:t>
      </w:r>
      <w:r w:rsidR="00983DBC" w:rsidRPr="001876AD">
        <w:rPr>
          <w:rFonts w:ascii="Times New Roman" w:eastAsia="Meiryo UI" w:hAnsi="Times New Roman" w:hint="eastAsia"/>
          <w:sz w:val="24"/>
          <w:szCs w:val="24"/>
        </w:rPr>
        <w:t>1</w:t>
      </w:r>
      <w:r w:rsidRPr="001876AD">
        <w:rPr>
          <w:rFonts w:ascii="Times New Roman" w:eastAsia="Meiryo UI" w:hAnsi="Times New Roman"/>
          <w:sz w:val="24"/>
          <w:szCs w:val="24"/>
        </w:rPr>
        <w:t>.</w:t>
      </w:r>
    </w:p>
    <w:p w14:paraId="11B2D8EA" w14:textId="77777777" w:rsidR="009407C3" w:rsidRPr="001876AD" w:rsidRDefault="009407C3">
      <w:pPr>
        <w:snapToGrid w:val="0"/>
        <w:spacing w:line="480" w:lineRule="auto"/>
        <w:jc w:val="left"/>
        <w:rPr>
          <w:rFonts w:ascii="Times New Roman" w:eastAsia="Meiryo UI" w:hAnsi="Times New Roman"/>
          <w:sz w:val="24"/>
          <w:szCs w:val="24"/>
        </w:rPr>
      </w:pPr>
      <w:r w:rsidRPr="001876AD">
        <w:rPr>
          <w:rFonts w:ascii="Meiryo" w:eastAsia="Meiryo" w:hAnsi="Meiryo" w:cs="Meiryo"/>
          <w:sz w:val="24"/>
        </w:rPr>
        <w:object w:dxaOrig="5673" w:dyaOrig="4541" w14:anchorId="3F3C2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45pt;height:5in" o:ole="">
            <v:imagedata r:id="rId13" o:title=""/>
          </v:shape>
          <o:OLEObject Type="Embed" ProgID="PowerPoint.Slide.12" ShapeID="_x0000_i1025" DrawAspect="Content" ObjectID="_1626077705" r:id="rId14"/>
        </w:object>
      </w:r>
      <w:r w:rsidRPr="001876AD">
        <w:rPr>
          <w:rFonts w:ascii="Times New Roman" w:eastAsia="Meiryo UI" w:hAnsi="Times New Roman"/>
          <w:b/>
          <w:sz w:val="24"/>
          <w:szCs w:val="24"/>
        </w:rPr>
        <w:t>Fig</w:t>
      </w:r>
      <w:r w:rsidR="00983DBC" w:rsidRPr="001876AD">
        <w:rPr>
          <w:rFonts w:ascii="Times New Roman" w:eastAsia="Meiryo UI" w:hAnsi="Times New Roman" w:hint="eastAsia"/>
          <w:b/>
          <w:sz w:val="24"/>
          <w:szCs w:val="24"/>
        </w:rPr>
        <w:t xml:space="preserve">ure </w:t>
      </w:r>
      <w:r w:rsidR="00983DBC" w:rsidRPr="001876AD">
        <w:rPr>
          <w:rFonts w:ascii="Times New Roman" w:eastAsia="Meiryo UI" w:hAnsi="Times New Roman"/>
          <w:b/>
          <w:sz w:val="24"/>
          <w:szCs w:val="24"/>
        </w:rPr>
        <w:t>S</w:t>
      </w:r>
      <w:r w:rsidR="00983DBC" w:rsidRPr="001876AD">
        <w:rPr>
          <w:rFonts w:ascii="Times New Roman" w:eastAsia="Meiryo UI" w:hAnsi="Times New Roman" w:hint="eastAsia"/>
          <w:b/>
          <w:sz w:val="24"/>
          <w:szCs w:val="24"/>
        </w:rPr>
        <w:t>1</w:t>
      </w:r>
      <w:r w:rsidRPr="001876AD">
        <w:rPr>
          <w:rFonts w:ascii="Times New Roman" w:eastAsia="Meiryo UI" w:hAnsi="Times New Roman"/>
          <w:b/>
          <w:sz w:val="24"/>
          <w:szCs w:val="24"/>
        </w:rPr>
        <w:t xml:space="preserve">. </w:t>
      </w:r>
      <w:r w:rsidRPr="001876AD">
        <w:rPr>
          <w:rFonts w:ascii="Times New Roman" w:eastAsia="Meiryo UI" w:hAnsi="Times New Roman"/>
          <w:sz w:val="24"/>
          <w:szCs w:val="24"/>
        </w:rPr>
        <w:t>An example of calculation for the gap period.</w:t>
      </w:r>
    </w:p>
    <w:p w14:paraId="15383658" w14:textId="77777777" w:rsidR="009407C3" w:rsidRPr="001876AD" w:rsidRDefault="009407C3">
      <w:pPr>
        <w:widowControl/>
        <w:snapToGrid w:val="0"/>
        <w:spacing w:line="480" w:lineRule="auto"/>
        <w:jc w:val="left"/>
        <w:rPr>
          <w:rFonts w:ascii="Times New Roman" w:eastAsia="Meiryo" w:hAnsi="Times New Roman"/>
          <w:kern w:val="0"/>
          <w:sz w:val="24"/>
        </w:rPr>
      </w:pPr>
    </w:p>
    <w:p w14:paraId="28897D53" w14:textId="77777777" w:rsidR="009407C3" w:rsidRPr="001876AD" w:rsidRDefault="009407C3" w:rsidP="000B03C8">
      <w:pPr>
        <w:spacing w:line="480" w:lineRule="auto"/>
        <w:rPr>
          <w:sz w:val="24"/>
          <w:szCs w:val="24"/>
        </w:rPr>
      </w:pPr>
      <w:r w:rsidRPr="001876AD">
        <w:rPr>
          <w:rFonts w:ascii="Times New Roman" w:hAnsi="Times New Roman"/>
          <w:b/>
          <w:sz w:val="24"/>
          <w:szCs w:val="24"/>
        </w:rPr>
        <w:t>Assessment of continued prescription during the additional follow-up period</w:t>
      </w:r>
    </w:p>
    <w:p w14:paraId="3D99AB33" w14:textId="77777777" w:rsidR="009407C3" w:rsidRPr="001876AD" w:rsidRDefault="009407C3" w:rsidP="009D1B54">
      <w:pPr>
        <w:snapToGrid w:val="0"/>
        <w:spacing w:line="480" w:lineRule="auto"/>
        <w:rPr>
          <w:rFonts w:ascii="Times New Roman" w:eastAsia="Meiryo UI" w:hAnsi="Times New Roman"/>
          <w:sz w:val="24"/>
          <w:szCs w:val="24"/>
        </w:rPr>
      </w:pPr>
      <w:r w:rsidRPr="001876AD">
        <w:rPr>
          <w:rFonts w:ascii="Times New Roman" w:eastAsia="Meiryo UI" w:hAnsi="Times New Roman"/>
          <w:sz w:val="24"/>
          <w:szCs w:val="24"/>
        </w:rPr>
        <w:t xml:space="preserve">The continued prescription in patients during the additional follow-up period was assessed only when the prescription interval between the final prescription date and March 31, 2018 was more than or equal to the gap period of continued prescription. </w:t>
      </w:r>
      <w:r w:rsidRPr="001876AD">
        <w:rPr>
          <w:rFonts w:ascii="Times New Roman" w:eastAsia="Meiryo UI" w:hAnsi="Times New Roman"/>
          <w:sz w:val="24"/>
          <w:szCs w:val="24"/>
        </w:rPr>
        <w:lastRenderedPageBreak/>
        <w:t>However, even when the interval was less than the gap period of continued prescription, continuation assessment was performed if the prescription could be confirmed.</w:t>
      </w:r>
    </w:p>
    <w:p w14:paraId="4B499965" w14:textId="77777777" w:rsidR="009407C3" w:rsidRPr="001876AD" w:rsidRDefault="009407C3" w:rsidP="009D1B54">
      <w:pPr>
        <w:snapToGrid w:val="0"/>
        <w:spacing w:line="480" w:lineRule="auto"/>
        <w:ind w:left="1" w:firstLineChars="100" w:firstLine="240"/>
        <w:rPr>
          <w:rFonts w:ascii="Times New Roman" w:eastAsia="Meiryo UI" w:hAnsi="Times New Roman"/>
          <w:sz w:val="24"/>
          <w:szCs w:val="24"/>
        </w:rPr>
      </w:pPr>
      <w:r w:rsidRPr="001876AD">
        <w:rPr>
          <w:rFonts w:ascii="Times New Roman" w:eastAsia="Meiryo UI" w:hAnsi="Times New Roman"/>
          <w:sz w:val="24"/>
          <w:szCs w:val="24"/>
        </w:rPr>
        <w:t>The assessed cases of continued prescription during the additional follow-up period are shown in Fig</w:t>
      </w:r>
      <w:r w:rsidR="00983DBC" w:rsidRPr="001876AD">
        <w:rPr>
          <w:rFonts w:ascii="Times New Roman" w:eastAsia="Meiryo UI" w:hAnsi="Times New Roman" w:hint="eastAsia"/>
          <w:sz w:val="24"/>
          <w:szCs w:val="24"/>
        </w:rPr>
        <w:t xml:space="preserve">ure </w:t>
      </w:r>
      <w:r w:rsidR="00983DBC" w:rsidRPr="001876AD">
        <w:rPr>
          <w:rFonts w:ascii="Times New Roman" w:eastAsia="Meiryo UI" w:hAnsi="Times New Roman"/>
          <w:sz w:val="24"/>
          <w:szCs w:val="24"/>
        </w:rPr>
        <w:t>S</w:t>
      </w:r>
      <w:r w:rsidR="00983DBC" w:rsidRPr="001876AD">
        <w:rPr>
          <w:rFonts w:ascii="Times New Roman" w:eastAsia="Meiryo UI" w:hAnsi="Times New Roman" w:hint="eastAsia"/>
          <w:sz w:val="24"/>
          <w:szCs w:val="24"/>
        </w:rPr>
        <w:t>2</w:t>
      </w:r>
      <w:r w:rsidRPr="001876AD">
        <w:rPr>
          <w:rFonts w:ascii="Times New Roman" w:eastAsia="Meiryo UI" w:hAnsi="Times New Roman"/>
          <w:sz w:val="24"/>
          <w:szCs w:val="24"/>
        </w:rPr>
        <w:t>.</w:t>
      </w:r>
    </w:p>
    <w:p w14:paraId="618E97AC" w14:textId="77777777" w:rsidR="009407C3" w:rsidRPr="001876AD" w:rsidRDefault="009407C3">
      <w:pPr>
        <w:widowControl/>
        <w:snapToGrid w:val="0"/>
        <w:spacing w:line="480" w:lineRule="auto"/>
        <w:jc w:val="left"/>
        <w:rPr>
          <w:rFonts w:ascii="Meiryo UI" w:eastAsia="Meiryo UI" w:hAnsi="Meiryo UI"/>
          <w:sz w:val="24"/>
          <w:szCs w:val="24"/>
        </w:rPr>
      </w:pPr>
      <w:r w:rsidRPr="001876AD">
        <w:rPr>
          <w:rFonts w:ascii="Meiryo UI" w:eastAsia="Meiryo UI" w:hAnsi="Meiryo UI"/>
          <w:sz w:val="24"/>
          <w:szCs w:val="24"/>
        </w:rPr>
        <w:object w:dxaOrig="6242" w:dyaOrig="4540" w14:anchorId="013203E3">
          <v:shape id="_x0000_i1026" type="#_x0000_t75" style="width:412.4pt;height:300.65pt" o:ole="">
            <v:imagedata r:id="rId15" o:title=""/>
          </v:shape>
          <o:OLEObject Type="Embed" ProgID="PowerPoint.Slide.12" ShapeID="_x0000_i1026" DrawAspect="Content" ObjectID="_1626077706" r:id="rId16"/>
        </w:object>
      </w:r>
    </w:p>
    <w:p w14:paraId="365D9579" w14:textId="77777777" w:rsidR="00890CBC" w:rsidRDefault="009407C3" w:rsidP="000B03C8">
      <w:pPr>
        <w:widowControl/>
        <w:snapToGrid w:val="0"/>
        <w:spacing w:line="480" w:lineRule="auto"/>
        <w:jc w:val="left"/>
      </w:pPr>
      <w:r w:rsidRPr="001876AD">
        <w:rPr>
          <w:rFonts w:ascii="Times New Roman" w:eastAsia="MS Mincho" w:hAnsi="Times New Roman"/>
          <w:b/>
          <w:sz w:val="24"/>
          <w:szCs w:val="24"/>
        </w:rPr>
        <w:t>Fig</w:t>
      </w:r>
      <w:r w:rsidR="00983DBC" w:rsidRPr="001876AD">
        <w:rPr>
          <w:rFonts w:ascii="Times New Roman" w:eastAsia="MS Mincho" w:hAnsi="Times New Roman" w:hint="eastAsia"/>
          <w:b/>
          <w:sz w:val="24"/>
          <w:szCs w:val="24"/>
        </w:rPr>
        <w:t xml:space="preserve">ure </w:t>
      </w:r>
      <w:r w:rsidR="00983DBC" w:rsidRPr="001876AD">
        <w:rPr>
          <w:rFonts w:ascii="Times New Roman" w:eastAsia="MS Mincho" w:hAnsi="Times New Roman"/>
          <w:b/>
          <w:sz w:val="24"/>
          <w:szCs w:val="24"/>
        </w:rPr>
        <w:t>S</w:t>
      </w:r>
      <w:r w:rsidR="00983DBC" w:rsidRPr="001876AD">
        <w:rPr>
          <w:rFonts w:ascii="Times New Roman" w:eastAsia="MS Mincho" w:hAnsi="Times New Roman" w:hint="eastAsia"/>
          <w:b/>
          <w:sz w:val="24"/>
          <w:szCs w:val="24"/>
        </w:rPr>
        <w:t>2</w:t>
      </w:r>
      <w:r w:rsidRPr="001876AD">
        <w:rPr>
          <w:rFonts w:ascii="Times New Roman" w:eastAsia="MS Mincho" w:hAnsi="Times New Roman"/>
          <w:b/>
          <w:sz w:val="24"/>
          <w:szCs w:val="24"/>
        </w:rPr>
        <w:t xml:space="preserve">. </w:t>
      </w:r>
      <w:r w:rsidRPr="001876AD">
        <w:rPr>
          <w:rFonts w:ascii="Times New Roman" w:eastAsia="Meiryo UI" w:hAnsi="Times New Roman"/>
          <w:sz w:val="24"/>
          <w:szCs w:val="24"/>
        </w:rPr>
        <w:t>Assessed cases of continued prescription during the additional follow-up period.</w:t>
      </w:r>
      <w:bookmarkStart w:id="0" w:name="_GoBack"/>
      <w:bookmarkEnd w:id="0"/>
    </w:p>
    <w:sectPr w:rsidR="00890CBC" w:rsidSect="00FC787F">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7749D" w14:textId="77777777" w:rsidR="00AF0DF7" w:rsidRDefault="00AF0DF7" w:rsidP="008929ED">
      <w:r>
        <w:separator/>
      </w:r>
    </w:p>
  </w:endnote>
  <w:endnote w:type="continuationSeparator" w:id="0">
    <w:p w14:paraId="62B67921" w14:textId="77777777" w:rsidR="00AF0DF7" w:rsidRDefault="00AF0DF7" w:rsidP="0089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eiryo UI">
    <w:charset w:val="80"/>
    <w:family w:val="swiss"/>
    <w:pitch w:val="variable"/>
    <w:sig w:usb0="E00002FF" w:usb1="6AC7FFFF" w:usb2="08000012" w:usb3="00000000" w:csb0="0002009F" w:csb1="00000000"/>
  </w:font>
  <w:font w:name="Meiryo">
    <w:altName w:val="メイリオ"/>
    <w:charset w:val="80"/>
    <w:family w:val="swiss"/>
    <w:pitch w:val="variable"/>
    <w:sig w:usb0="E00002FF" w:usb1="6AC7FFFF"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D0DA" w14:textId="77777777" w:rsidR="001876AD" w:rsidRDefault="00187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4BA2" w14:textId="27030A5B" w:rsidR="001876AD" w:rsidRDefault="001876AD">
    <w:pPr>
      <w:pStyle w:val="Footer"/>
    </w:pPr>
    <w:r>
      <w:rPr>
        <w:noProof/>
      </w:rPr>
      <mc:AlternateContent>
        <mc:Choice Requires="wps">
          <w:drawing>
            <wp:anchor distT="0" distB="0" distL="114300" distR="114300" simplePos="0" relativeHeight="251659264" behindDoc="0" locked="0" layoutInCell="0" allowOverlap="1" wp14:anchorId="3AB117B5" wp14:editId="46E1D98B">
              <wp:simplePos x="0" y="0"/>
              <wp:positionH relativeFrom="page">
                <wp:align>left</wp:align>
              </wp:positionH>
              <wp:positionV relativeFrom="page">
                <wp:align>bottom</wp:align>
              </wp:positionV>
              <wp:extent cx="7772400" cy="266700"/>
              <wp:effectExtent l="0" t="0" r="0" b="0"/>
              <wp:wrapNone/>
              <wp:docPr id="1" name="MSIPCMadf2423c8c60c792da1d1ab6" descr="{&quot;HashCode&quot;:156159341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CC4F0D" w14:textId="1EEEC875" w:rsidR="001876AD" w:rsidRPr="001876AD" w:rsidRDefault="001876AD" w:rsidP="001876AD">
                          <w:pPr>
                            <w:jc w:val="left"/>
                            <w:rPr>
                              <w:rFonts w:ascii="Rockwell" w:hAnsi="Rockwell"/>
                              <w:color w:val="0078D7"/>
                              <w:sz w:val="18"/>
                            </w:rPr>
                          </w:pPr>
                          <w:r w:rsidRPr="001876AD">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B117B5" id="_x0000_t202" coordsize="21600,21600" o:spt="202" path="m,l,21600r21600,l21600,xe">
              <v:stroke joinstyle="miter"/>
              <v:path gradientshapeok="t" o:connecttype="rect"/>
            </v:shapetype>
            <v:shape id="MSIPCMadf2423c8c60c792da1d1ab6" o:spid="_x0000_s1026" type="#_x0000_t202" alt="{&quot;HashCode&quot;:1561593418,&quot;Height&quot;:9999999.0,&quot;Width&quot;:9999999.0,&quot;Placement&quot;:&quot;Footer&quot;,&quot;Index&quot;:&quot;Primary&quot;,&quot;Section&quot;:1,&quot;Top&quot;:0.0,&quot;Left&quot;:0.0}" style="position:absolute;left:0;text-align:left;margin-left:0;margin-top:0;width:612pt;height:21pt;z-index:25165926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" o:allowincell="f" filled="f" stroked="f" strokeweight=".5pt">
              <v:fill o:detectmouseclick="t"/>
              <v:textbox inset="20pt,0,,0">
                <w:txbxContent>
                  <w:p w14:paraId="31CC4F0D" w14:textId="1EEEC875" w:rsidR="001876AD" w:rsidRPr="001876AD" w:rsidRDefault="001876AD" w:rsidP="001876AD">
                    <w:pPr>
                      <w:jc w:val="left"/>
                      <w:rPr>
                        <w:rFonts w:ascii="Rockwell" w:hAnsi="Rockwell"/>
                        <w:color w:val="0078D7"/>
                        <w:sz w:val="18"/>
                      </w:rPr>
                    </w:pPr>
                    <w:r w:rsidRPr="001876AD">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3277" w14:textId="77777777" w:rsidR="001876AD" w:rsidRDefault="00187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E4D39" w14:textId="77777777" w:rsidR="00AF0DF7" w:rsidRDefault="00AF0DF7" w:rsidP="008929ED">
      <w:r>
        <w:separator/>
      </w:r>
    </w:p>
  </w:footnote>
  <w:footnote w:type="continuationSeparator" w:id="0">
    <w:p w14:paraId="40C30BE9" w14:textId="77777777" w:rsidR="00AF0DF7" w:rsidRDefault="00AF0DF7" w:rsidP="0089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F2B9" w14:textId="77777777" w:rsidR="001876AD" w:rsidRDefault="0018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01BE" w14:textId="77777777" w:rsidR="001876AD" w:rsidRDefault="00187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2374" w14:textId="77777777" w:rsidR="001876AD" w:rsidRDefault="00187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E5B6F"/>
    <w:multiLevelType w:val="multilevel"/>
    <w:tmpl w:val="C35AEB2E"/>
    <w:lvl w:ilvl="0">
      <w:start w:val="1"/>
      <w:numFmt w:val="decimal"/>
      <w:lvlText w:val="%1"/>
      <w:lvlJc w:val="left"/>
      <w:pPr>
        <w:tabs>
          <w:tab w:val="num" w:pos="476"/>
        </w:tabs>
        <w:ind w:left="476" w:hanging="476"/>
      </w:pPr>
      <w:rPr>
        <w:rFonts w:cs="Times New Roman" w:hint="eastAsia"/>
        <w:b w:val="0"/>
        <w:i w:val="0"/>
        <w:caps w:val="0"/>
        <w:strike w:val="0"/>
        <w:dstrike w:val="0"/>
        <w:vanish w:val="0"/>
        <w:color w:val="000000"/>
        <w:sz w:val="24"/>
        <w:u w:val="none"/>
        <w:vertAlign w:val="baseline"/>
      </w:rPr>
    </w:lvl>
    <w:lvl w:ilvl="1">
      <w:start w:val="1"/>
      <w:numFmt w:val="decimal"/>
      <w:lvlText w:val="%1.%2"/>
      <w:lvlJc w:val="left"/>
      <w:pPr>
        <w:tabs>
          <w:tab w:val="num" w:pos="595"/>
        </w:tabs>
        <w:ind w:left="595" w:hanging="595"/>
      </w:pPr>
      <w:rPr>
        <w:rFonts w:ascii="Arial" w:eastAsia="MS Gothic" w:hAnsi="Arial" w:cs="Times New Roman" w:hint="default"/>
        <w:b w:val="0"/>
        <w:i w:val="0"/>
        <w:caps w:val="0"/>
        <w:color w:val="000000" w:themeColor="text1"/>
        <w:sz w:val="24"/>
        <w:u w:val="none"/>
      </w:rPr>
    </w:lvl>
    <w:lvl w:ilvl="2">
      <w:start w:val="1"/>
      <w:numFmt w:val="decimal"/>
      <w:lvlText w:val="%1.%2.%3"/>
      <w:lvlJc w:val="left"/>
      <w:pPr>
        <w:tabs>
          <w:tab w:val="num" w:pos="834"/>
        </w:tabs>
        <w:ind w:left="834" w:hanging="834"/>
      </w:pPr>
      <w:rPr>
        <w:rFonts w:ascii="Arial" w:eastAsia="MS Gothic" w:hAnsi="Arial" w:cs="Times New Roman" w:hint="default"/>
        <w:b w:val="0"/>
        <w:i w:val="0"/>
        <w:caps w:val="0"/>
        <w:sz w:val="24"/>
        <w:u w:val="none"/>
      </w:rPr>
    </w:lvl>
    <w:lvl w:ilvl="3">
      <w:start w:val="1"/>
      <w:numFmt w:val="decimal"/>
      <w:lvlText w:val="%1.%2.%3.%4"/>
      <w:lvlJc w:val="left"/>
      <w:pPr>
        <w:tabs>
          <w:tab w:val="num" w:pos="1072"/>
        </w:tabs>
        <w:ind w:left="1072" w:hanging="1072"/>
      </w:pPr>
      <w:rPr>
        <w:rFonts w:ascii="Arial" w:eastAsia="MS Gothic" w:hAnsi="Arial" w:cs="Times New Roman" w:hint="default"/>
        <w:b w:val="0"/>
        <w:i w:val="0"/>
        <w:caps w:val="0"/>
        <w:sz w:val="21"/>
        <w:u w:val="none"/>
      </w:rPr>
    </w:lvl>
    <w:lvl w:ilvl="4">
      <w:start w:val="1"/>
      <w:numFmt w:val="decimal"/>
      <w:lvlText w:val="%1.%2.%3.%4.%5"/>
      <w:lvlJc w:val="left"/>
      <w:pPr>
        <w:tabs>
          <w:tab w:val="num" w:pos="1310"/>
        </w:tabs>
        <w:ind w:left="1310" w:hanging="1310"/>
      </w:pPr>
      <w:rPr>
        <w:rFonts w:ascii="Arial" w:eastAsia="MS Gothic" w:hAnsi="Arial" w:cs="Times New Roman" w:hint="default"/>
        <w:b w:val="0"/>
        <w:i w:val="0"/>
        <w:caps w:val="0"/>
        <w:sz w:val="21"/>
        <w:u w:val="none"/>
      </w:rPr>
    </w:lvl>
    <w:lvl w:ilvl="5">
      <w:start w:val="1"/>
      <w:numFmt w:val="decimal"/>
      <w:lvlText w:val="%1.%2.%3.%4.%5.%6"/>
      <w:lvlJc w:val="left"/>
      <w:pPr>
        <w:tabs>
          <w:tab w:val="num" w:pos="1548"/>
        </w:tabs>
        <w:ind w:left="1548" w:hanging="1548"/>
      </w:pPr>
      <w:rPr>
        <w:rFonts w:ascii="Arial" w:eastAsia="MS Gothic" w:hAnsi="Arial" w:cs="Times New Roman" w:hint="default"/>
        <w:b w:val="0"/>
        <w:i w:val="0"/>
        <w:caps w:val="0"/>
        <w:strike w:val="0"/>
        <w:dstrike w:val="0"/>
        <w:vanish w:val="0"/>
        <w:color w:val="000000"/>
        <w:sz w:val="21"/>
        <w:u w:val="none"/>
        <w:vertAlign w:val="baseline"/>
      </w:rPr>
    </w:lvl>
    <w:lvl w:ilvl="6">
      <w:start w:val="1"/>
      <w:numFmt w:val="decimal"/>
      <w:pStyle w:val="Heading7"/>
      <w:lvlText w:val="%7)"/>
      <w:lvlJc w:val="left"/>
      <w:pPr>
        <w:tabs>
          <w:tab w:val="num" w:pos="754"/>
        </w:tabs>
        <w:ind w:left="754" w:hanging="544"/>
      </w:pPr>
      <w:rPr>
        <w:rFonts w:ascii="Arial" w:eastAsia="MS Gothic" w:hAnsi="Arial" w:cs="Times New Roman" w:hint="default"/>
        <w:b w:val="0"/>
        <w:i w:val="0"/>
        <w:caps w:val="0"/>
        <w:sz w:val="21"/>
        <w:u w:val="none"/>
      </w:rPr>
    </w:lvl>
    <w:lvl w:ilvl="7">
      <w:start w:val="1"/>
      <w:numFmt w:val="lowerRoman"/>
      <w:pStyle w:val="Heading8"/>
      <w:lvlText w:val="%8)"/>
      <w:lvlJc w:val="left"/>
      <w:pPr>
        <w:tabs>
          <w:tab w:val="num" w:pos="754"/>
        </w:tabs>
        <w:ind w:left="754" w:hanging="544"/>
      </w:pPr>
      <w:rPr>
        <w:rFonts w:ascii="Arial" w:eastAsia="MS Gothic" w:hAnsi="Arial" w:cs="Times New Roman" w:hint="default"/>
        <w:b w:val="0"/>
        <w:i w:val="0"/>
        <w:caps w:val="0"/>
        <w:sz w:val="21"/>
        <w:u w:val="none"/>
      </w:rPr>
    </w:lvl>
    <w:lvl w:ilvl="8">
      <w:start w:val="1"/>
      <w:numFmt w:val="lowerLetter"/>
      <w:pStyle w:val="Heading9"/>
      <w:lvlText w:val="%9)"/>
      <w:lvlJc w:val="left"/>
      <w:pPr>
        <w:tabs>
          <w:tab w:val="num" w:pos="754"/>
        </w:tabs>
        <w:ind w:left="754" w:hanging="544"/>
      </w:pPr>
      <w:rPr>
        <w:rFonts w:ascii="Arial" w:eastAsia="MS Gothic" w:hAnsi="Arial" w:cs="Times New Roman" w:hint="default"/>
        <w:b w:val="0"/>
        <w:i w:val="0"/>
        <w:caps w:val="0"/>
        <w:sz w:val="21"/>
        <w:u w:val="none"/>
      </w:rPr>
    </w:lvl>
  </w:abstractNum>
  <w:abstractNum w:abstractNumId="1" w15:restartNumberingAfterBreak="0">
    <w:nsid w:val="66A6350E"/>
    <w:multiLevelType w:val="hybridMultilevel"/>
    <w:tmpl w:val="20361A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C3"/>
    <w:rsid w:val="00044FE7"/>
    <w:rsid w:val="000B03C8"/>
    <w:rsid w:val="00140908"/>
    <w:rsid w:val="00153B3D"/>
    <w:rsid w:val="001876AD"/>
    <w:rsid w:val="001C4F32"/>
    <w:rsid w:val="00254D23"/>
    <w:rsid w:val="002C5174"/>
    <w:rsid w:val="002F5ED6"/>
    <w:rsid w:val="00324F0C"/>
    <w:rsid w:val="00360F46"/>
    <w:rsid w:val="003A09F1"/>
    <w:rsid w:val="003A4F40"/>
    <w:rsid w:val="003E2537"/>
    <w:rsid w:val="00434BF7"/>
    <w:rsid w:val="00466EB0"/>
    <w:rsid w:val="004827C3"/>
    <w:rsid w:val="004A45BF"/>
    <w:rsid w:val="00505705"/>
    <w:rsid w:val="00597663"/>
    <w:rsid w:val="00641A8C"/>
    <w:rsid w:val="006A342B"/>
    <w:rsid w:val="006D7F26"/>
    <w:rsid w:val="006F2D24"/>
    <w:rsid w:val="007B1DDA"/>
    <w:rsid w:val="007F14A0"/>
    <w:rsid w:val="00890CBC"/>
    <w:rsid w:val="008929ED"/>
    <w:rsid w:val="009407C3"/>
    <w:rsid w:val="00983DBC"/>
    <w:rsid w:val="009927D9"/>
    <w:rsid w:val="009D1B54"/>
    <w:rsid w:val="00A13A71"/>
    <w:rsid w:val="00A374A6"/>
    <w:rsid w:val="00AA0C05"/>
    <w:rsid w:val="00AF0DF7"/>
    <w:rsid w:val="00B106C8"/>
    <w:rsid w:val="00B76ADE"/>
    <w:rsid w:val="00B802DC"/>
    <w:rsid w:val="00BA3C24"/>
    <w:rsid w:val="00C83BFC"/>
    <w:rsid w:val="00CD248A"/>
    <w:rsid w:val="00CE5083"/>
    <w:rsid w:val="00E37526"/>
    <w:rsid w:val="00E8795B"/>
    <w:rsid w:val="00EA1853"/>
    <w:rsid w:val="00F14D9F"/>
    <w:rsid w:val="00F60789"/>
    <w:rsid w:val="00FC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DF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7C3"/>
    <w:pPr>
      <w:widowControl w:val="0"/>
      <w:jc w:val="both"/>
    </w:pPr>
    <w:rPr>
      <w:rFonts w:cs="Times New Roman"/>
    </w:rPr>
  </w:style>
  <w:style w:type="paragraph" w:styleId="Heading1">
    <w:name w:val="heading 1"/>
    <w:basedOn w:val="Paragraph"/>
    <w:next w:val="Paragraph"/>
    <w:link w:val="Heading1Char"/>
    <w:uiPriority w:val="9"/>
    <w:qFormat/>
    <w:rsid w:val="009407C3"/>
    <w:pPr>
      <w:keepNext/>
      <w:keepLines/>
      <w:tabs>
        <w:tab w:val="left" w:pos="556"/>
      </w:tabs>
      <w:adjustRightInd w:val="0"/>
      <w:snapToGrid w:val="0"/>
      <w:spacing w:line="480" w:lineRule="auto"/>
      <w:ind w:firstLine="0"/>
      <w:outlineLvl w:val="0"/>
    </w:pPr>
    <w:rPr>
      <w:rFonts w:eastAsia="Times New Roman"/>
      <w:b/>
      <w:sz w:val="36"/>
      <w:szCs w:val="36"/>
    </w:rPr>
  </w:style>
  <w:style w:type="paragraph" w:styleId="Heading2">
    <w:name w:val="heading 2"/>
    <w:basedOn w:val="Heading1"/>
    <w:next w:val="Paragraph"/>
    <w:link w:val="Heading2Char"/>
    <w:uiPriority w:val="9"/>
    <w:qFormat/>
    <w:rsid w:val="009407C3"/>
    <w:pPr>
      <w:numPr>
        <w:ilvl w:val="1"/>
      </w:numPr>
      <w:tabs>
        <w:tab w:val="clear" w:pos="556"/>
        <w:tab w:val="left" w:pos="714"/>
      </w:tabs>
      <w:outlineLvl w:val="1"/>
    </w:pPr>
    <w:rPr>
      <w:sz w:val="32"/>
    </w:rPr>
  </w:style>
  <w:style w:type="paragraph" w:styleId="Heading3">
    <w:name w:val="heading 3"/>
    <w:aliases w:val="(1.1.1)"/>
    <w:basedOn w:val="Heading2"/>
    <w:next w:val="Paragraph"/>
    <w:link w:val="Heading3Char"/>
    <w:uiPriority w:val="9"/>
    <w:qFormat/>
    <w:rsid w:val="009407C3"/>
    <w:pPr>
      <w:numPr>
        <w:ilvl w:val="2"/>
      </w:numPr>
      <w:tabs>
        <w:tab w:val="clear" w:pos="714"/>
        <w:tab w:val="left" w:pos="1049"/>
      </w:tabs>
      <w:outlineLvl w:val="2"/>
    </w:pPr>
    <w:rPr>
      <w:sz w:val="28"/>
    </w:rPr>
  </w:style>
  <w:style w:type="paragraph" w:styleId="Heading4">
    <w:name w:val="heading 4"/>
    <w:basedOn w:val="Heading3"/>
    <w:next w:val="Paragraph"/>
    <w:link w:val="Heading4Char"/>
    <w:uiPriority w:val="9"/>
    <w:qFormat/>
    <w:rsid w:val="009407C3"/>
    <w:pPr>
      <w:numPr>
        <w:ilvl w:val="3"/>
      </w:numPr>
      <w:tabs>
        <w:tab w:val="clear" w:pos="1049"/>
        <w:tab w:val="left" w:pos="1202"/>
      </w:tabs>
      <w:outlineLvl w:val="3"/>
    </w:pPr>
    <w:rPr>
      <w:sz w:val="21"/>
    </w:rPr>
  </w:style>
  <w:style w:type="paragraph" w:styleId="Heading5">
    <w:name w:val="heading 5"/>
    <w:basedOn w:val="Heading4"/>
    <w:next w:val="Paragraph"/>
    <w:link w:val="Heading5Char"/>
    <w:uiPriority w:val="9"/>
    <w:qFormat/>
    <w:rsid w:val="009407C3"/>
    <w:pPr>
      <w:numPr>
        <w:ilvl w:val="4"/>
      </w:numPr>
      <w:tabs>
        <w:tab w:val="clear" w:pos="1202"/>
      </w:tabs>
      <w:outlineLvl w:val="4"/>
    </w:pPr>
  </w:style>
  <w:style w:type="paragraph" w:styleId="Heading6">
    <w:name w:val="heading 6"/>
    <w:basedOn w:val="Heading5"/>
    <w:next w:val="Paragraph"/>
    <w:link w:val="Heading6Char"/>
    <w:uiPriority w:val="9"/>
    <w:qFormat/>
    <w:rsid w:val="009407C3"/>
    <w:pPr>
      <w:numPr>
        <w:ilvl w:val="5"/>
      </w:numPr>
      <w:outlineLvl w:val="5"/>
    </w:pPr>
  </w:style>
  <w:style w:type="paragraph" w:styleId="Heading7">
    <w:name w:val="heading 7"/>
    <w:basedOn w:val="Paragraph"/>
    <w:next w:val="Paragraph"/>
    <w:link w:val="Heading7Char"/>
    <w:uiPriority w:val="9"/>
    <w:qFormat/>
    <w:rsid w:val="009407C3"/>
    <w:pPr>
      <w:keepNext/>
      <w:keepLines/>
      <w:numPr>
        <w:ilvl w:val="6"/>
        <w:numId w:val="1"/>
      </w:numPr>
      <w:outlineLvl w:val="6"/>
    </w:pPr>
    <w:rPr>
      <w:rFonts w:ascii="Arial" w:eastAsia="MS Gothic" w:hAnsi="Arial"/>
    </w:rPr>
  </w:style>
  <w:style w:type="paragraph" w:styleId="Heading8">
    <w:name w:val="heading 8"/>
    <w:basedOn w:val="Heading7"/>
    <w:next w:val="Paragraph"/>
    <w:link w:val="Heading8Char"/>
    <w:uiPriority w:val="9"/>
    <w:qFormat/>
    <w:rsid w:val="009407C3"/>
    <w:pPr>
      <w:numPr>
        <w:ilvl w:val="7"/>
      </w:numPr>
      <w:outlineLvl w:val="7"/>
    </w:pPr>
  </w:style>
  <w:style w:type="paragraph" w:styleId="Heading9">
    <w:name w:val="heading 9"/>
    <w:basedOn w:val="Heading8"/>
    <w:next w:val="Paragraph"/>
    <w:link w:val="Heading9Char"/>
    <w:uiPriority w:val="9"/>
    <w:qFormat/>
    <w:rsid w:val="009407C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7C3"/>
    <w:rPr>
      <w:rFonts w:ascii="Times New Roman" w:eastAsia="Times New Roman" w:hAnsi="Times New Roman" w:cs="Times New Roman"/>
      <w:b/>
      <w:sz w:val="36"/>
      <w:szCs w:val="36"/>
    </w:rPr>
  </w:style>
  <w:style w:type="character" w:customStyle="1" w:styleId="Heading2Char">
    <w:name w:val="Heading 2 Char"/>
    <w:basedOn w:val="DefaultParagraphFont"/>
    <w:link w:val="Heading2"/>
    <w:uiPriority w:val="9"/>
    <w:rsid w:val="009407C3"/>
    <w:rPr>
      <w:rFonts w:ascii="Times New Roman" w:eastAsia="Times New Roman" w:hAnsi="Times New Roman" w:cs="Times New Roman"/>
      <w:b/>
      <w:sz w:val="32"/>
      <w:szCs w:val="36"/>
    </w:rPr>
  </w:style>
  <w:style w:type="character" w:customStyle="1" w:styleId="Heading3Char">
    <w:name w:val="Heading 3 Char"/>
    <w:aliases w:val="(1.1.1) Char"/>
    <w:basedOn w:val="DefaultParagraphFont"/>
    <w:link w:val="Heading3"/>
    <w:uiPriority w:val="9"/>
    <w:rsid w:val="009407C3"/>
    <w:rPr>
      <w:rFonts w:ascii="Times New Roman" w:eastAsia="Times New Roman" w:hAnsi="Times New Roman" w:cs="Times New Roman"/>
      <w:b/>
      <w:sz w:val="28"/>
      <w:szCs w:val="36"/>
    </w:rPr>
  </w:style>
  <w:style w:type="character" w:customStyle="1" w:styleId="Heading4Char">
    <w:name w:val="Heading 4 Char"/>
    <w:basedOn w:val="DefaultParagraphFont"/>
    <w:link w:val="Heading4"/>
    <w:uiPriority w:val="9"/>
    <w:rsid w:val="009407C3"/>
    <w:rPr>
      <w:rFonts w:ascii="Times New Roman" w:eastAsia="Times New Roman" w:hAnsi="Times New Roman" w:cs="Times New Roman"/>
      <w:b/>
      <w:szCs w:val="36"/>
    </w:rPr>
  </w:style>
  <w:style w:type="character" w:customStyle="1" w:styleId="Heading5Char">
    <w:name w:val="Heading 5 Char"/>
    <w:basedOn w:val="DefaultParagraphFont"/>
    <w:link w:val="Heading5"/>
    <w:uiPriority w:val="9"/>
    <w:rsid w:val="009407C3"/>
    <w:rPr>
      <w:rFonts w:ascii="Times New Roman" w:eastAsia="Times New Roman" w:hAnsi="Times New Roman" w:cs="Times New Roman"/>
      <w:b/>
      <w:szCs w:val="36"/>
    </w:rPr>
  </w:style>
  <w:style w:type="character" w:customStyle="1" w:styleId="Heading6Char">
    <w:name w:val="Heading 6 Char"/>
    <w:basedOn w:val="DefaultParagraphFont"/>
    <w:link w:val="Heading6"/>
    <w:uiPriority w:val="9"/>
    <w:rsid w:val="009407C3"/>
    <w:rPr>
      <w:rFonts w:ascii="Times New Roman" w:eastAsia="Times New Roman" w:hAnsi="Times New Roman" w:cs="Times New Roman"/>
      <w:b/>
      <w:szCs w:val="36"/>
    </w:rPr>
  </w:style>
  <w:style w:type="character" w:customStyle="1" w:styleId="Heading7Char">
    <w:name w:val="Heading 7 Char"/>
    <w:basedOn w:val="DefaultParagraphFont"/>
    <w:link w:val="Heading7"/>
    <w:uiPriority w:val="9"/>
    <w:rsid w:val="009407C3"/>
    <w:rPr>
      <w:rFonts w:ascii="Arial" w:eastAsia="MS Gothic" w:hAnsi="Arial" w:cs="Times New Roman"/>
      <w:szCs w:val="24"/>
    </w:rPr>
  </w:style>
  <w:style w:type="character" w:customStyle="1" w:styleId="Heading8Char">
    <w:name w:val="Heading 8 Char"/>
    <w:basedOn w:val="DefaultParagraphFont"/>
    <w:link w:val="Heading8"/>
    <w:uiPriority w:val="9"/>
    <w:rsid w:val="009407C3"/>
    <w:rPr>
      <w:rFonts w:ascii="Arial" w:eastAsia="MS Gothic" w:hAnsi="Arial" w:cs="Times New Roman"/>
      <w:szCs w:val="24"/>
    </w:rPr>
  </w:style>
  <w:style w:type="character" w:customStyle="1" w:styleId="Heading9Char">
    <w:name w:val="Heading 9 Char"/>
    <w:basedOn w:val="DefaultParagraphFont"/>
    <w:link w:val="Heading9"/>
    <w:uiPriority w:val="9"/>
    <w:rsid w:val="009407C3"/>
    <w:rPr>
      <w:rFonts w:ascii="Arial" w:eastAsia="MS Gothic" w:hAnsi="Arial" w:cs="Times New Roman"/>
      <w:szCs w:val="24"/>
    </w:rPr>
  </w:style>
  <w:style w:type="paragraph" w:styleId="ListParagraph">
    <w:name w:val="List Paragraph"/>
    <w:basedOn w:val="Normal"/>
    <w:uiPriority w:val="34"/>
    <w:qFormat/>
    <w:rsid w:val="009407C3"/>
    <w:pPr>
      <w:ind w:leftChars="400" w:left="840"/>
    </w:pPr>
  </w:style>
  <w:style w:type="paragraph" w:customStyle="1" w:styleId="Paragraph">
    <w:name w:val="Paragraph"/>
    <w:basedOn w:val="Date"/>
    <w:link w:val="Paragraph0"/>
    <w:qFormat/>
    <w:rsid w:val="009407C3"/>
    <w:pPr>
      <w:ind w:firstLine="210"/>
      <w:jc w:val="left"/>
    </w:pPr>
    <w:rPr>
      <w:rFonts w:ascii="Times New Roman" w:eastAsia="MS Mincho" w:hAnsi="Times New Roman"/>
      <w:szCs w:val="24"/>
    </w:rPr>
  </w:style>
  <w:style w:type="paragraph" w:styleId="Date">
    <w:name w:val="Date"/>
    <w:basedOn w:val="Normal"/>
    <w:next w:val="Normal"/>
    <w:link w:val="DateChar"/>
    <w:uiPriority w:val="99"/>
    <w:semiHidden/>
    <w:unhideWhenUsed/>
    <w:rsid w:val="009407C3"/>
  </w:style>
  <w:style w:type="character" w:customStyle="1" w:styleId="DateChar">
    <w:name w:val="Date Char"/>
    <w:basedOn w:val="DefaultParagraphFont"/>
    <w:link w:val="Date"/>
    <w:uiPriority w:val="99"/>
    <w:semiHidden/>
    <w:rsid w:val="009407C3"/>
    <w:rPr>
      <w:rFonts w:cs="Times New Roman"/>
    </w:rPr>
  </w:style>
  <w:style w:type="character" w:customStyle="1" w:styleId="Paragraph0">
    <w:name w:val="Paragraph (文字)"/>
    <w:link w:val="Paragraph"/>
    <w:locked/>
    <w:rsid w:val="009407C3"/>
    <w:rPr>
      <w:rFonts w:ascii="Times New Roman" w:eastAsia="MS Mincho" w:hAnsi="Times New Roman" w:cs="Times New Roman"/>
      <w:szCs w:val="24"/>
    </w:rPr>
  </w:style>
  <w:style w:type="paragraph" w:customStyle="1" w:styleId="Paragraph1">
    <w:name w:val="Paragraph青斜体"/>
    <w:basedOn w:val="Paragraph"/>
    <w:qFormat/>
    <w:rsid w:val="009407C3"/>
    <w:rPr>
      <w:i/>
      <w:color w:val="0000FF"/>
    </w:rPr>
  </w:style>
  <w:style w:type="paragraph" w:styleId="Header">
    <w:name w:val="header"/>
    <w:basedOn w:val="Normal"/>
    <w:link w:val="HeaderChar"/>
    <w:uiPriority w:val="99"/>
    <w:unhideWhenUsed/>
    <w:rsid w:val="009407C3"/>
    <w:pPr>
      <w:tabs>
        <w:tab w:val="center" w:pos="4252"/>
        <w:tab w:val="right" w:pos="8504"/>
      </w:tabs>
      <w:snapToGrid w:val="0"/>
    </w:pPr>
  </w:style>
  <w:style w:type="character" w:customStyle="1" w:styleId="HeaderChar">
    <w:name w:val="Header Char"/>
    <w:basedOn w:val="DefaultParagraphFont"/>
    <w:link w:val="Header"/>
    <w:uiPriority w:val="99"/>
    <w:rsid w:val="009407C3"/>
    <w:rPr>
      <w:rFonts w:cs="Times New Roman"/>
    </w:rPr>
  </w:style>
  <w:style w:type="paragraph" w:styleId="Footer">
    <w:name w:val="footer"/>
    <w:basedOn w:val="Normal"/>
    <w:link w:val="FooterChar"/>
    <w:uiPriority w:val="99"/>
    <w:unhideWhenUsed/>
    <w:rsid w:val="009407C3"/>
    <w:pPr>
      <w:tabs>
        <w:tab w:val="center" w:pos="4252"/>
        <w:tab w:val="right" w:pos="8504"/>
      </w:tabs>
      <w:snapToGrid w:val="0"/>
    </w:pPr>
  </w:style>
  <w:style w:type="character" w:customStyle="1" w:styleId="FooterChar">
    <w:name w:val="Footer Char"/>
    <w:basedOn w:val="DefaultParagraphFont"/>
    <w:link w:val="Footer"/>
    <w:uiPriority w:val="99"/>
    <w:rsid w:val="009407C3"/>
    <w:rPr>
      <w:rFonts w:cs="Times New Roman"/>
    </w:rPr>
  </w:style>
  <w:style w:type="paragraph" w:styleId="NormalWeb">
    <w:name w:val="Normal (Web)"/>
    <w:basedOn w:val="Normal"/>
    <w:uiPriority w:val="99"/>
    <w:unhideWhenUsed/>
    <w:rsid w:val="009407C3"/>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9407C3"/>
    <w:rPr>
      <w:rFonts w:cs="Times New Roman"/>
      <w:color w:val="0000FF"/>
      <w:u w:val="single"/>
    </w:rPr>
  </w:style>
  <w:style w:type="table" w:styleId="TableGrid">
    <w:name w:val="Table Grid"/>
    <w:basedOn w:val="TableNormal"/>
    <w:uiPriority w:val="39"/>
    <w:rsid w:val="0094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07C3"/>
    <w:rPr>
      <w:rFonts w:asciiTheme="majorHAnsi" w:eastAsiaTheme="majorEastAsia" w:hAnsiTheme="majorHAnsi"/>
      <w:sz w:val="18"/>
      <w:szCs w:val="18"/>
    </w:rPr>
  </w:style>
  <w:style w:type="character" w:customStyle="1" w:styleId="BalloonTextChar">
    <w:name w:val="Balloon Text Char"/>
    <w:basedOn w:val="DefaultParagraphFont"/>
    <w:link w:val="BalloonText"/>
    <w:uiPriority w:val="99"/>
    <w:semiHidden/>
    <w:rsid w:val="009407C3"/>
    <w:rPr>
      <w:rFonts w:asciiTheme="majorHAnsi" w:eastAsiaTheme="majorEastAsia" w:hAnsiTheme="majorHAnsi" w:cs="Times New Roman"/>
      <w:sz w:val="18"/>
      <w:szCs w:val="18"/>
    </w:rPr>
  </w:style>
  <w:style w:type="paragraph" w:styleId="Revision">
    <w:name w:val="Revision"/>
    <w:hidden/>
    <w:uiPriority w:val="99"/>
    <w:semiHidden/>
    <w:rsid w:val="009407C3"/>
    <w:rPr>
      <w:rFonts w:cs="Times New Roman"/>
    </w:rPr>
  </w:style>
  <w:style w:type="paragraph" w:customStyle="1" w:styleId="1">
    <w:name w:val="副題1"/>
    <w:basedOn w:val="Normal"/>
    <w:rsid w:val="009407C3"/>
    <w:pPr>
      <w:widowControl/>
      <w:spacing w:before="100" w:beforeAutospacing="1" w:after="100" w:afterAutospacing="1"/>
      <w:jc w:val="left"/>
    </w:pPr>
    <w:rPr>
      <w:rFonts w:ascii="MS PGothic" w:eastAsia="MS PGothic" w:hAnsi="MS PGothic" w:cs="MS PGothic"/>
      <w:kern w:val="0"/>
      <w:sz w:val="24"/>
      <w:szCs w:val="24"/>
    </w:rPr>
  </w:style>
  <w:style w:type="table" w:customStyle="1" w:styleId="10">
    <w:name w:val="表 (格子)1"/>
    <w:basedOn w:val="TableNormal"/>
    <w:next w:val="TableGrid"/>
    <w:uiPriority w:val="39"/>
    <w:rsid w:val="0094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9407C3"/>
    <w:rPr>
      <w:rFonts w:cs="Times New Roman"/>
      <w:i/>
      <w:iCs/>
    </w:rPr>
  </w:style>
  <w:style w:type="character" w:styleId="Strong">
    <w:name w:val="Strong"/>
    <w:basedOn w:val="DefaultParagraphFont"/>
    <w:uiPriority w:val="22"/>
    <w:qFormat/>
    <w:rsid w:val="009407C3"/>
    <w:rPr>
      <w:rFonts w:cs="Times New Roman"/>
      <w:b/>
      <w:bCs/>
    </w:rPr>
  </w:style>
  <w:style w:type="paragraph" w:styleId="CommentText">
    <w:name w:val="annotation text"/>
    <w:basedOn w:val="Normal"/>
    <w:link w:val="CommentTextChar"/>
    <w:uiPriority w:val="99"/>
    <w:unhideWhenUsed/>
    <w:rsid w:val="009407C3"/>
    <w:pPr>
      <w:jc w:val="left"/>
    </w:pPr>
    <w:rPr>
      <w:rFonts w:ascii="Times New Roman" w:eastAsia="MS Mincho" w:hAnsi="Times New Roman"/>
      <w:szCs w:val="24"/>
    </w:rPr>
  </w:style>
  <w:style w:type="character" w:customStyle="1" w:styleId="CommentTextChar">
    <w:name w:val="Comment Text Char"/>
    <w:basedOn w:val="DefaultParagraphFont"/>
    <w:link w:val="CommentText"/>
    <w:uiPriority w:val="99"/>
    <w:rsid w:val="009407C3"/>
    <w:rPr>
      <w:rFonts w:ascii="Times New Roman" w:eastAsia="MS Mincho" w:hAnsi="Times New Roman" w:cs="Times New Roman"/>
      <w:szCs w:val="24"/>
    </w:rPr>
  </w:style>
  <w:style w:type="character" w:styleId="CommentReference">
    <w:name w:val="annotation reference"/>
    <w:basedOn w:val="DefaultParagraphFont"/>
    <w:uiPriority w:val="99"/>
    <w:semiHidden/>
    <w:unhideWhenUsed/>
    <w:rsid w:val="009407C3"/>
    <w:rPr>
      <w:sz w:val="18"/>
    </w:rPr>
  </w:style>
  <w:style w:type="paragraph" w:styleId="CommentSubject">
    <w:name w:val="annotation subject"/>
    <w:basedOn w:val="CommentText"/>
    <w:next w:val="CommentText"/>
    <w:link w:val="CommentSubjectChar"/>
    <w:uiPriority w:val="99"/>
    <w:semiHidden/>
    <w:unhideWhenUsed/>
    <w:rsid w:val="009407C3"/>
    <w:rPr>
      <w:rFonts w:asciiTheme="minorHAnsi" w:eastAsiaTheme="minorEastAsia" w:hAnsiTheme="minorHAnsi"/>
      <w:b/>
      <w:bCs/>
      <w:szCs w:val="22"/>
    </w:rPr>
  </w:style>
  <w:style w:type="character" w:customStyle="1" w:styleId="CommentSubjectChar">
    <w:name w:val="Comment Subject Char"/>
    <w:basedOn w:val="CommentTextChar"/>
    <w:link w:val="CommentSubject"/>
    <w:uiPriority w:val="99"/>
    <w:semiHidden/>
    <w:rsid w:val="009407C3"/>
    <w:rPr>
      <w:rFonts w:ascii="Times New Roman" w:eastAsia="MS Mincho" w:hAnsi="Times New Roman" w:cs="Times New Roman"/>
      <w:b/>
      <w:bCs/>
      <w:szCs w:val="24"/>
    </w:rPr>
  </w:style>
  <w:style w:type="table" w:customStyle="1" w:styleId="2">
    <w:name w:val="表 (格子)2"/>
    <w:basedOn w:val="TableNormal"/>
    <w:next w:val="TableGrid"/>
    <w:uiPriority w:val="59"/>
    <w:rsid w:val="009407C3"/>
    <w:rPr>
      <w:rFonts w:ascii="Century"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TableNormal"/>
    <w:next w:val="TableGrid"/>
    <w:uiPriority w:val="39"/>
    <w:rsid w:val="009407C3"/>
    <w:rPr>
      <w:rFonts w:ascii="Century"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title"/>
    <w:basedOn w:val="Normal"/>
    <w:rsid w:val="009407C3"/>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fault">
    <w:name w:val="Default"/>
    <w:rsid w:val="009407C3"/>
    <w:pPr>
      <w:widowControl w:val="0"/>
      <w:autoSpaceDE w:val="0"/>
      <w:autoSpaceDN w:val="0"/>
      <w:adjustRightInd w:val="0"/>
    </w:pPr>
    <w:rPr>
      <w:rFonts w:ascii="Times New Roman" w:hAnsi="Times New Roman" w:cs="Times New Roman"/>
      <w:color w:val="000000"/>
      <w:kern w:val="0"/>
      <w:sz w:val="24"/>
      <w:szCs w:val="24"/>
    </w:rPr>
  </w:style>
  <w:style w:type="table" w:customStyle="1" w:styleId="4">
    <w:name w:val="表 (格子)4"/>
    <w:basedOn w:val="TableNormal"/>
    <w:next w:val="TableGrid"/>
    <w:uiPriority w:val="39"/>
    <w:rsid w:val="009407C3"/>
    <w:rPr>
      <w:rFonts w:ascii="Century"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TableNormal"/>
    <w:next w:val="TableGrid"/>
    <w:uiPriority w:val="39"/>
    <w:rsid w:val="009407C3"/>
    <w:rPr>
      <w:rFonts w:ascii="Century"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9407C3"/>
    <w:rPr>
      <w:rFonts w:cs="Times New Roman"/>
    </w:rPr>
  </w:style>
  <w:style w:type="paragraph" w:customStyle="1" w:styleId="11">
    <w:name w:val="表題1"/>
    <w:basedOn w:val="Normal"/>
    <w:rsid w:val="009407C3"/>
    <w:pPr>
      <w:widowControl/>
      <w:spacing w:before="100" w:beforeAutospacing="1" w:after="100" w:afterAutospacing="1"/>
      <w:jc w:val="left"/>
    </w:pPr>
    <w:rPr>
      <w:rFonts w:ascii="MS PGothic" w:eastAsia="MS PGothic" w:hAnsi="MS PGothic" w:cs="MS PGothic"/>
      <w:kern w:val="0"/>
      <w:sz w:val="24"/>
      <w:szCs w:val="24"/>
    </w:rPr>
  </w:style>
  <w:style w:type="paragraph" w:styleId="Title">
    <w:name w:val="Title"/>
    <w:basedOn w:val="Normal"/>
    <w:next w:val="Normal"/>
    <w:link w:val="TitleChar"/>
    <w:uiPriority w:val="10"/>
    <w:qFormat/>
    <w:rsid w:val="009407C3"/>
    <w:pPr>
      <w:spacing w:before="240" w:after="120"/>
      <w:jc w:val="center"/>
      <w:outlineLvl w:val="0"/>
    </w:pPr>
    <w:rPr>
      <w:rFonts w:asciiTheme="majorHAnsi" w:eastAsia="MS Gothic" w:hAnsiTheme="majorHAnsi"/>
      <w:sz w:val="32"/>
      <w:szCs w:val="32"/>
    </w:rPr>
  </w:style>
  <w:style w:type="character" w:customStyle="1" w:styleId="TitleChar">
    <w:name w:val="Title Char"/>
    <w:basedOn w:val="DefaultParagraphFont"/>
    <w:link w:val="Title"/>
    <w:uiPriority w:val="10"/>
    <w:rsid w:val="009407C3"/>
    <w:rPr>
      <w:rFonts w:asciiTheme="majorHAnsi" w:eastAsia="MS Gothic" w:hAnsiTheme="majorHAnsi" w:cs="Times New Roman"/>
      <w:sz w:val="32"/>
      <w:szCs w:val="32"/>
    </w:rPr>
  </w:style>
  <w:style w:type="character" w:styleId="LineNumber">
    <w:name w:val="line number"/>
    <w:basedOn w:val="DefaultParagraphFont"/>
    <w:uiPriority w:val="99"/>
    <w:semiHidden/>
    <w:unhideWhenUsed/>
    <w:rsid w:val="009407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PowerPoint_Slide1.sld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package" Target="embeddings/Microsoft_PowerPoint_Slide.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2107</Words>
  <Characters>12015</Characters>
  <Application>Microsoft Office Word</Application>
  <DocSecurity>0</DocSecurity>
  <Lines>100</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2019-07-31T10:29:00Z</dcterms:created>
  <dcterms:modified xsi:type="dcterms:W3CDTF">2019-07-31T10:29:00Z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David.Grech@informa.com</vt:lpwstr>
  </property>
  <property fmtid="{D5CDD505-2E9C-101B-9397-08002B2CF9AE}" pid="5" name="MSIP_Label_181c070e-054b-4d1c-ba4c-fc70b099192e_SetDate">
    <vt:lpwstr>2019-07-31T10:28:48.5353468Z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David.Grech@informa.com</vt:lpwstr>
  </property>
  <property fmtid="{D5CDD505-2E9C-101B-9397-08002B2CF9AE}" pid="12" name="MSIP_Label_2bbab825-a111-45e4-86a1-18cee0005896_SetDate">
    <vt:lpwstr>2019-07-31T10:28:48.5353468Z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