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ED8" w:rsidRPr="00FE703A" w:rsidRDefault="00E62ED8" w:rsidP="0034212E">
      <w:pPr>
        <w:spacing w:line="480" w:lineRule="auto"/>
        <w:rPr>
          <w:i/>
          <w:color w:val="000000"/>
        </w:rPr>
      </w:pPr>
      <w:r w:rsidRPr="00FE703A">
        <w:rPr>
          <w:i/>
          <w:color w:val="000000"/>
        </w:rPr>
        <w:t>Supplementary Data</w:t>
      </w:r>
    </w:p>
    <w:p w:rsidR="00E62ED8" w:rsidRPr="00FE703A" w:rsidRDefault="00E62ED8" w:rsidP="0034212E">
      <w:pPr>
        <w:spacing w:line="480" w:lineRule="auto"/>
        <w:rPr>
          <w:b/>
          <w:color w:val="000000"/>
          <w:sz w:val="32"/>
          <w:szCs w:val="32"/>
        </w:rPr>
      </w:pPr>
    </w:p>
    <w:p w:rsidR="0034212E" w:rsidRPr="00FE703A" w:rsidRDefault="0034212E" w:rsidP="0034212E">
      <w:pPr>
        <w:spacing w:line="480" w:lineRule="auto"/>
        <w:rPr>
          <w:b/>
          <w:color w:val="000000"/>
          <w:sz w:val="32"/>
          <w:szCs w:val="32"/>
        </w:rPr>
      </w:pPr>
      <w:r w:rsidRPr="00FE703A">
        <w:rPr>
          <w:b/>
          <w:color w:val="000000"/>
          <w:sz w:val="32"/>
          <w:szCs w:val="32"/>
        </w:rPr>
        <w:t xml:space="preserve">Altered mRNA expression of genes involved in endocannabinoid signalling in </w:t>
      </w:r>
      <w:r w:rsidR="00E62ED8" w:rsidRPr="00FE703A">
        <w:rPr>
          <w:b/>
          <w:color w:val="000000"/>
          <w:sz w:val="32"/>
          <w:szCs w:val="32"/>
        </w:rPr>
        <w:t>in squamous cell carcinoma of the oral tongue</w:t>
      </w:r>
    </w:p>
    <w:p w:rsidR="0034212E" w:rsidRPr="00FE703A" w:rsidRDefault="0034212E">
      <w:pPr>
        <w:rPr>
          <w:color w:val="000000"/>
        </w:rPr>
      </w:pPr>
    </w:p>
    <w:p w:rsidR="0034212E" w:rsidRPr="00FE703A" w:rsidRDefault="00483820">
      <w:pPr>
        <w:rPr>
          <w:b/>
          <w:color w:val="000000"/>
        </w:rPr>
      </w:pPr>
      <w:r w:rsidRPr="00FE703A">
        <w:rPr>
          <w:b/>
          <w:color w:val="000000"/>
        </w:rPr>
        <w:t>Mireille Alhouayek</w:t>
      </w:r>
      <w:r w:rsidRPr="00FE703A">
        <w:rPr>
          <w:b/>
          <w:color w:val="000000"/>
          <w:vertAlign w:val="superscript"/>
        </w:rPr>
        <w:t>a,b</w:t>
      </w:r>
      <w:r w:rsidRPr="00FE703A">
        <w:rPr>
          <w:b/>
          <w:color w:val="000000"/>
        </w:rPr>
        <w:t>, Linda Boldrup</w:t>
      </w:r>
      <w:r w:rsidRPr="00FE703A">
        <w:rPr>
          <w:b/>
          <w:color w:val="000000"/>
          <w:vertAlign w:val="superscript"/>
        </w:rPr>
        <w:t>c</w:t>
      </w:r>
      <w:r w:rsidRPr="00FE703A">
        <w:rPr>
          <w:b/>
          <w:color w:val="000000"/>
        </w:rPr>
        <w:t xml:space="preserve"> and Christopher J. Fowler</w:t>
      </w:r>
      <w:r w:rsidRPr="00FE703A">
        <w:rPr>
          <w:b/>
          <w:color w:val="000000"/>
          <w:vertAlign w:val="superscript"/>
        </w:rPr>
        <w:t>a</w:t>
      </w:r>
      <w:r w:rsidRPr="00FE703A">
        <w:rPr>
          <w:b/>
          <w:color w:val="000000"/>
        </w:rPr>
        <w:t>*</w:t>
      </w:r>
    </w:p>
    <w:p w:rsidR="0034212E" w:rsidRPr="00FE703A" w:rsidRDefault="0034212E">
      <w:pPr>
        <w:rPr>
          <w:color w:val="000000"/>
        </w:rPr>
      </w:pPr>
    </w:p>
    <w:p w:rsidR="00E62ED8" w:rsidRPr="00FE703A" w:rsidRDefault="00E62ED8">
      <w:pPr>
        <w:rPr>
          <w:b/>
          <w:color w:val="000000"/>
        </w:rPr>
      </w:pPr>
      <w:r w:rsidRPr="00FE703A">
        <w:rPr>
          <w:b/>
          <w:color w:val="000000"/>
        </w:rPr>
        <w:br w:type="page"/>
      </w:r>
    </w:p>
    <w:p w:rsidR="009D5C49" w:rsidRPr="00FE703A" w:rsidRDefault="00AC7B6F" w:rsidP="000E604D">
      <w:pPr>
        <w:spacing w:line="480" w:lineRule="auto"/>
        <w:rPr>
          <w:color w:val="000000"/>
        </w:rPr>
      </w:pPr>
      <w:r w:rsidRPr="00FE703A">
        <w:rPr>
          <w:b/>
          <w:color w:val="000000"/>
        </w:rPr>
        <w:lastRenderedPageBreak/>
        <w:t>Supplementary Table S1</w:t>
      </w:r>
      <w:r w:rsidRPr="00FE703A">
        <w:rPr>
          <w:color w:val="000000"/>
        </w:rPr>
        <w:t xml:space="preserve">. </w:t>
      </w:r>
      <w:r w:rsidR="008C74BF" w:rsidRPr="00FE703A">
        <w:rPr>
          <w:color w:val="000000"/>
        </w:rPr>
        <w:t>Target sequences and efficiencies for the qPCR primer pairs used in the present study</w:t>
      </w:r>
      <w:r w:rsidR="00C810E4" w:rsidRPr="00FE703A">
        <w:rPr>
          <w:color w:val="000000"/>
        </w:rPr>
        <w:t>. Product lengths &gt;700 base pairs are not shown in the Table.</w:t>
      </w:r>
    </w:p>
    <w:p w:rsidR="008F0361" w:rsidRPr="00FE703A" w:rsidRDefault="008F0361" w:rsidP="000E604D">
      <w:pPr>
        <w:spacing w:line="480" w:lineRule="auto"/>
        <w:rPr>
          <w:color w:val="000000"/>
        </w:rPr>
      </w:pPr>
    </w:p>
    <w:tbl>
      <w:tblPr>
        <w:tblStyle w:val="Tabellrutnt"/>
        <w:tblW w:w="100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147"/>
        <w:gridCol w:w="4651"/>
        <w:gridCol w:w="1979"/>
        <w:gridCol w:w="974"/>
      </w:tblGrid>
      <w:tr w:rsidR="00FE703A" w:rsidRPr="00FE703A" w:rsidTr="008F0361">
        <w:tc>
          <w:tcPr>
            <w:tcW w:w="1271" w:type="dxa"/>
            <w:tcBorders>
              <w:bottom w:val="nil"/>
            </w:tcBorders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Gene primers for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Efficiency</w:t>
            </w:r>
          </w:p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(%)</w:t>
            </w:r>
            <w:r w:rsidR="008F0361" w:rsidRPr="00FE703A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665" w:type="dxa"/>
            <w:tcBorders>
              <w:top w:val="nil"/>
              <w:bottom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Target sequence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Product length (bp)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C74BF" w:rsidRPr="00FE703A" w:rsidRDefault="004960F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Intron skipping</w:t>
            </w:r>
          </w:p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  <w:tcBorders>
              <w:top w:val="single" w:sz="4" w:space="0" w:color="auto"/>
            </w:tcBorders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ABHD6</w:t>
            </w: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NM_001320126.1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ABHD6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145 (1205-1349)</w:t>
            </w: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NM_020676.6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ABHD6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145 (1140-12</w:t>
            </w:r>
            <w:r w:rsidR="004960FD" w:rsidRPr="00FE703A">
              <w:rPr>
                <w:color w:val="000000"/>
                <w:sz w:val="22"/>
                <w:szCs w:val="22"/>
              </w:rPr>
              <w:t>84</w:t>
            </w:r>
            <w:r w:rsidRPr="00FE70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ABHD12</w:t>
            </w: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NM_001042472.3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ABHD12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93 (1153-1245)</w:t>
            </w: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NM_015600.4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ABHD12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93 (1300-1392)</w:t>
            </w: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CD36</w:t>
            </w: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96.3</w:t>
            </w: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NM_001001548.2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CD36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(1658-1779)</w:t>
            </w:r>
          </w:p>
        </w:tc>
        <w:tc>
          <w:tcPr>
            <w:tcW w:w="953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NM_001001547.2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CD36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(16</w:t>
            </w:r>
            <w:r w:rsidR="00323DCA" w:rsidRPr="00FE703A">
              <w:rPr>
                <w:color w:val="000000"/>
                <w:sz w:val="22"/>
                <w:szCs w:val="22"/>
              </w:rPr>
              <w:t>1</w:t>
            </w:r>
            <w:r w:rsidRPr="00FE703A">
              <w:rPr>
                <w:color w:val="000000"/>
                <w:sz w:val="22"/>
                <w:szCs w:val="22"/>
              </w:rPr>
              <w:t>9-</w:t>
            </w:r>
            <w:r w:rsidR="00323DCA" w:rsidRPr="00FE703A">
              <w:rPr>
                <w:color w:val="000000"/>
                <w:sz w:val="22"/>
                <w:szCs w:val="22"/>
              </w:rPr>
              <w:t>1740)</w:t>
            </w:r>
          </w:p>
        </w:tc>
        <w:tc>
          <w:tcPr>
            <w:tcW w:w="953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NM_000072.3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CD36 </w:t>
            </w:r>
            <w:r w:rsidRPr="00FE703A">
              <w:rPr>
                <w:color w:val="000000"/>
                <w:sz w:val="22"/>
                <w:szCs w:val="22"/>
              </w:rPr>
              <w:t>transcript variant 3</w:t>
            </w:r>
          </w:p>
        </w:tc>
        <w:tc>
          <w:tcPr>
            <w:tcW w:w="1984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(1658-1779)</w:t>
            </w:r>
          </w:p>
        </w:tc>
        <w:tc>
          <w:tcPr>
            <w:tcW w:w="953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NM_001127443.1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CD36 </w:t>
            </w:r>
            <w:r w:rsidRPr="00FE703A">
              <w:rPr>
                <w:color w:val="000000"/>
                <w:sz w:val="22"/>
                <w:szCs w:val="22"/>
              </w:rPr>
              <w:t>transcript variant 4</w:t>
            </w:r>
          </w:p>
        </w:tc>
        <w:tc>
          <w:tcPr>
            <w:tcW w:w="1984" w:type="dxa"/>
          </w:tcPr>
          <w:p w:rsidR="008C74BF" w:rsidRPr="00FE703A" w:rsidRDefault="00323DC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(136</w:t>
            </w:r>
            <w:r w:rsidR="009438CD" w:rsidRPr="00FE703A">
              <w:rPr>
                <w:color w:val="000000"/>
                <w:sz w:val="22"/>
                <w:szCs w:val="22"/>
              </w:rPr>
              <w:t>4-1485)</w:t>
            </w:r>
          </w:p>
        </w:tc>
        <w:tc>
          <w:tcPr>
            <w:tcW w:w="953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NM_001127444.1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CD36 </w:t>
            </w:r>
            <w:r w:rsidRPr="00FE703A">
              <w:rPr>
                <w:color w:val="000000"/>
                <w:sz w:val="22"/>
                <w:szCs w:val="22"/>
              </w:rPr>
              <w:t>transcript variant 5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(1539-1660)</w:t>
            </w:r>
          </w:p>
        </w:tc>
        <w:tc>
          <w:tcPr>
            <w:tcW w:w="953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NM_001289908.1 </w:t>
            </w:r>
            <w:r w:rsidRPr="00FE703A">
              <w:rPr>
                <w:i/>
                <w:color w:val="000000"/>
                <w:sz w:val="22"/>
                <w:szCs w:val="22"/>
              </w:rPr>
              <w:t>CD36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6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(1215-1336)</w:t>
            </w:r>
          </w:p>
        </w:tc>
        <w:tc>
          <w:tcPr>
            <w:tcW w:w="953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NM_001289909.1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CD36 </w:t>
            </w:r>
            <w:r w:rsidRPr="00FE703A">
              <w:rPr>
                <w:color w:val="000000"/>
                <w:sz w:val="22"/>
                <w:szCs w:val="22"/>
              </w:rPr>
              <w:t>transcript variant 7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(1243-1364)</w:t>
            </w:r>
          </w:p>
        </w:tc>
        <w:tc>
          <w:tcPr>
            <w:tcW w:w="953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NM_001289911.1 </w:t>
            </w:r>
            <w:r w:rsidRPr="00FE703A">
              <w:rPr>
                <w:i/>
                <w:color w:val="000000"/>
                <w:sz w:val="22"/>
                <w:szCs w:val="22"/>
              </w:rPr>
              <w:t>CD36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8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122 (1297-1418)</w:t>
            </w:r>
          </w:p>
        </w:tc>
        <w:tc>
          <w:tcPr>
            <w:tcW w:w="953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9438CD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="008F0361" w:rsidRPr="00FE703A">
              <w:rPr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NM_016083.5 </w:t>
            </w: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1 [a]</w:t>
            </w:r>
          </w:p>
        </w:tc>
        <w:tc>
          <w:tcPr>
            <w:tcW w:w="1984" w:type="dxa"/>
          </w:tcPr>
          <w:p w:rsidR="008C74BF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(290-455)</w:t>
            </w:r>
          </w:p>
        </w:tc>
        <w:tc>
          <w:tcPr>
            <w:tcW w:w="953" w:type="dxa"/>
          </w:tcPr>
          <w:p w:rsidR="008C74BF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NM_033181.4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CNR1 </w:t>
            </w:r>
            <w:r w:rsidRPr="00FE703A">
              <w:rPr>
                <w:color w:val="000000"/>
                <w:sz w:val="22"/>
                <w:szCs w:val="22"/>
              </w:rPr>
              <w:t>transcript variant 2 [b]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67 (96-162)</w:t>
            </w:r>
          </w:p>
        </w:tc>
        <w:tc>
          <w:tcPr>
            <w:tcW w:w="953" w:type="dxa"/>
          </w:tcPr>
          <w:p w:rsidR="008C74BF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NM_001160226.2 </w:t>
            </w: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3 [a]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(433-598)</w:t>
            </w:r>
          </w:p>
        </w:tc>
        <w:tc>
          <w:tcPr>
            <w:tcW w:w="953" w:type="dxa"/>
          </w:tcPr>
          <w:p w:rsidR="008C74BF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NM_001160258.2 </w:t>
            </w: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4 [a]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(471-636)</w:t>
            </w:r>
          </w:p>
        </w:tc>
        <w:tc>
          <w:tcPr>
            <w:tcW w:w="953" w:type="dxa"/>
          </w:tcPr>
          <w:p w:rsidR="008C74BF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NM_001160259.2 </w:t>
            </w: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5 [a]</w:t>
            </w:r>
          </w:p>
        </w:tc>
        <w:tc>
          <w:tcPr>
            <w:tcW w:w="1984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(346-511)</w:t>
            </w:r>
          </w:p>
        </w:tc>
        <w:tc>
          <w:tcPr>
            <w:tcW w:w="953" w:type="dxa"/>
          </w:tcPr>
          <w:p w:rsidR="008C74BF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8C74BF" w:rsidRPr="00FE703A" w:rsidRDefault="008C74BF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C74BF" w:rsidRPr="00FE703A" w:rsidRDefault="008C74BF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C74BF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NM_001365869.1 </w:t>
            </w: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6 [a]</w:t>
            </w:r>
          </w:p>
        </w:tc>
        <w:tc>
          <w:tcPr>
            <w:tcW w:w="1984" w:type="dxa"/>
          </w:tcPr>
          <w:p w:rsidR="008C74BF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(328-493)</w:t>
            </w:r>
          </w:p>
        </w:tc>
        <w:tc>
          <w:tcPr>
            <w:tcW w:w="953" w:type="dxa"/>
          </w:tcPr>
          <w:p w:rsidR="008C74BF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NM_001365870.1 </w:t>
            </w:r>
            <w:r w:rsidRPr="00FE703A">
              <w:rPr>
                <w:i/>
                <w:color w:val="000000"/>
                <w:sz w:val="22"/>
                <w:szCs w:val="22"/>
              </w:rPr>
              <w:t>CNR1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7 [a]</w:t>
            </w: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(481-646)</w:t>
            </w:r>
          </w:p>
        </w:tc>
        <w:tc>
          <w:tcPr>
            <w:tcW w:w="953" w:type="dxa"/>
          </w:tcPr>
          <w:p w:rsidR="009438CD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NM_001365872.1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CNR1 </w:t>
            </w:r>
            <w:r w:rsidRPr="00FE703A">
              <w:rPr>
                <w:color w:val="000000"/>
                <w:sz w:val="22"/>
                <w:szCs w:val="22"/>
              </w:rPr>
              <w:t>transcript variant 8 [a]</w:t>
            </w:r>
          </w:p>
        </w:tc>
        <w:tc>
          <w:tcPr>
            <w:tcW w:w="1984" w:type="dxa"/>
          </w:tcPr>
          <w:p w:rsidR="009438CD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(677-8</w:t>
            </w:r>
            <w:r w:rsidR="00CA57E2" w:rsidRPr="00FE703A">
              <w:rPr>
                <w:color w:val="000000"/>
                <w:sz w:val="22"/>
                <w:szCs w:val="22"/>
              </w:rPr>
              <w:t>42</w:t>
            </w:r>
            <w:r w:rsidRPr="00FE70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3" w:type="dxa"/>
          </w:tcPr>
          <w:p w:rsidR="009438CD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NM_001365874.1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CNR1 </w:t>
            </w:r>
            <w:r w:rsidRPr="00FE703A">
              <w:rPr>
                <w:color w:val="000000"/>
                <w:sz w:val="22"/>
                <w:szCs w:val="22"/>
              </w:rPr>
              <w:t>transcript variant 9 [a]</w:t>
            </w:r>
          </w:p>
        </w:tc>
        <w:tc>
          <w:tcPr>
            <w:tcW w:w="1984" w:type="dxa"/>
          </w:tcPr>
          <w:p w:rsidR="009438CD" w:rsidRPr="00FE703A" w:rsidRDefault="00C810E4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166 (253-418)</w:t>
            </w:r>
          </w:p>
        </w:tc>
        <w:tc>
          <w:tcPr>
            <w:tcW w:w="953" w:type="dxa"/>
          </w:tcPr>
          <w:p w:rsidR="009438CD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CA57E2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CNR2</w:t>
            </w: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NM_001841.3 </w:t>
            </w:r>
            <w:r w:rsidRPr="00FE703A">
              <w:rPr>
                <w:i/>
                <w:color w:val="000000"/>
                <w:sz w:val="22"/>
                <w:szCs w:val="22"/>
              </w:rPr>
              <w:t>CNR2</w:t>
            </w:r>
          </w:p>
        </w:tc>
        <w:tc>
          <w:tcPr>
            <w:tcW w:w="1984" w:type="dxa"/>
          </w:tcPr>
          <w:p w:rsidR="009438CD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76 (57-132)</w:t>
            </w:r>
          </w:p>
        </w:tc>
        <w:tc>
          <w:tcPr>
            <w:tcW w:w="953" w:type="dxa"/>
          </w:tcPr>
          <w:p w:rsidR="009438CD" w:rsidRPr="00FE703A" w:rsidRDefault="00CA57E2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B9386A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DAGL</w:t>
            </w:r>
            <w:r w:rsidR="00FE703A" w:rsidRPr="00FE703A">
              <w:rPr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147" w:type="dxa"/>
          </w:tcPr>
          <w:p w:rsidR="009438CD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95.3</w:t>
            </w:r>
          </w:p>
        </w:tc>
        <w:tc>
          <w:tcPr>
            <w:tcW w:w="4665" w:type="dxa"/>
          </w:tcPr>
          <w:p w:rsidR="009438CD" w:rsidRPr="00FE703A" w:rsidRDefault="00B9386A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NM_006133.3 </w:t>
            </w:r>
            <w:r w:rsidRPr="00FE703A">
              <w:rPr>
                <w:i/>
                <w:color w:val="000000"/>
                <w:sz w:val="22"/>
                <w:szCs w:val="22"/>
              </w:rPr>
              <w:t>DAGL</w:t>
            </w:r>
            <w:r w:rsidR="004960FD" w:rsidRPr="00FE703A">
              <w:rPr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135 (1809-1943)</w:t>
            </w:r>
          </w:p>
        </w:tc>
        <w:tc>
          <w:tcPr>
            <w:tcW w:w="953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FC3533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DAGL</w:t>
            </w:r>
            <w:r w:rsidR="00FE703A" w:rsidRPr="00FE703A">
              <w:rPr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1147" w:type="dxa"/>
          </w:tcPr>
          <w:p w:rsidR="009438CD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91.5</w:t>
            </w:r>
          </w:p>
        </w:tc>
        <w:tc>
          <w:tcPr>
            <w:tcW w:w="4665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NM_139179.4 </w:t>
            </w:r>
            <w:r w:rsidRPr="00FE703A">
              <w:rPr>
                <w:i/>
                <w:color w:val="000000"/>
                <w:sz w:val="22"/>
                <w:szCs w:val="22"/>
              </w:rPr>
              <w:t>D</w:t>
            </w:r>
            <w:bookmarkStart w:id="0" w:name="_GoBack"/>
            <w:bookmarkEnd w:id="0"/>
            <w:r w:rsidRPr="00FE703A">
              <w:rPr>
                <w:i/>
                <w:color w:val="000000"/>
                <w:sz w:val="22"/>
                <w:szCs w:val="22"/>
              </w:rPr>
              <w:t>AGL</w:t>
            </w:r>
            <w:r w:rsidR="004960FD" w:rsidRPr="00FE703A">
              <w:rPr>
                <w:i/>
                <w:color w:val="000000"/>
                <w:sz w:val="22"/>
                <w:szCs w:val="22"/>
              </w:rPr>
              <w:t>B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1</w:t>
            </w:r>
          </w:p>
        </w:tc>
        <w:tc>
          <w:tcPr>
            <w:tcW w:w="1984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120 (1500-1619)</w:t>
            </w:r>
          </w:p>
        </w:tc>
        <w:tc>
          <w:tcPr>
            <w:tcW w:w="953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NM_001142936.1 </w:t>
            </w:r>
            <w:r w:rsidRPr="00FE703A">
              <w:rPr>
                <w:i/>
                <w:color w:val="000000"/>
                <w:sz w:val="22"/>
                <w:szCs w:val="22"/>
              </w:rPr>
              <w:t>DAGL</w:t>
            </w:r>
            <w:r w:rsidR="004960FD" w:rsidRPr="00FE703A">
              <w:rPr>
                <w:i/>
                <w:color w:val="000000"/>
                <w:sz w:val="22"/>
                <w:szCs w:val="22"/>
              </w:rPr>
              <w:t>B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120 (1171-1290)</w:t>
            </w:r>
          </w:p>
        </w:tc>
        <w:tc>
          <w:tcPr>
            <w:tcW w:w="953" w:type="dxa"/>
          </w:tcPr>
          <w:p w:rsidR="009438CD" w:rsidRPr="00FE703A" w:rsidRDefault="00FC353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5E7B96" w:rsidP="00B9386A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FAAH</w:t>
            </w:r>
          </w:p>
        </w:tc>
        <w:tc>
          <w:tcPr>
            <w:tcW w:w="1147" w:type="dxa"/>
          </w:tcPr>
          <w:p w:rsidR="009438CD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101.5</w:t>
            </w:r>
          </w:p>
        </w:tc>
        <w:tc>
          <w:tcPr>
            <w:tcW w:w="4665" w:type="dxa"/>
          </w:tcPr>
          <w:p w:rsidR="009438CD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NM_001441.3 </w:t>
            </w:r>
            <w:r w:rsidRPr="00FE703A">
              <w:rPr>
                <w:i/>
                <w:color w:val="000000"/>
                <w:sz w:val="22"/>
                <w:szCs w:val="22"/>
              </w:rPr>
              <w:t>FAAH</w:t>
            </w:r>
          </w:p>
        </w:tc>
        <w:tc>
          <w:tcPr>
            <w:tcW w:w="1984" w:type="dxa"/>
          </w:tcPr>
          <w:p w:rsidR="009438CD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125 (1104-1228)</w:t>
            </w:r>
          </w:p>
        </w:tc>
        <w:tc>
          <w:tcPr>
            <w:tcW w:w="953" w:type="dxa"/>
          </w:tcPr>
          <w:p w:rsidR="009438CD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5E7B96" w:rsidRPr="00FE703A" w:rsidRDefault="005E7B96" w:rsidP="005E7B96">
            <w:pPr>
              <w:rPr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MGLL</w:t>
            </w:r>
            <w:r w:rsidRPr="00FE703A">
              <w:rPr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1147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665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NM_007283.6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MGLL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89 (1366-1454)</w:t>
            </w:r>
          </w:p>
        </w:tc>
        <w:tc>
          <w:tcPr>
            <w:tcW w:w="953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5E7B96" w:rsidRPr="00FE703A" w:rsidRDefault="005E7B96" w:rsidP="005E7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NM_001003794.2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MGLL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89 (959-1047)</w:t>
            </w:r>
          </w:p>
        </w:tc>
        <w:tc>
          <w:tcPr>
            <w:tcW w:w="953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5E7B96" w:rsidRPr="00FE703A" w:rsidRDefault="005E7B96" w:rsidP="005E7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NM_001256585.1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MGLL </w:t>
            </w:r>
            <w:r w:rsidRPr="00FE703A">
              <w:rPr>
                <w:color w:val="000000"/>
                <w:sz w:val="22"/>
                <w:szCs w:val="22"/>
              </w:rPr>
              <w:t>transcript variant 3</w:t>
            </w:r>
          </w:p>
        </w:tc>
        <w:tc>
          <w:tcPr>
            <w:tcW w:w="1984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89 (1276-1364)</w:t>
            </w:r>
          </w:p>
        </w:tc>
        <w:tc>
          <w:tcPr>
            <w:tcW w:w="953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9438CD" w:rsidRPr="00FE703A" w:rsidRDefault="009438CD" w:rsidP="00B9386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9438CD" w:rsidRPr="00FE703A" w:rsidRDefault="009438CD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5E7B96" w:rsidRPr="00FE703A" w:rsidRDefault="005E7B96" w:rsidP="005E7B96">
            <w:pPr>
              <w:rPr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MGLL</w:t>
            </w:r>
            <w:r w:rsidRPr="00FE703A">
              <w:rPr>
                <w:color w:val="000000"/>
                <w:sz w:val="22"/>
                <w:szCs w:val="22"/>
              </w:rPr>
              <w:t xml:space="preserve"> (2)</w:t>
            </w:r>
          </w:p>
        </w:tc>
        <w:tc>
          <w:tcPr>
            <w:tcW w:w="1147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104.7</w:t>
            </w:r>
          </w:p>
        </w:tc>
        <w:tc>
          <w:tcPr>
            <w:tcW w:w="4665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NM_007283.6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MGLL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113 (567-679)</w:t>
            </w:r>
          </w:p>
        </w:tc>
        <w:tc>
          <w:tcPr>
            <w:tcW w:w="953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5E7B96" w:rsidRPr="00FE703A" w:rsidRDefault="005E7B96" w:rsidP="005E7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NM_001003794.2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MGLL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  <w:r w:rsidR="004960FD" w:rsidRPr="00FE703A">
              <w:rPr>
                <w:color w:val="000000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84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113 (160-272)</w:t>
            </w:r>
          </w:p>
        </w:tc>
        <w:tc>
          <w:tcPr>
            <w:tcW w:w="953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5E7B96" w:rsidRPr="00FE703A" w:rsidTr="008F0361">
        <w:tc>
          <w:tcPr>
            <w:tcW w:w="1271" w:type="dxa"/>
          </w:tcPr>
          <w:p w:rsidR="005E7B96" w:rsidRPr="00FE703A" w:rsidRDefault="005E7B96" w:rsidP="005E7B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NM_001256585.1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MGLL </w:t>
            </w:r>
            <w:r w:rsidRPr="00FE703A">
              <w:rPr>
                <w:color w:val="000000"/>
                <w:sz w:val="22"/>
                <w:szCs w:val="22"/>
              </w:rPr>
              <w:t>transcript variant 3</w:t>
            </w:r>
          </w:p>
        </w:tc>
        <w:tc>
          <w:tcPr>
            <w:tcW w:w="1984" w:type="dxa"/>
          </w:tcPr>
          <w:p w:rsidR="005E7B96" w:rsidRPr="00FE703A" w:rsidRDefault="005E7B96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113 (567-679)</w:t>
            </w:r>
          </w:p>
        </w:tc>
        <w:tc>
          <w:tcPr>
            <w:tcW w:w="953" w:type="dxa"/>
          </w:tcPr>
          <w:p w:rsidR="005E7B96" w:rsidRPr="00FE703A" w:rsidRDefault="001B3070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</w:tbl>
    <w:p w:rsidR="008C74BF" w:rsidRPr="00FE703A" w:rsidRDefault="008C74BF" w:rsidP="00784F4E">
      <w:pPr>
        <w:spacing w:line="276" w:lineRule="auto"/>
        <w:rPr>
          <w:color w:val="000000"/>
        </w:rPr>
      </w:pPr>
    </w:p>
    <w:p w:rsidR="00784F4E" w:rsidRPr="00FE703A" w:rsidRDefault="00784F4E" w:rsidP="00784F4E">
      <w:pPr>
        <w:spacing w:line="480" w:lineRule="auto"/>
        <w:jc w:val="right"/>
        <w:rPr>
          <w:color w:val="000000"/>
        </w:rPr>
      </w:pPr>
      <w:r w:rsidRPr="00FE703A">
        <w:rPr>
          <w:color w:val="000000"/>
        </w:rPr>
        <w:t>Table continues overpage</w:t>
      </w:r>
    </w:p>
    <w:p w:rsidR="00784F4E" w:rsidRPr="00FE703A" w:rsidRDefault="00784F4E" w:rsidP="000E604D">
      <w:pPr>
        <w:spacing w:line="480" w:lineRule="auto"/>
        <w:rPr>
          <w:color w:val="000000"/>
        </w:rPr>
      </w:pPr>
      <w:r w:rsidRPr="00FE703A">
        <w:rPr>
          <w:color w:val="000000"/>
        </w:rPr>
        <w:lastRenderedPageBreak/>
        <w:t>Supplementary Table S1 (cont.)</w:t>
      </w:r>
    </w:p>
    <w:tbl>
      <w:tblPr>
        <w:tblStyle w:val="Tabellrutnt"/>
        <w:tblW w:w="100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147"/>
        <w:gridCol w:w="4650"/>
        <w:gridCol w:w="1978"/>
        <w:gridCol w:w="974"/>
      </w:tblGrid>
      <w:tr w:rsidR="00FE703A" w:rsidRPr="00FE703A" w:rsidTr="008F0361">
        <w:tc>
          <w:tcPr>
            <w:tcW w:w="1271" w:type="dxa"/>
            <w:tcBorders>
              <w:bottom w:val="nil"/>
            </w:tcBorders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bottom w:val="nil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bottom w:val="nil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Gene primers for</w:t>
            </w:r>
          </w:p>
        </w:tc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Efficiency</w:t>
            </w:r>
          </w:p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(%)</w:t>
            </w:r>
            <w:r w:rsidR="008F0361" w:rsidRPr="00FE703A">
              <w:rPr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4665" w:type="dxa"/>
            <w:tcBorders>
              <w:top w:val="nil"/>
              <w:bottom w:val="single" w:sz="4" w:space="0" w:color="auto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Target sequence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Product length (bp)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4960FD" w:rsidRPr="00FE703A" w:rsidRDefault="004960FD" w:rsidP="004960FD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Intron skipping</w:t>
            </w:r>
          </w:p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  <w:tcBorders>
              <w:top w:val="single" w:sz="4" w:space="0" w:color="auto"/>
            </w:tcBorders>
          </w:tcPr>
          <w:p w:rsidR="00A722E9" w:rsidRPr="00FE703A" w:rsidRDefault="00A722E9" w:rsidP="00A722E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</w:tcBorders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A722E9" w:rsidRPr="00FE703A" w:rsidRDefault="00A722E9" w:rsidP="00A722E9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NAAA</w:t>
            </w:r>
          </w:p>
        </w:tc>
        <w:tc>
          <w:tcPr>
            <w:tcW w:w="1147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99.2</w:t>
            </w:r>
          </w:p>
        </w:tc>
        <w:tc>
          <w:tcPr>
            <w:tcW w:w="4665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NM_014435.4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NAAA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121 (897-1017)</w:t>
            </w:r>
          </w:p>
        </w:tc>
        <w:tc>
          <w:tcPr>
            <w:tcW w:w="953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A722E9" w:rsidRPr="00FE703A" w:rsidRDefault="00A722E9" w:rsidP="00A722E9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NM_001042402.1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NAAA </w:t>
            </w:r>
            <w:r w:rsidRPr="00FE703A">
              <w:rPr>
                <w:color w:val="000000"/>
                <w:sz w:val="22"/>
                <w:szCs w:val="22"/>
              </w:rPr>
              <w:t>transcript variant</w:t>
            </w:r>
            <w:r w:rsidR="00EC72A1" w:rsidRPr="00FE703A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984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121 (897-1017)</w:t>
            </w:r>
          </w:p>
        </w:tc>
        <w:tc>
          <w:tcPr>
            <w:tcW w:w="953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A722E9" w:rsidRPr="00FE703A" w:rsidRDefault="00A722E9" w:rsidP="00A72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NM_001363719.1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NAAA </w:t>
            </w:r>
            <w:r w:rsidRPr="00FE703A">
              <w:rPr>
                <w:color w:val="000000"/>
                <w:sz w:val="22"/>
                <w:szCs w:val="22"/>
              </w:rPr>
              <w:t>transcript variant</w:t>
            </w:r>
            <w:r w:rsidR="00EC72A1" w:rsidRPr="00FE703A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984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121 (897-1017)</w:t>
            </w:r>
          </w:p>
        </w:tc>
        <w:tc>
          <w:tcPr>
            <w:tcW w:w="953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A722E9" w:rsidRPr="00FE703A" w:rsidRDefault="00A722E9" w:rsidP="00A722E9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NAPEPLD</w:t>
            </w:r>
          </w:p>
        </w:tc>
        <w:tc>
          <w:tcPr>
            <w:tcW w:w="1147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4665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NM_001122838.1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NAPEPLD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138 (1181-1318)</w:t>
            </w:r>
          </w:p>
        </w:tc>
        <w:tc>
          <w:tcPr>
            <w:tcW w:w="953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A722E9" w:rsidRPr="00FE703A" w:rsidRDefault="00A722E9" w:rsidP="00A72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NM_198990.4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NAPEPLD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138 (1181-1318)</w:t>
            </w:r>
          </w:p>
        </w:tc>
        <w:tc>
          <w:tcPr>
            <w:tcW w:w="953" w:type="dxa"/>
          </w:tcPr>
          <w:p w:rsidR="00A722E9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A722E9" w:rsidP="00E25965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PLA2G4E</w:t>
            </w:r>
          </w:p>
        </w:tc>
        <w:tc>
          <w:tcPr>
            <w:tcW w:w="1147" w:type="dxa"/>
          </w:tcPr>
          <w:p w:rsidR="00784F4E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665" w:type="dxa"/>
          </w:tcPr>
          <w:p w:rsidR="00784F4E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NM_001206670.1 </w:t>
            </w:r>
            <w:r w:rsidRPr="00FE703A">
              <w:rPr>
                <w:i/>
                <w:color w:val="000000"/>
                <w:sz w:val="22"/>
                <w:szCs w:val="22"/>
              </w:rPr>
              <w:t>PLA2G4E</w:t>
            </w:r>
          </w:p>
        </w:tc>
        <w:tc>
          <w:tcPr>
            <w:tcW w:w="1984" w:type="dxa"/>
          </w:tcPr>
          <w:p w:rsidR="00784F4E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118 (1926-2043)</w:t>
            </w:r>
          </w:p>
        </w:tc>
        <w:tc>
          <w:tcPr>
            <w:tcW w:w="953" w:type="dxa"/>
          </w:tcPr>
          <w:p w:rsidR="00784F4E" w:rsidRPr="00FE703A" w:rsidRDefault="00A722E9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E25965" w:rsidP="00E25965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PTGS2</w:t>
            </w:r>
          </w:p>
        </w:tc>
        <w:tc>
          <w:tcPr>
            <w:tcW w:w="1147" w:type="dxa"/>
          </w:tcPr>
          <w:p w:rsidR="00784F4E" w:rsidRPr="00FE703A" w:rsidRDefault="00E25965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92.6</w:t>
            </w:r>
          </w:p>
        </w:tc>
        <w:tc>
          <w:tcPr>
            <w:tcW w:w="4665" w:type="dxa"/>
          </w:tcPr>
          <w:p w:rsidR="00784F4E" w:rsidRPr="00FE703A" w:rsidRDefault="00E25965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NM_000963.4 </w:t>
            </w:r>
            <w:r w:rsidRPr="00FE703A">
              <w:rPr>
                <w:i/>
                <w:color w:val="000000"/>
                <w:sz w:val="22"/>
                <w:szCs w:val="22"/>
              </w:rPr>
              <w:t>PTGS2</w:t>
            </w:r>
          </w:p>
        </w:tc>
        <w:tc>
          <w:tcPr>
            <w:tcW w:w="1984" w:type="dxa"/>
          </w:tcPr>
          <w:p w:rsidR="00784F4E" w:rsidRPr="00FE703A" w:rsidRDefault="00E25965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164 (1454-1617)</w:t>
            </w:r>
          </w:p>
        </w:tc>
        <w:tc>
          <w:tcPr>
            <w:tcW w:w="953" w:type="dxa"/>
          </w:tcPr>
          <w:p w:rsidR="00784F4E" w:rsidRPr="00FE703A" w:rsidRDefault="00E25965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E25965" w:rsidP="00E25965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RPL13</w:t>
            </w:r>
          </w:p>
        </w:tc>
        <w:tc>
          <w:tcPr>
            <w:tcW w:w="1147" w:type="dxa"/>
          </w:tcPr>
          <w:p w:rsidR="00784F4E" w:rsidRPr="00FE703A" w:rsidRDefault="00E25965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96.8</w:t>
            </w:r>
          </w:p>
        </w:tc>
        <w:tc>
          <w:tcPr>
            <w:tcW w:w="4665" w:type="dxa"/>
          </w:tcPr>
          <w:p w:rsidR="00784F4E" w:rsidRPr="00FE703A" w:rsidRDefault="00E25965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NM_012423.4 </w:t>
            </w:r>
            <w:r w:rsidR="005D0161" w:rsidRPr="00FE703A">
              <w:rPr>
                <w:i/>
                <w:color w:val="000000"/>
                <w:sz w:val="22"/>
                <w:szCs w:val="22"/>
              </w:rPr>
              <w:t>RPL13A</w:t>
            </w:r>
            <w:r w:rsidR="005D0161" w:rsidRPr="00FE703A">
              <w:rPr>
                <w:color w:val="000000"/>
                <w:sz w:val="22"/>
                <w:szCs w:val="22"/>
              </w:rPr>
              <w:t xml:space="preserve"> transcript variant 1</w:t>
            </w:r>
          </w:p>
        </w:tc>
        <w:tc>
          <w:tcPr>
            <w:tcW w:w="1984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157 (749-905)</w:t>
            </w:r>
          </w:p>
        </w:tc>
        <w:tc>
          <w:tcPr>
            <w:tcW w:w="953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NM_001270491.1 </w:t>
            </w:r>
            <w:r w:rsidRPr="00FE703A">
              <w:rPr>
                <w:i/>
                <w:color w:val="000000"/>
                <w:sz w:val="22"/>
                <w:szCs w:val="22"/>
              </w:rPr>
              <w:t>RPL13A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2</w:t>
            </w:r>
          </w:p>
        </w:tc>
        <w:tc>
          <w:tcPr>
            <w:tcW w:w="1984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157 (727-883)</w:t>
            </w:r>
          </w:p>
        </w:tc>
        <w:tc>
          <w:tcPr>
            <w:tcW w:w="953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NM_020807.2 zinc finger protein 319 </w:t>
            </w:r>
            <w:r w:rsidRPr="00FE703A">
              <w:rPr>
                <w:i/>
                <w:color w:val="000000"/>
                <w:sz w:val="22"/>
                <w:szCs w:val="22"/>
              </w:rPr>
              <w:t>(ZNF319)</w:t>
            </w:r>
            <w:r w:rsidR="004960FD" w:rsidRPr="00FE703A">
              <w:rPr>
                <w:i/>
                <w:color w:val="00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984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557 (3240-3796)</w:t>
            </w:r>
          </w:p>
        </w:tc>
        <w:tc>
          <w:tcPr>
            <w:tcW w:w="953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No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5D0161" w:rsidP="00E25965">
            <w:pPr>
              <w:rPr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RPL19</w:t>
            </w:r>
          </w:p>
        </w:tc>
        <w:tc>
          <w:tcPr>
            <w:tcW w:w="1147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102.7</w:t>
            </w:r>
          </w:p>
        </w:tc>
        <w:tc>
          <w:tcPr>
            <w:tcW w:w="4665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NM_000981.4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RPL19 </w:t>
            </w:r>
            <w:r w:rsidRPr="00FE703A">
              <w:rPr>
                <w:color w:val="000000"/>
                <w:sz w:val="22"/>
                <w:szCs w:val="22"/>
              </w:rPr>
              <w:t>transcript variant 1</w:t>
            </w:r>
          </w:p>
        </w:tc>
        <w:tc>
          <w:tcPr>
            <w:tcW w:w="1984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93 (483-575)</w:t>
            </w:r>
          </w:p>
        </w:tc>
        <w:tc>
          <w:tcPr>
            <w:tcW w:w="953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NM_001330200.1 </w:t>
            </w:r>
            <w:r w:rsidRPr="00FE703A">
              <w:rPr>
                <w:i/>
                <w:color w:val="000000"/>
                <w:sz w:val="22"/>
                <w:szCs w:val="22"/>
              </w:rPr>
              <w:t xml:space="preserve">RPL19 </w:t>
            </w:r>
            <w:r w:rsidRPr="00FE703A">
              <w:rPr>
                <w:color w:val="000000"/>
                <w:sz w:val="22"/>
                <w:szCs w:val="22"/>
              </w:rPr>
              <w:t>transcript variant 2</w:t>
            </w:r>
          </w:p>
        </w:tc>
        <w:tc>
          <w:tcPr>
            <w:tcW w:w="1984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93 (837-929)</w:t>
            </w:r>
          </w:p>
        </w:tc>
        <w:tc>
          <w:tcPr>
            <w:tcW w:w="953" w:type="dxa"/>
          </w:tcPr>
          <w:p w:rsidR="00784F4E" w:rsidRPr="00FE703A" w:rsidRDefault="005D01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023D3" w:rsidP="00E25965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RPS12</w:t>
            </w:r>
          </w:p>
        </w:tc>
        <w:tc>
          <w:tcPr>
            <w:tcW w:w="1147" w:type="dxa"/>
          </w:tcPr>
          <w:p w:rsidR="00784F4E" w:rsidRPr="00FE703A" w:rsidRDefault="007023D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665" w:type="dxa"/>
          </w:tcPr>
          <w:p w:rsidR="00784F4E" w:rsidRPr="00FE703A" w:rsidRDefault="007023D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NM_001016.4 </w:t>
            </w:r>
            <w:r w:rsidRPr="00FE703A">
              <w:rPr>
                <w:i/>
                <w:color w:val="000000"/>
                <w:sz w:val="22"/>
                <w:szCs w:val="22"/>
              </w:rPr>
              <w:t>RPS12</w:t>
            </w:r>
          </w:p>
        </w:tc>
        <w:tc>
          <w:tcPr>
            <w:tcW w:w="1984" w:type="dxa"/>
          </w:tcPr>
          <w:p w:rsidR="00784F4E" w:rsidRPr="00FE703A" w:rsidRDefault="007023D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164 (231-394)</w:t>
            </w:r>
          </w:p>
        </w:tc>
        <w:tc>
          <w:tcPr>
            <w:tcW w:w="953" w:type="dxa"/>
          </w:tcPr>
          <w:p w:rsidR="00784F4E" w:rsidRPr="00FE703A" w:rsidRDefault="007023D3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E703A" w:rsidRPr="00FE703A" w:rsidTr="008F0361">
        <w:tc>
          <w:tcPr>
            <w:tcW w:w="1271" w:type="dxa"/>
          </w:tcPr>
          <w:p w:rsidR="008F0361" w:rsidRPr="00FE703A" w:rsidRDefault="008F0361" w:rsidP="008F0361">
            <w:pPr>
              <w:rPr>
                <w:i/>
                <w:color w:val="000000"/>
                <w:sz w:val="22"/>
                <w:szCs w:val="22"/>
              </w:rPr>
            </w:pPr>
            <w:r w:rsidRPr="00FE703A">
              <w:rPr>
                <w:i/>
                <w:color w:val="000000"/>
                <w:sz w:val="22"/>
                <w:szCs w:val="22"/>
              </w:rPr>
              <w:t>TRPV1</w:t>
            </w:r>
          </w:p>
        </w:tc>
        <w:tc>
          <w:tcPr>
            <w:tcW w:w="1147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90.3</w:t>
            </w:r>
          </w:p>
        </w:tc>
        <w:tc>
          <w:tcPr>
            <w:tcW w:w="4665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NM_080704.3 </w:t>
            </w:r>
            <w:r w:rsidRPr="00FE703A">
              <w:rPr>
                <w:i/>
                <w:color w:val="000000"/>
                <w:sz w:val="22"/>
                <w:szCs w:val="22"/>
              </w:rPr>
              <w:t>TRPV1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1</w:t>
            </w:r>
          </w:p>
        </w:tc>
        <w:tc>
          <w:tcPr>
            <w:tcW w:w="1984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137 (1870-2006)</w:t>
            </w:r>
          </w:p>
        </w:tc>
        <w:tc>
          <w:tcPr>
            <w:tcW w:w="953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F0361" w:rsidRPr="00FE703A" w:rsidRDefault="008F0361" w:rsidP="008F0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NM_018727.5 </w:t>
            </w:r>
            <w:r w:rsidRPr="00FE703A">
              <w:rPr>
                <w:i/>
                <w:color w:val="000000"/>
                <w:sz w:val="22"/>
                <w:szCs w:val="22"/>
              </w:rPr>
              <w:t>TRPV1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2</w:t>
            </w:r>
          </w:p>
        </w:tc>
        <w:tc>
          <w:tcPr>
            <w:tcW w:w="1984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137 (1753-1889)</w:t>
            </w:r>
          </w:p>
        </w:tc>
        <w:tc>
          <w:tcPr>
            <w:tcW w:w="953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F0361" w:rsidRPr="00FE703A" w:rsidRDefault="008F0361" w:rsidP="008F0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NM_080706.3 </w:t>
            </w:r>
            <w:r w:rsidRPr="00FE703A">
              <w:rPr>
                <w:i/>
                <w:color w:val="000000"/>
                <w:sz w:val="22"/>
                <w:szCs w:val="22"/>
              </w:rPr>
              <w:t>TRPV1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3</w:t>
            </w:r>
          </w:p>
        </w:tc>
        <w:tc>
          <w:tcPr>
            <w:tcW w:w="1984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137 (2122-2258)</w:t>
            </w:r>
          </w:p>
        </w:tc>
        <w:tc>
          <w:tcPr>
            <w:tcW w:w="953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FE703A" w:rsidRPr="00FE703A" w:rsidTr="008F0361">
        <w:tc>
          <w:tcPr>
            <w:tcW w:w="1271" w:type="dxa"/>
          </w:tcPr>
          <w:p w:rsidR="008F0361" w:rsidRPr="00FE703A" w:rsidRDefault="008F0361" w:rsidP="008F0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 xml:space="preserve">NM_080705.3 </w:t>
            </w:r>
            <w:r w:rsidRPr="00FE703A">
              <w:rPr>
                <w:i/>
                <w:color w:val="000000"/>
                <w:sz w:val="22"/>
                <w:szCs w:val="22"/>
              </w:rPr>
              <w:t>TRPV1</w:t>
            </w:r>
            <w:r w:rsidRPr="00FE703A">
              <w:rPr>
                <w:color w:val="000000"/>
                <w:sz w:val="22"/>
                <w:szCs w:val="22"/>
              </w:rPr>
              <w:t xml:space="preserve"> transcript variant 4</w:t>
            </w:r>
          </w:p>
        </w:tc>
        <w:tc>
          <w:tcPr>
            <w:tcW w:w="1984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137 (1796-1932)</w:t>
            </w:r>
          </w:p>
        </w:tc>
        <w:tc>
          <w:tcPr>
            <w:tcW w:w="953" w:type="dxa"/>
          </w:tcPr>
          <w:p w:rsidR="008F0361" w:rsidRPr="00FE703A" w:rsidRDefault="008F0361" w:rsidP="008F0361">
            <w:pPr>
              <w:jc w:val="center"/>
              <w:rPr>
                <w:color w:val="000000"/>
                <w:sz w:val="22"/>
                <w:szCs w:val="22"/>
              </w:rPr>
            </w:pPr>
            <w:r w:rsidRPr="00FE703A">
              <w:rPr>
                <w:color w:val="000000"/>
                <w:sz w:val="22"/>
                <w:szCs w:val="22"/>
              </w:rPr>
              <w:t>Yes</w:t>
            </w:r>
          </w:p>
        </w:tc>
      </w:tr>
      <w:tr w:rsidR="00784F4E" w:rsidRPr="00FE703A" w:rsidTr="008F0361">
        <w:tc>
          <w:tcPr>
            <w:tcW w:w="1271" w:type="dxa"/>
          </w:tcPr>
          <w:p w:rsidR="00784F4E" w:rsidRPr="00FE703A" w:rsidRDefault="00784F4E" w:rsidP="00E259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</w:tcPr>
          <w:p w:rsidR="00784F4E" w:rsidRPr="00FE703A" w:rsidRDefault="00784F4E" w:rsidP="008F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4F4E" w:rsidRPr="00FE703A" w:rsidRDefault="00784F4E" w:rsidP="000E604D">
      <w:pPr>
        <w:spacing w:line="480" w:lineRule="auto"/>
        <w:rPr>
          <w:color w:val="000000"/>
        </w:rPr>
      </w:pPr>
    </w:p>
    <w:p w:rsidR="00C810E4" w:rsidRPr="00FE703A" w:rsidRDefault="00FC3533" w:rsidP="008F0361">
      <w:pPr>
        <w:spacing w:line="360" w:lineRule="auto"/>
        <w:rPr>
          <w:color w:val="000000"/>
        </w:rPr>
      </w:pPr>
      <w:r w:rsidRPr="00FE703A">
        <w:rPr>
          <w:color w:val="000000"/>
        </w:rPr>
        <w:t xml:space="preserve">The primer specificities were checked using </w:t>
      </w:r>
      <w:r w:rsidRPr="00FE703A">
        <w:rPr>
          <w:color w:val="000000"/>
          <w:lang w:val="en-US"/>
        </w:rPr>
        <w:t xml:space="preserve">Use Primer-BLAST at </w:t>
      </w:r>
      <w:hyperlink r:id="rId7" w:history="1">
        <w:r w:rsidRPr="00FE703A">
          <w:rPr>
            <w:rStyle w:val="Hyperlnk"/>
            <w:color w:val="000000"/>
            <w:lang w:val="en-US"/>
          </w:rPr>
          <w:t>https://www.ncbi.nlm.nih.gov/tools/primer-blast/</w:t>
        </w:r>
      </w:hyperlink>
      <w:r w:rsidRPr="00FE703A">
        <w:rPr>
          <w:rStyle w:val="Hyperlnk"/>
          <w:color w:val="000000"/>
          <w:lang w:val="en-US"/>
        </w:rPr>
        <w:t>.</w:t>
      </w:r>
      <w:r w:rsidRPr="00FE703A">
        <w:rPr>
          <w:color w:val="000000"/>
          <w:lang w:val="en-US"/>
        </w:rPr>
        <w:t xml:space="preserve"> </w:t>
      </w:r>
      <w:r w:rsidR="00B9386A" w:rsidRPr="00FE703A">
        <w:rPr>
          <w:color w:val="000000"/>
        </w:rPr>
        <w:t xml:space="preserve">Product length shows the number (and position in </w:t>
      </w:r>
      <w:r w:rsidRPr="00FE703A">
        <w:rPr>
          <w:color w:val="000000"/>
        </w:rPr>
        <w:t>brackets</w:t>
      </w:r>
      <w:r w:rsidR="008E7C91" w:rsidRPr="00FE703A">
        <w:rPr>
          <w:color w:val="000000"/>
        </w:rPr>
        <w:t xml:space="preserve"> of the mRNA nucleotides</w:t>
      </w:r>
      <w:r w:rsidRPr="00FE703A">
        <w:rPr>
          <w:color w:val="000000"/>
        </w:rPr>
        <w:t xml:space="preserve">) of base pairs (bp). For readers not familiar with qPCR and primer design, a detailed example for </w:t>
      </w:r>
      <w:r w:rsidRPr="00FE703A">
        <w:rPr>
          <w:i/>
          <w:color w:val="000000"/>
        </w:rPr>
        <w:t>CNR1</w:t>
      </w:r>
      <w:r w:rsidRPr="00FE703A">
        <w:rPr>
          <w:color w:val="000000"/>
        </w:rPr>
        <w:t xml:space="preserve"> transcript variant 2 is described below. </w:t>
      </w:r>
    </w:p>
    <w:p w:rsidR="008F0361" w:rsidRPr="00FE703A" w:rsidRDefault="008F0361" w:rsidP="008F0361">
      <w:pPr>
        <w:spacing w:line="360" w:lineRule="auto"/>
        <w:rPr>
          <w:color w:val="000000"/>
        </w:rPr>
      </w:pPr>
    </w:p>
    <w:p w:rsidR="008F0361" w:rsidRPr="00FE703A" w:rsidRDefault="008F0361" w:rsidP="008F0361">
      <w:pPr>
        <w:spacing w:line="360" w:lineRule="auto"/>
        <w:jc w:val="both"/>
        <w:rPr>
          <w:color w:val="000000"/>
        </w:rPr>
      </w:pPr>
      <w:r w:rsidRPr="00FE703A">
        <w:rPr>
          <w:color w:val="000000"/>
          <w:vertAlign w:val="superscript"/>
          <w:lang w:val="en-US"/>
        </w:rPr>
        <w:t>a</w:t>
      </w:r>
      <w:r w:rsidRPr="00FE703A">
        <w:rPr>
          <w:color w:val="000000"/>
          <w:lang w:val="en-US"/>
        </w:rPr>
        <w:t xml:space="preserve">Due to the paucity of available biopsy extract material, </w:t>
      </w:r>
      <w:r w:rsidRPr="00FE703A">
        <w:rPr>
          <w:color w:val="000000"/>
        </w:rPr>
        <w:t xml:space="preserve">primer efficiencies were undertaken using human cancer cell lines (DU145 and T84). mRNA was extracted using the Dynabeads® mRNA DIRECT™ Purification Kit. 5 µg of mRNA was used for reverse transcription using the High-Capacity cDNA Reverse Transcription Kit with RNase Inhibitor (Applied Biosystems, Thermo Fisher Scientific). Considering undiluted cDNA as a first point, serial dilutions of cDNA were used to create a standard curve with 5 points. qPCR reactions were run on the Illumina Eco Real Time PCR system (Illumina Inc, San Diego, CA, USA) with an initial denaturation time of 10 minutes at 95˚C and 45 cycles of 10 seconds at 95˚C and 30 seconds at 60˚C. Each dilution was </w:t>
      </w:r>
      <w:r w:rsidRPr="00FE703A">
        <w:rPr>
          <w:color w:val="000000"/>
        </w:rPr>
        <w:lastRenderedPageBreak/>
        <w:t>run in duplicate. The average replicate Ct values were plotted against the logarithm of the dilution. The slope of the resulting line was used to calculate the efficiency as follows:</w:t>
      </w:r>
    </w:p>
    <w:p w:rsidR="008F0361" w:rsidRPr="00FE703A" w:rsidRDefault="008F0361" w:rsidP="008F0361">
      <w:pPr>
        <w:spacing w:line="360" w:lineRule="auto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Efficiency (%)=(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</w:rPr>
                        <m:t>slope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color w:val="000000"/>
                </w:rPr>
                <m:t>-1)x100</m:t>
              </m:r>
            </m:e>
            <m:sub/>
            <m:sup/>
          </m:sSubSup>
        </m:oMath>
      </m:oMathPara>
    </w:p>
    <w:p w:rsidR="008F0361" w:rsidRPr="00FE703A" w:rsidRDefault="008F0361" w:rsidP="008F0361">
      <w:pPr>
        <w:spacing w:line="360" w:lineRule="auto"/>
        <w:jc w:val="both"/>
        <w:rPr>
          <w:color w:val="000000"/>
        </w:rPr>
      </w:pPr>
      <w:r w:rsidRPr="00FE703A">
        <w:rPr>
          <w:color w:val="000000"/>
        </w:rPr>
        <w:t>Efficiencies were considered satisfactory when values were between 90 and 110%.</w:t>
      </w:r>
    </w:p>
    <w:p w:rsidR="008F0361" w:rsidRPr="00FE703A" w:rsidRDefault="008F0361" w:rsidP="008F0361">
      <w:pPr>
        <w:spacing w:line="360" w:lineRule="auto"/>
        <w:rPr>
          <w:color w:val="000000"/>
        </w:rPr>
      </w:pPr>
      <w:r w:rsidRPr="00FE703A">
        <w:rPr>
          <w:color w:val="000000"/>
        </w:rPr>
        <w:t xml:space="preserve">Note that expression of </w:t>
      </w:r>
      <w:r w:rsidRPr="00FE703A">
        <w:rPr>
          <w:i/>
          <w:color w:val="000000"/>
        </w:rPr>
        <w:t>CNR1</w:t>
      </w:r>
      <w:r w:rsidRPr="00FE703A">
        <w:rPr>
          <w:color w:val="000000"/>
        </w:rPr>
        <w:t xml:space="preserve"> and </w:t>
      </w:r>
      <w:r w:rsidRPr="00FE703A">
        <w:rPr>
          <w:i/>
          <w:color w:val="000000"/>
        </w:rPr>
        <w:t>CNR2</w:t>
      </w:r>
      <w:r w:rsidRPr="00FE703A">
        <w:rPr>
          <w:color w:val="000000"/>
        </w:rPr>
        <w:t xml:space="preserve"> in these cell lines was insufficient for reliable efficiency data to be obtained</w:t>
      </w:r>
    </w:p>
    <w:p w:rsidR="008F0361" w:rsidRPr="00FE703A" w:rsidRDefault="008F0361" w:rsidP="008F0361">
      <w:pPr>
        <w:spacing w:line="360" w:lineRule="auto"/>
        <w:rPr>
          <w:color w:val="000000"/>
          <w:lang w:val="en-US"/>
        </w:rPr>
      </w:pPr>
    </w:p>
    <w:p w:rsidR="008C74BF" w:rsidRPr="00FE703A" w:rsidRDefault="008F0361" w:rsidP="008F0361">
      <w:pPr>
        <w:spacing w:line="360" w:lineRule="auto"/>
        <w:rPr>
          <w:color w:val="000000"/>
        </w:rPr>
      </w:pPr>
      <w:r w:rsidRPr="00FE703A">
        <w:rPr>
          <w:color w:val="000000"/>
          <w:vertAlign w:val="superscript"/>
        </w:rPr>
        <w:t>b</w:t>
      </w:r>
      <w:r w:rsidR="00C810E4" w:rsidRPr="00FE703A">
        <w:rPr>
          <w:color w:val="000000"/>
        </w:rPr>
        <w:t xml:space="preserve">All variants except the transcript variant 2 encode isoform a. The variant 2 lacks a segment near the 5’-end of the coding region. In general the </w:t>
      </w:r>
      <w:r w:rsidR="00C810E4" w:rsidRPr="00FE703A">
        <w:rPr>
          <w:i/>
          <w:color w:val="000000"/>
        </w:rPr>
        <w:t>CNR1</w:t>
      </w:r>
      <w:r w:rsidR="00C810E4" w:rsidRPr="00FE703A">
        <w:rPr>
          <w:color w:val="000000"/>
        </w:rPr>
        <w:t xml:space="preserve"> variants have a few small exon regions at the 5’- end followed by a very large exon. Thus, for example, </w:t>
      </w:r>
      <w:r w:rsidR="00C810E4" w:rsidRPr="00FE703A">
        <w:rPr>
          <w:i/>
          <w:color w:val="000000"/>
        </w:rPr>
        <w:t>CNR1</w:t>
      </w:r>
      <w:r w:rsidR="00C810E4" w:rsidRPr="00FE703A">
        <w:rPr>
          <w:color w:val="000000"/>
        </w:rPr>
        <w:t xml:space="preserve"> transcript variant 7 has exons at bp 1-194, 195-385 and 386-5859 (</w:t>
      </w:r>
      <w:hyperlink r:id="rId8" w:history="1">
        <w:r w:rsidR="00C810E4" w:rsidRPr="00FE703A">
          <w:rPr>
            <w:rStyle w:val="Hyperlnk"/>
            <w:color w:val="000000"/>
          </w:rPr>
          <w:t>https://www.ncbi.nlm.nih.gov/nucleotide/1476411805</w:t>
        </w:r>
      </w:hyperlink>
      <w:r w:rsidR="00C810E4" w:rsidRPr="00FE703A">
        <w:rPr>
          <w:color w:val="000000"/>
        </w:rPr>
        <w:t xml:space="preserve">). This rendered impossible the design of a primer pair both crossing exons, and recognising all the transcript variants. The only </w:t>
      </w:r>
      <w:r w:rsidR="00CC61E9" w:rsidRPr="00FE703A">
        <w:rPr>
          <w:color w:val="000000"/>
        </w:rPr>
        <w:t>variant where the primer pair crossed exons was for the CNR1 transcript variant 2, which has exons at bp 1-125 and 126-5375 (</w:t>
      </w:r>
      <w:hyperlink r:id="rId9" w:history="1">
        <w:r w:rsidR="00CC61E9" w:rsidRPr="00FE703A">
          <w:rPr>
            <w:rStyle w:val="Hyperlnk"/>
            <w:color w:val="000000"/>
          </w:rPr>
          <w:t>https://www.ncbi.nlm.nih.gov/nucleotide/1476411820</w:t>
        </w:r>
      </w:hyperlink>
      <w:r w:rsidR="00CC61E9" w:rsidRPr="00FE703A">
        <w:rPr>
          <w:color w:val="000000"/>
        </w:rPr>
        <w:t xml:space="preserve"> ). Thus, the forwar</w:t>
      </w:r>
      <w:r w:rsidR="00CA57E2" w:rsidRPr="00FE703A">
        <w:rPr>
          <w:color w:val="000000"/>
        </w:rPr>
        <w:t>d</w:t>
      </w:r>
      <w:r w:rsidR="00CC61E9" w:rsidRPr="00FE703A">
        <w:rPr>
          <w:color w:val="000000"/>
        </w:rPr>
        <w:t xml:space="preserve"> primer, which binds to bp sequence 96-116 and the reverse primer which  binds to bp sequence 162-139 give a product length of 67 bp from 96-162, hence both exons.</w:t>
      </w:r>
    </w:p>
    <w:p w:rsidR="008C74BF" w:rsidRPr="00FE703A" w:rsidRDefault="008C74BF" w:rsidP="000E604D">
      <w:pPr>
        <w:spacing w:line="480" w:lineRule="auto"/>
        <w:rPr>
          <w:color w:val="000000"/>
        </w:rPr>
      </w:pPr>
    </w:p>
    <w:p w:rsidR="004960FD" w:rsidRPr="00FE703A" w:rsidRDefault="004960FD" w:rsidP="004960FD">
      <w:pPr>
        <w:spacing w:line="360" w:lineRule="auto"/>
        <w:rPr>
          <w:color w:val="000000"/>
        </w:rPr>
      </w:pPr>
      <w:r w:rsidRPr="00FE703A">
        <w:rPr>
          <w:color w:val="000000"/>
          <w:vertAlign w:val="superscript"/>
        </w:rPr>
        <w:t>c</w:t>
      </w:r>
      <w:r w:rsidRPr="00FE703A">
        <w:rPr>
          <w:color w:val="000000"/>
        </w:rPr>
        <w:t>Primer blast is inconsistent: in a previous search</w:t>
      </w:r>
      <w:r w:rsidR="00106848" w:rsidRPr="00FE703A">
        <w:rPr>
          <w:color w:val="000000"/>
        </w:rPr>
        <w:t xml:space="preserve"> from 2018</w:t>
      </w:r>
      <w:r w:rsidRPr="00FE703A">
        <w:rPr>
          <w:color w:val="000000"/>
        </w:rPr>
        <w:t xml:space="preserve"> (1), this transcript was not returned. Here it is </w:t>
      </w:r>
      <w:r w:rsidR="00C3719E" w:rsidRPr="00FE703A">
        <w:rPr>
          <w:color w:val="000000"/>
        </w:rPr>
        <w:t>returned</w:t>
      </w:r>
      <w:r w:rsidRPr="00FE703A">
        <w:rPr>
          <w:color w:val="000000"/>
        </w:rPr>
        <w:t>, albeit with mismatches.</w:t>
      </w:r>
    </w:p>
    <w:p w:rsidR="004960FD" w:rsidRPr="00FE703A" w:rsidRDefault="004960FD" w:rsidP="004960FD">
      <w:pPr>
        <w:spacing w:line="360" w:lineRule="auto"/>
        <w:rPr>
          <w:color w:val="000000"/>
        </w:rPr>
      </w:pPr>
    </w:p>
    <w:p w:rsidR="004960FD" w:rsidRPr="00FE703A" w:rsidRDefault="004960FD" w:rsidP="004960FD">
      <w:pPr>
        <w:spacing w:line="360" w:lineRule="auto"/>
        <w:rPr>
          <w:color w:val="000000"/>
        </w:rPr>
      </w:pPr>
      <w:r w:rsidRPr="00FE703A">
        <w:rPr>
          <w:color w:val="000000"/>
          <w:vertAlign w:val="superscript"/>
        </w:rPr>
        <w:t>d</w:t>
      </w:r>
      <w:r w:rsidRPr="00FE703A">
        <w:rPr>
          <w:color w:val="000000"/>
        </w:rPr>
        <w:t>This target has been included since the product length was &lt;700 bp, but there are mismatches and it was not ampified as adjudged by the melt curves.</w:t>
      </w:r>
    </w:p>
    <w:p w:rsidR="004960FD" w:rsidRPr="00FE703A" w:rsidRDefault="004960FD" w:rsidP="004960FD">
      <w:pPr>
        <w:spacing w:line="360" w:lineRule="auto"/>
        <w:rPr>
          <w:color w:val="000000"/>
        </w:rPr>
      </w:pPr>
    </w:p>
    <w:p w:rsidR="00C810E4" w:rsidRPr="00FE703A" w:rsidRDefault="00C810E4">
      <w:pPr>
        <w:rPr>
          <w:b/>
          <w:color w:val="000000"/>
        </w:rPr>
      </w:pPr>
      <w:r w:rsidRPr="00FE703A">
        <w:rPr>
          <w:b/>
          <w:color w:val="000000"/>
        </w:rPr>
        <w:br w:type="page"/>
      </w:r>
    </w:p>
    <w:p w:rsidR="000E604D" w:rsidRPr="00FE703A" w:rsidRDefault="000E604D" w:rsidP="000E604D">
      <w:pPr>
        <w:spacing w:line="480" w:lineRule="auto"/>
        <w:rPr>
          <w:color w:val="000000"/>
        </w:rPr>
      </w:pPr>
      <w:r w:rsidRPr="00FE703A">
        <w:rPr>
          <w:b/>
          <w:color w:val="000000"/>
        </w:rPr>
        <w:lastRenderedPageBreak/>
        <w:t>Supplementary Table S</w:t>
      </w:r>
      <w:r w:rsidR="009D5C49" w:rsidRPr="00FE703A">
        <w:rPr>
          <w:b/>
          <w:color w:val="000000"/>
        </w:rPr>
        <w:t>2</w:t>
      </w:r>
      <w:r w:rsidRPr="00FE703A">
        <w:rPr>
          <w:color w:val="000000"/>
        </w:rPr>
        <w:t xml:space="preserve">. </w:t>
      </w:r>
      <w:r w:rsidR="0034212E" w:rsidRPr="00FE703A">
        <w:rPr>
          <w:color w:val="000000"/>
        </w:rPr>
        <w:t>ANOVA</w:t>
      </w:r>
      <w:r w:rsidRPr="00FE703A">
        <w:rPr>
          <w:color w:val="000000"/>
        </w:rPr>
        <w:t xml:space="preserve"> </w:t>
      </w:r>
      <w:r w:rsidR="0034212E" w:rsidRPr="00FE703A">
        <w:rPr>
          <w:color w:val="000000"/>
        </w:rPr>
        <w:t xml:space="preserve">P values </w:t>
      </w:r>
      <w:r w:rsidRPr="00FE703A">
        <w:rPr>
          <w:color w:val="000000"/>
        </w:rPr>
        <w:t>for the matched array data.</w:t>
      </w:r>
    </w:p>
    <w:p w:rsidR="000E604D" w:rsidRPr="00FE703A" w:rsidRDefault="000E604D" w:rsidP="000E604D">
      <w:pPr>
        <w:spacing w:line="480" w:lineRule="auto"/>
        <w:rPr>
          <w:color w:val="000000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12"/>
        <w:gridCol w:w="1300"/>
        <w:gridCol w:w="1300"/>
        <w:gridCol w:w="2385"/>
      </w:tblGrid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rPr>
                <w:color w:val="00000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P values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color w:val="000000"/>
              </w:rPr>
            </w:pPr>
            <w:r w:rsidRPr="00FE703A">
              <w:rPr>
                <w:color w:val="000000"/>
              </w:rPr>
              <w:t>Gene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log</w:t>
            </w:r>
            <w:r w:rsidRPr="00FE703A">
              <w:rPr>
                <w:color w:val="000000"/>
                <w:vertAlign w:val="subscript"/>
              </w:rPr>
              <w:t>2</w:t>
            </w:r>
            <w:r w:rsidRPr="00FE703A">
              <w:rPr>
                <w:color w:val="000000"/>
              </w:rPr>
              <w:t>FC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cohort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diagnosis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cohort x diagnosis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281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color w:val="000000"/>
                <w:sz w:val="20"/>
                <w:szCs w:val="20"/>
              </w:rPr>
            </w:pPr>
            <w:r w:rsidRPr="00FE703A">
              <w:rPr>
                <w:i/>
                <w:color w:val="000000"/>
              </w:rPr>
              <w:t>Synthetic enzymes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PLA2G4E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0.0062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0.98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HRASLS5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0.0068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0.66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0.77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0.44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NAPEPLD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0.55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1.8</w:t>
            </w:r>
            <w:r w:rsidR="00EB58EA" w:rsidRPr="00FE703A">
              <w:rPr>
                <w:color w:val="000000"/>
              </w:rPr>
              <w:t>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6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0.17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DAGLA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-0.55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2.9</w:t>
            </w:r>
            <w:r w:rsidR="00EB58EA" w:rsidRPr="00FE703A">
              <w:rPr>
                <w:color w:val="000000"/>
              </w:rPr>
              <w:t xml:space="preserve"> 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4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0.27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DAGLB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0.092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5.8</w:t>
            </w:r>
            <w:r w:rsidR="00EB58EA" w:rsidRPr="00FE703A">
              <w:rPr>
                <w:color w:val="000000"/>
              </w:rPr>
              <w:t xml:space="preserve"> 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0.30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0.35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2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color w:val="000000"/>
                <w:sz w:val="20"/>
                <w:szCs w:val="20"/>
              </w:rPr>
            </w:pPr>
            <w:r w:rsidRPr="00FE703A">
              <w:rPr>
                <w:i/>
                <w:color w:val="000000"/>
              </w:rPr>
              <w:t>Target receptors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CNR1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0.074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0.065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0.45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CNR2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-0.0035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0.58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0.78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0.96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TRPV1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-0.19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0.0095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0.022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0.11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2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color w:val="000000"/>
                <w:sz w:val="20"/>
                <w:szCs w:val="20"/>
              </w:rPr>
            </w:pPr>
            <w:r w:rsidRPr="00FE703A">
              <w:rPr>
                <w:i/>
                <w:color w:val="000000"/>
              </w:rPr>
              <w:t>Catabolic enzymes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FAAH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0.049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0.20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NAAA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0.0060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4.0</w:t>
            </w:r>
            <w:r w:rsidR="00EB58EA" w:rsidRPr="00FE703A">
              <w:rPr>
                <w:color w:val="000000"/>
              </w:rPr>
              <w:t>x10</w:t>
            </w:r>
            <w:r w:rsidRPr="00FE703A">
              <w:rPr>
                <w:color w:val="000000"/>
                <w:vertAlign w:val="superscript"/>
              </w:rPr>
              <w:t>-11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0.77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MGLL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-0.60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9.3</w:t>
            </w:r>
            <w:r w:rsidR="00EB58EA" w:rsidRPr="00FE703A">
              <w:rPr>
                <w:color w:val="000000"/>
              </w:rPr>
              <w:t>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2.0</w:t>
            </w:r>
            <w:r w:rsidR="00EB58EA" w:rsidRPr="00FE703A">
              <w:rPr>
                <w:color w:val="000000"/>
              </w:rPr>
              <w:t>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4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0.17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ABHD6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-0.17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0.075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0.77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ABHD12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-1.32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7.6</w:t>
            </w:r>
            <w:r w:rsidR="00EB58EA" w:rsidRPr="00FE703A">
              <w:rPr>
                <w:color w:val="000000"/>
              </w:rPr>
              <w:t>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9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0.18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PTGS2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3.75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8.0</w:t>
            </w:r>
            <w:r w:rsidR="00EB58EA" w:rsidRPr="00FE703A">
              <w:rPr>
                <w:color w:val="000000"/>
              </w:rPr>
              <w:t>x10</w:t>
            </w:r>
            <w:r w:rsidRPr="00FE703A">
              <w:rPr>
                <w:color w:val="000000"/>
                <w:vertAlign w:val="superscript"/>
              </w:rPr>
              <w:t>-10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0.53</w:t>
            </w: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281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rPr>
                <w:color w:val="000000"/>
              </w:rPr>
            </w:pPr>
            <w:r w:rsidRPr="00FE703A">
              <w:rPr>
                <w:i/>
                <w:color w:val="000000"/>
              </w:rPr>
              <w:t>Other genes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</w:p>
        </w:tc>
      </w:tr>
      <w:tr w:rsidR="00FE703A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CD36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0.62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0.17</w:t>
            </w:r>
          </w:p>
        </w:tc>
      </w:tr>
      <w:tr w:rsidR="000E604D" w:rsidRPr="00FE703A" w:rsidTr="000E604D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FABP5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2.7</w:t>
            </w:r>
            <w:r w:rsidR="00EB58EA" w:rsidRPr="00FE703A">
              <w:rPr>
                <w:color w:val="000000"/>
              </w:rPr>
              <w:t>x10</w:t>
            </w:r>
            <w:r w:rsidR="00EB58EA" w:rsidRPr="00FE703A">
              <w:rPr>
                <w:color w:val="000000"/>
                <w:vertAlign w:val="superscript"/>
              </w:rPr>
              <w:t>-</w:t>
            </w:r>
            <w:r w:rsidRPr="00FE703A">
              <w:rPr>
                <w:color w:val="000000"/>
                <w:vertAlign w:val="superscript"/>
              </w:rPr>
              <w:t>4</w:t>
            </w:r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0E604D" w:rsidRPr="00FE703A" w:rsidRDefault="000E604D" w:rsidP="000E604D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0.96</w:t>
            </w:r>
          </w:p>
        </w:tc>
      </w:tr>
    </w:tbl>
    <w:p w:rsidR="000E604D" w:rsidRPr="00FE703A" w:rsidRDefault="000E604D" w:rsidP="000E604D">
      <w:pPr>
        <w:spacing w:line="480" w:lineRule="auto"/>
        <w:rPr>
          <w:color w:val="000000"/>
        </w:rPr>
      </w:pPr>
    </w:p>
    <w:p w:rsidR="00FE4AEB" w:rsidRPr="00FE703A" w:rsidRDefault="00AC6414" w:rsidP="000E604D">
      <w:pPr>
        <w:spacing w:line="480" w:lineRule="auto"/>
        <w:rPr>
          <w:color w:val="000000"/>
        </w:rPr>
      </w:pPr>
      <w:r w:rsidRPr="00FE703A">
        <w:rPr>
          <w:color w:val="000000"/>
        </w:rPr>
        <w:t>Log</w:t>
      </w:r>
      <w:r w:rsidRPr="00FE703A">
        <w:rPr>
          <w:color w:val="000000"/>
          <w:vertAlign w:val="subscript"/>
        </w:rPr>
        <w:t>2</w:t>
      </w:r>
      <w:r w:rsidRPr="00FE703A">
        <w:rPr>
          <w:color w:val="000000"/>
        </w:rPr>
        <w:t xml:space="preserve">FC refers to the mean array score for the tumour tissues minus the corresponding mean score for the non-malignant tissues. Data are for 21 matched pairs (9 from the Tri cohort and 12 from the Qia cohort). </w:t>
      </w:r>
      <w:r w:rsidR="00FE4AEB" w:rsidRPr="00FE703A">
        <w:rPr>
          <w:color w:val="000000"/>
        </w:rPr>
        <w:t xml:space="preserve">P values were determined using two-way mixed ANOVA with diagnosis (tumour vs non-malignant tissue) </w:t>
      </w:r>
      <w:r w:rsidR="0034212E" w:rsidRPr="00FE703A">
        <w:rPr>
          <w:color w:val="000000"/>
        </w:rPr>
        <w:t>as matched (”within”) factor and cohort as independent (”between”) factor</w:t>
      </w:r>
      <w:r w:rsidRPr="00FE703A">
        <w:rPr>
          <w:color w:val="000000"/>
        </w:rPr>
        <w:t>. The critical value of P for these data at a 5% false discovery rate was 0.014.</w:t>
      </w:r>
    </w:p>
    <w:p w:rsidR="00FE4AEB" w:rsidRPr="00FE703A" w:rsidRDefault="00FE4AEB" w:rsidP="000E604D">
      <w:pPr>
        <w:spacing w:line="480" w:lineRule="auto"/>
        <w:rPr>
          <w:color w:val="000000"/>
        </w:rPr>
      </w:pPr>
    </w:p>
    <w:p w:rsidR="0009595D" w:rsidRPr="00FE703A" w:rsidRDefault="0009595D">
      <w:pPr>
        <w:rPr>
          <w:color w:val="000000"/>
        </w:rPr>
      </w:pPr>
      <w:r w:rsidRPr="00FE703A">
        <w:rPr>
          <w:color w:val="000000"/>
        </w:rPr>
        <w:br w:type="page"/>
      </w:r>
    </w:p>
    <w:p w:rsidR="0009595D" w:rsidRPr="00FE703A" w:rsidRDefault="0009595D" w:rsidP="0009595D">
      <w:pPr>
        <w:spacing w:line="480" w:lineRule="auto"/>
        <w:rPr>
          <w:color w:val="000000"/>
        </w:rPr>
      </w:pPr>
      <w:r w:rsidRPr="00FE703A">
        <w:rPr>
          <w:b/>
          <w:color w:val="000000"/>
        </w:rPr>
        <w:lastRenderedPageBreak/>
        <w:t>Supplementary Table S</w:t>
      </w:r>
      <w:r w:rsidR="009E5445" w:rsidRPr="00FE703A">
        <w:rPr>
          <w:b/>
          <w:color w:val="000000"/>
        </w:rPr>
        <w:t>3</w:t>
      </w:r>
      <w:r w:rsidRPr="00FE703A">
        <w:rPr>
          <w:color w:val="000000"/>
        </w:rPr>
        <w:t xml:space="preserve">. </w:t>
      </w:r>
      <w:r w:rsidR="0034212E" w:rsidRPr="00FE703A">
        <w:rPr>
          <w:color w:val="000000"/>
        </w:rPr>
        <w:t>ANOVA P values</w:t>
      </w:r>
      <w:r w:rsidRPr="00FE703A">
        <w:rPr>
          <w:color w:val="000000"/>
        </w:rPr>
        <w:t xml:space="preserve"> for the matched qPCR data.</w:t>
      </w:r>
    </w:p>
    <w:p w:rsidR="0009595D" w:rsidRPr="00FE703A" w:rsidRDefault="0009595D" w:rsidP="0009595D">
      <w:pPr>
        <w:spacing w:line="480" w:lineRule="auto"/>
        <w:rPr>
          <w:color w:val="000000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83"/>
        <w:gridCol w:w="1512"/>
        <w:gridCol w:w="1300"/>
        <w:gridCol w:w="1300"/>
        <w:gridCol w:w="2385"/>
      </w:tblGrid>
      <w:tr w:rsidR="00FE703A" w:rsidRPr="00FE703A" w:rsidTr="00057559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rPr>
                <w:color w:val="000000"/>
              </w:rPr>
            </w:pPr>
          </w:p>
        </w:tc>
        <w:tc>
          <w:tcPr>
            <w:tcW w:w="1483" w:type="dxa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P values</w:t>
            </w:r>
          </w:p>
        </w:tc>
      </w:tr>
      <w:tr w:rsidR="00FE703A" w:rsidRPr="00FE703A" w:rsidTr="00057559">
        <w:trPr>
          <w:trHeight w:val="320"/>
          <w:jc w:val="center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59" w:rsidRPr="00FE703A" w:rsidRDefault="00057559" w:rsidP="0034212E">
            <w:pPr>
              <w:rPr>
                <w:color w:val="000000"/>
              </w:rPr>
            </w:pPr>
            <w:r w:rsidRPr="00FE703A">
              <w:rPr>
                <w:color w:val="000000"/>
              </w:rPr>
              <w:t>Gene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no. of pairs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log</w:t>
            </w:r>
            <w:r w:rsidRPr="00FE703A">
              <w:rPr>
                <w:color w:val="000000"/>
                <w:vertAlign w:val="subscript"/>
              </w:rPr>
              <w:t>2</w:t>
            </w:r>
            <w:r w:rsidRPr="00FE703A">
              <w:rPr>
                <w:color w:val="000000"/>
              </w:rPr>
              <w:t>FC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cohort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diagnosis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cohort x diagnosis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2783" w:type="dxa"/>
            <w:gridSpan w:val="2"/>
            <w:shd w:val="clear" w:color="auto" w:fill="auto"/>
            <w:noWrap/>
            <w:vAlign w:val="center"/>
          </w:tcPr>
          <w:p w:rsidR="00057559" w:rsidRPr="00FE703A" w:rsidRDefault="00B72E6E" w:rsidP="00057559">
            <w:pPr>
              <w:rPr>
                <w:color w:val="000000"/>
              </w:rPr>
            </w:pPr>
            <w:r w:rsidRPr="00FE703A">
              <w:rPr>
                <w:i/>
                <w:color w:val="000000"/>
              </w:rPr>
              <w:t>Anabolic</w:t>
            </w:r>
            <w:r w:rsidR="00057559" w:rsidRPr="00FE703A">
              <w:rPr>
                <w:i/>
                <w:color w:val="000000"/>
              </w:rPr>
              <w:t xml:space="preserve"> enzymes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057559" w:rsidRPr="00FE703A" w:rsidRDefault="00057559" w:rsidP="0034212E">
            <w:pPr>
              <w:jc w:val="center"/>
              <w:rPr>
                <w:color w:val="00000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PLA2G4E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lang w:val="sv-SE"/>
              </w:rPr>
            </w:pPr>
            <w:r w:rsidRPr="00FE703A">
              <w:rPr>
                <w:color w:val="000000"/>
              </w:rPr>
              <w:t>-2.02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1.8x10</w:t>
            </w:r>
            <w:r w:rsidRPr="00FE703A">
              <w:rPr>
                <w:color w:val="000000"/>
                <w:vertAlign w:val="superscript"/>
              </w:rPr>
              <w:t>-4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0.40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NAPEPLD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-1.88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8.8 x10</w:t>
            </w:r>
            <w:r w:rsidRPr="00FE703A">
              <w:rPr>
                <w:color w:val="000000"/>
                <w:vertAlign w:val="superscript"/>
              </w:rPr>
              <w:t>-8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0.53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DAGLA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14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-0.49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0.47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0.37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DAGLB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11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-1.01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4.1E</w:t>
            </w:r>
            <w:r w:rsidRPr="00FE703A">
              <w:rPr>
                <w:color w:val="000000"/>
                <w:vertAlign w:val="superscript"/>
              </w:rPr>
              <w:t>-5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2783" w:type="dxa"/>
            <w:gridSpan w:val="2"/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rPr>
                <w:color w:val="000000"/>
              </w:rPr>
            </w:pPr>
            <w:r w:rsidRPr="00FE703A">
              <w:rPr>
                <w:i/>
                <w:color w:val="000000"/>
              </w:rPr>
              <w:t>Target receptors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CNR1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13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-1.04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2.3E-05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0.074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0.0036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TRPV1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-1.50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5.6 x10</w:t>
            </w:r>
            <w:r w:rsidRPr="00FE703A">
              <w:rPr>
                <w:color w:val="000000"/>
                <w:vertAlign w:val="superscript"/>
              </w:rPr>
              <w:t>-3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0.99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2783" w:type="dxa"/>
            <w:gridSpan w:val="2"/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rPr>
                <w:color w:val="000000"/>
              </w:rPr>
            </w:pPr>
            <w:r w:rsidRPr="00FE703A">
              <w:rPr>
                <w:i/>
                <w:color w:val="000000"/>
              </w:rPr>
              <w:t>Catabolic enzymes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FAAH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-0.14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0.31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NAAA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0.079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0.42</w:t>
            </w:r>
          </w:p>
        </w:tc>
      </w:tr>
      <w:tr w:rsidR="00FE703A" w:rsidRPr="00FE703A" w:rsidTr="00FD62FB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MGLL(1)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lang w:val="sv-SE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2.05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1.5 x10</w:t>
            </w:r>
            <w:r w:rsidRPr="00FE703A">
              <w:rPr>
                <w:color w:val="000000"/>
                <w:vertAlign w:val="superscript"/>
              </w:rPr>
              <w:t>-8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0.86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MGLL(2)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1.68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2.8 x10</w:t>
            </w:r>
            <w:r w:rsidRPr="00FE703A">
              <w:rPr>
                <w:color w:val="000000"/>
                <w:vertAlign w:val="superscript"/>
              </w:rPr>
              <w:t>-7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0.81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ABHD6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13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-0.73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0.0041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0.77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ABHD12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0.29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0.040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0.87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PTGS2</w:t>
            </w:r>
          </w:p>
        </w:tc>
        <w:tc>
          <w:tcPr>
            <w:tcW w:w="1483" w:type="dxa"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12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-5.65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0.0036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2.4E</w:t>
            </w:r>
            <w:r w:rsidRPr="00FE703A">
              <w:rPr>
                <w:color w:val="000000"/>
                <w:vertAlign w:val="superscript"/>
              </w:rPr>
              <w:t>-7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0.70</w:t>
            </w: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2783" w:type="dxa"/>
            <w:gridSpan w:val="2"/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rPr>
                <w:color w:val="000000"/>
              </w:rPr>
            </w:pPr>
            <w:r w:rsidRPr="00FE703A">
              <w:rPr>
                <w:i/>
                <w:color w:val="000000"/>
              </w:rPr>
              <w:t>Other gene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703A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CD36</w:t>
            </w:r>
          </w:p>
        </w:tc>
        <w:tc>
          <w:tcPr>
            <w:tcW w:w="1483" w:type="dxa"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-1.23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0.067</w:t>
            </w:r>
          </w:p>
        </w:tc>
      </w:tr>
      <w:tr w:rsidR="00B72E6E" w:rsidRPr="00FE703A" w:rsidTr="0034212E">
        <w:trPr>
          <w:trHeight w:val="320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72E6E" w:rsidRPr="00FE703A" w:rsidRDefault="00B72E6E" w:rsidP="00B72E6E">
            <w:pPr>
              <w:rPr>
                <w:i/>
                <w:color w:val="000000"/>
              </w:rPr>
            </w:pPr>
            <w:r w:rsidRPr="00FE703A">
              <w:rPr>
                <w:i/>
                <w:color w:val="000000"/>
              </w:rPr>
              <w:t>RPL13</w:t>
            </w:r>
          </w:p>
        </w:tc>
        <w:tc>
          <w:tcPr>
            <w:tcW w:w="1483" w:type="dxa"/>
            <w:vAlign w:val="center"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15</w:t>
            </w: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0.48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1.3 x10</w:t>
            </w:r>
            <w:r w:rsidRPr="00FE703A">
              <w:rPr>
                <w:color w:val="000000"/>
                <w:vertAlign w:val="superscript"/>
              </w:rPr>
              <w:t>-4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:rsidR="00B72E6E" w:rsidRPr="00FE703A" w:rsidRDefault="00B72E6E" w:rsidP="00B72E6E">
            <w:pPr>
              <w:jc w:val="center"/>
              <w:rPr>
                <w:color w:val="000000"/>
              </w:rPr>
            </w:pPr>
            <w:r w:rsidRPr="00FE703A">
              <w:rPr>
                <w:color w:val="000000"/>
              </w:rPr>
              <w:t>0.029</w:t>
            </w:r>
          </w:p>
        </w:tc>
      </w:tr>
    </w:tbl>
    <w:p w:rsidR="0009595D" w:rsidRPr="00FE703A" w:rsidRDefault="0009595D" w:rsidP="0009595D">
      <w:pPr>
        <w:spacing w:line="480" w:lineRule="auto"/>
        <w:rPr>
          <w:color w:val="000000"/>
        </w:rPr>
      </w:pPr>
    </w:p>
    <w:p w:rsidR="00DF6259" w:rsidRPr="00FE703A" w:rsidRDefault="00AC6414" w:rsidP="00DF6259">
      <w:pPr>
        <w:spacing w:line="360" w:lineRule="auto"/>
        <w:rPr>
          <w:color w:val="000000"/>
        </w:rPr>
      </w:pPr>
      <w:r w:rsidRPr="00FE703A">
        <w:rPr>
          <w:color w:val="000000"/>
        </w:rPr>
        <w:t>Log</w:t>
      </w:r>
      <w:r w:rsidRPr="00FE703A">
        <w:rPr>
          <w:color w:val="000000"/>
          <w:vertAlign w:val="subscript"/>
        </w:rPr>
        <w:t>2</w:t>
      </w:r>
      <w:r w:rsidRPr="00FE703A">
        <w:rPr>
          <w:color w:val="000000"/>
        </w:rPr>
        <w:t xml:space="preserve">FC refers to the mean </w:t>
      </w:r>
      <w:r w:rsidR="00E62ED8" w:rsidRPr="00FE703A">
        <w:rPr>
          <w:color w:val="000000"/>
        </w:rPr>
        <w:t>qPCR ∆Ct</w:t>
      </w:r>
      <w:r w:rsidRPr="00FE703A">
        <w:rPr>
          <w:color w:val="000000"/>
        </w:rPr>
        <w:t xml:space="preserve"> for the tumour tissues minus the corresponding mean score for the non-malignant tissues for the number of  matched pairs shown. P values were determined using </w:t>
      </w:r>
      <w:r w:rsidR="0034212E" w:rsidRPr="00FE703A">
        <w:rPr>
          <w:color w:val="000000"/>
        </w:rPr>
        <w:t>two-way mixed ANOVA with diagnosis (tumour vs non-malignant tissue) as matched (”within”) factor and cohort as independent (”between”) factor.</w:t>
      </w:r>
      <w:r w:rsidRPr="00FE703A">
        <w:rPr>
          <w:color w:val="000000"/>
        </w:rPr>
        <w:t xml:space="preserve"> The critical value of P for these data at a 5% false discovery rate was 0.015</w:t>
      </w:r>
      <w:r w:rsidR="008F0806" w:rsidRPr="00FE703A">
        <w:rPr>
          <w:color w:val="000000"/>
        </w:rPr>
        <w:t xml:space="preserve"> regardless as to which of the two </w:t>
      </w:r>
      <w:r w:rsidR="008F0806" w:rsidRPr="00FE703A">
        <w:rPr>
          <w:i/>
          <w:color w:val="000000"/>
        </w:rPr>
        <w:t>MGLL</w:t>
      </w:r>
      <w:r w:rsidR="008F0806" w:rsidRPr="00FE703A">
        <w:rPr>
          <w:color w:val="000000"/>
        </w:rPr>
        <w:t xml:space="preserve"> primer pai</w:t>
      </w:r>
      <w:r w:rsidR="002E470D" w:rsidRPr="00FE703A">
        <w:rPr>
          <w:color w:val="000000"/>
        </w:rPr>
        <w:t>rs was included</w:t>
      </w:r>
      <w:r w:rsidRPr="00FE703A">
        <w:rPr>
          <w:color w:val="000000"/>
        </w:rPr>
        <w:t xml:space="preserve">. </w:t>
      </w:r>
      <w:r w:rsidRPr="00FE703A">
        <w:rPr>
          <w:color w:val="000000"/>
          <w:vertAlign w:val="superscript"/>
        </w:rPr>
        <w:t>†</w:t>
      </w:r>
      <w:r w:rsidRPr="00FE703A">
        <w:rPr>
          <w:color w:val="000000"/>
        </w:rPr>
        <w:t xml:space="preserve">For </w:t>
      </w:r>
      <w:r w:rsidRPr="00FE703A">
        <w:rPr>
          <w:i/>
          <w:color w:val="000000"/>
        </w:rPr>
        <w:t>DAGLB</w:t>
      </w:r>
      <w:r w:rsidRPr="00FE703A">
        <w:rPr>
          <w:color w:val="000000"/>
        </w:rPr>
        <w:t xml:space="preserve">, there were only two matched pairs from the Tri cohort, and so an ANOVA was not used. The P value shown (which was not used for the calculation of the critical value of P above) is </w:t>
      </w:r>
      <w:r w:rsidR="0034212E" w:rsidRPr="00FE703A">
        <w:rPr>
          <w:color w:val="000000"/>
        </w:rPr>
        <w:t>from</w:t>
      </w:r>
      <w:r w:rsidRPr="00FE703A">
        <w:rPr>
          <w:color w:val="000000"/>
        </w:rPr>
        <w:t xml:space="preserve"> a </w:t>
      </w:r>
      <w:r w:rsidR="0034212E" w:rsidRPr="00FE703A">
        <w:rPr>
          <w:color w:val="000000"/>
        </w:rPr>
        <w:t xml:space="preserve">two-tailed </w:t>
      </w:r>
      <w:r w:rsidRPr="00FE703A">
        <w:rPr>
          <w:color w:val="000000"/>
        </w:rPr>
        <w:t>paired t-test.</w:t>
      </w:r>
    </w:p>
    <w:p w:rsidR="00FD4065" w:rsidRPr="00FE703A" w:rsidRDefault="00FD4065">
      <w:pPr>
        <w:rPr>
          <w:color w:val="000000"/>
        </w:rPr>
      </w:pPr>
    </w:p>
    <w:p w:rsidR="004960FD" w:rsidRPr="00FE703A" w:rsidRDefault="004960FD">
      <w:pPr>
        <w:rPr>
          <w:color w:val="000000"/>
        </w:rPr>
      </w:pPr>
      <w:r w:rsidRPr="00FE703A">
        <w:rPr>
          <w:color w:val="000000"/>
        </w:rPr>
        <w:br w:type="page"/>
      </w:r>
    </w:p>
    <w:p w:rsidR="004960FD" w:rsidRPr="00FE703A" w:rsidRDefault="004960FD" w:rsidP="004960FD">
      <w:pPr>
        <w:spacing w:line="480" w:lineRule="auto"/>
        <w:rPr>
          <w:b/>
          <w:color w:val="000000"/>
        </w:rPr>
      </w:pPr>
      <w:r w:rsidRPr="00FE703A">
        <w:rPr>
          <w:b/>
          <w:color w:val="000000"/>
        </w:rPr>
        <w:lastRenderedPageBreak/>
        <w:t>Reference</w:t>
      </w:r>
    </w:p>
    <w:p w:rsidR="004960FD" w:rsidRPr="00FE703A" w:rsidRDefault="004960FD" w:rsidP="004960FD">
      <w:pPr>
        <w:tabs>
          <w:tab w:val="left" w:pos="284"/>
        </w:tabs>
        <w:spacing w:line="480" w:lineRule="auto"/>
        <w:ind w:left="284" w:hanging="284"/>
        <w:rPr>
          <w:color w:val="000000"/>
        </w:rPr>
      </w:pPr>
      <w:r w:rsidRPr="00FE703A">
        <w:rPr>
          <w:color w:val="000000"/>
        </w:rPr>
        <w:t xml:space="preserve">1. </w:t>
      </w:r>
      <w:r w:rsidRPr="00FE703A">
        <w:rPr>
          <w:color w:val="000000"/>
        </w:rPr>
        <w:tab/>
        <w:t>Szeremeta J, Karlsson J, Alouayek M, Fowler CJ. Low mRNA expression and activity of monoacylglycerol lipase in human SH-SY5Y neuroblastoma cells. Prostagl Oth Lipid Med 2019;142:59-67</w:t>
      </w:r>
    </w:p>
    <w:sectPr w:rsidR="004960FD" w:rsidRPr="00FE703A" w:rsidSect="00FD4065">
      <w:headerReference w:type="even" r:id="rId10"/>
      <w:headerReference w:type="default" r:id="rId11"/>
      <w:pgSz w:w="11900" w:h="16840"/>
      <w:pgMar w:top="1417" w:right="11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DD" w:rsidRDefault="009449DD" w:rsidP="0043344A">
      <w:r>
        <w:separator/>
      </w:r>
    </w:p>
  </w:endnote>
  <w:endnote w:type="continuationSeparator" w:id="0">
    <w:p w:rsidR="009449DD" w:rsidRDefault="009449DD" w:rsidP="0043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DD" w:rsidRDefault="009449DD" w:rsidP="0043344A">
      <w:r>
        <w:separator/>
      </w:r>
    </w:p>
  </w:footnote>
  <w:footnote w:type="continuationSeparator" w:id="0">
    <w:p w:rsidR="009449DD" w:rsidRDefault="009449DD" w:rsidP="0043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760447188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:rsidR="00E25965" w:rsidRDefault="00E25965" w:rsidP="00501DD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25965" w:rsidRDefault="00E25965" w:rsidP="0043344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505328932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:rsidR="00E25965" w:rsidRDefault="00E25965" w:rsidP="00501DDD">
        <w:pPr>
          <w:pStyle w:val="Sidhuvud"/>
          <w:framePr w:wrap="none" w:vAnchor="text" w:hAnchor="margin" w:xAlign="right" w:y="1"/>
          <w:rPr>
            <w:rStyle w:val="Sidnummer"/>
          </w:rPr>
        </w:pPr>
        <w:r w:rsidRPr="0043344A">
          <w:rPr>
            <w:rStyle w:val="Sidnummer"/>
            <w:sz w:val="18"/>
            <w:szCs w:val="18"/>
          </w:rPr>
          <w:fldChar w:fldCharType="begin"/>
        </w:r>
        <w:r w:rsidRPr="0043344A">
          <w:rPr>
            <w:rStyle w:val="Sidnummer"/>
            <w:sz w:val="18"/>
            <w:szCs w:val="18"/>
          </w:rPr>
          <w:instrText xml:space="preserve"> PAGE </w:instrText>
        </w:r>
        <w:r w:rsidRPr="0043344A">
          <w:rPr>
            <w:rStyle w:val="Sidnummer"/>
            <w:sz w:val="18"/>
            <w:szCs w:val="18"/>
          </w:rPr>
          <w:fldChar w:fldCharType="separate"/>
        </w:r>
        <w:r w:rsidRPr="0043344A">
          <w:rPr>
            <w:rStyle w:val="Sidnummer"/>
            <w:noProof/>
            <w:sz w:val="18"/>
            <w:szCs w:val="18"/>
          </w:rPr>
          <w:t>2</w:t>
        </w:r>
        <w:r w:rsidRPr="0043344A">
          <w:rPr>
            <w:rStyle w:val="Sidnummer"/>
            <w:sz w:val="18"/>
            <w:szCs w:val="18"/>
          </w:rPr>
          <w:fldChar w:fldCharType="end"/>
        </w:r>
      </w:p>
    </w:sdtContent>
  </w:sdt>
  <w:p w:rsidR="00E25965" w:rsidRDefault="00E25965" w:rsidP="0043344A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E89"/>
    <w:multiLevelType w:val="hybridMultilevel"/>
    <w:tmpl w:val="1146F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40"/>
    <w:rsid w:val="000078FB"/>
    <w:rsid w:val="00010854"/>
    <w:rsid w:val="00014632"/>
    <w:rsid w:val="00014B58"/>
    <w:rsid w:val="00015E91"/>
    <w:rsid w:val="00027496"/>
    <w:rsid w:val="00033424"/>
    <w:rsid w:val="000335B8"/>
    <w:rsid w:val="000369F5"/>
    <w:rsid w:val="00037520"/>
    <w:rsid w:val="000445F5"/>
    <w:rsid w:val="0005424B"/>
    <w:rsid w:val="000569E2"/>
    <w:rsid w:val="00057559"/>
    <w:rsid w:val="000647B2"/>
    <w:rsid w:val="00067E86"/>
    <w:rsid w:val="000729CA"/>
    <w:rsid w:val="000808F3"/>
    <w:rsid w:val="000855E1"/>
    <w:rsid w:val="00086C21"/>
    <w:rsid w:val="0009227B"/>
    <w:rsid w:val="00092E07"/>
    <w:rsid w:val="00092F9F"/>
    <w:rsid w:val="0009411F"/>
    <w:rsid w:val="0009595D"/>
    <w:rsid w:val="000967CB"/>
    <w:rsid w:val="000A5002"/>
    <w:rsid w:val="000A5125"/>
    <w:rsid w:val="000D48DA"/>
    <w:rsid w:val="000E0C9E"/>
    <w:rsid w:val="000E5EB9"/>
    <w:rsid w:val="000E604D"/>
    <w:rsid w:val="000F470C"/>
    <w:rsid w:val="001025C2"/>
    <w:rsid w:val="00102757"/>
    <w:rsid w:val="0010510C"/>
    <w:rsid w:val="00106848"/>
    <w:rsid w:val="00112E17"/>
    <w:rsid w:val="00114670"/>
    <w:rsid w:val="00117828"/>
    <w:rsid w:val="001318C0"/>
    <w:rsid w:val="00140E88"/>
    <w:rsid w:val="00151560"/>
    <w:rsid w:val="0015702C"/>
    <w:rsid w:val="0017415C"/>
    <w:rsid w:val="0018025C"/>
    <w:rsid w:val="00192DB7"/>
    <w:rsid w:val="001949D2"/>
    <w:rsid w:val="001B3070"/>
    <w:rsid w:val="001B5160"/>
    <w:rsid w:val="001B53DA"/>
    <w:rsid w:val="001B57A6"/>
    <w:rsid w:val="001C7298"/>
    <w:rsid w:val="001D17BA"/>
    <w:rsid w:val="001D3262"/>
    <w:rsid w:val="001E32A6"/>
    <w:rsid w:val="001E5A33"/>
    <w:rsid w:val="001E7334"/>
    <w:rsid w:val="001F2CCE"/>
    <w:rsid w:val="001F3E51"/>
    <w:rsid w:val="001F4BAE"/>
    <w:rsid w:val="00201C65"/>
    <w:rsid w:val="002028B5"/>
    <w:rsid w:val="00206436"/>
    <w:rsid w:val="00210E75"/>
    <w:rsid w:val="00221EEA"/>
    <w:rsid w:val="00227D2D"/>
    <w:rsid w:val="00231558"/>
    <w:rsid w:val="00243C22"/>
    <w:rsid w:val="00244C03"/>
    <w:rsid w:val="0024701C"/>
    <w:rsid w:val="00254866"/>
    <w:rsid w:val="0026312E"/>
    <w:rsid w:val="00264F5C"/>
    <w:rsid w:val="00270CAC"/>
    <w:rsid w:val="00271732"/>
    <w:rsid w:val="00274CC4"/>
    <w:rsid w:val="00275877"/>
    <w:rsid w:val="00276689"/>
    <w:rsid w:val="002801C4"/>
    <w:rsid w:val="002826BA"/>
    <w:rsid w:val="00283D6D"/>
    <w:rsid w:val="002850B9"/>
    <w:rsid w:val="002936A7"/>
    <w:rsid w:val="002957DB"/>
    <w:rsid w:val="002B686B"/>
    <w:rsid w:val="002C637A"/>
    <w:rsid w:val="002C661D"/>
    <w:rsid w:val="002C77E3"/>
    <w:rsid w:val="002D572B"/>
    <w:rsid w:val="002E3F7C"/>
    <w:rsid w:val="002E470D"/>
    <w:rsid w:val="002F1C3E"/>
    <w:rsid w:val="00300DF1"/>
    <w:rsid w:val="00307567"/>
    <w:rsid w:val="0031194C"/>
    <w:rsid w:val="00320C10"/>
    <w:rsid w:val="00323DCA"/>
    <w:rsid w:val="003333DB"/>
    <w:rsid w:val="003343FC"/>
    <w:rsid w:val="0033543E"/>
    <w:rsid w:val="0033696C"/>
    <w:rsid w:val="00342015"/>
    <w:rsid w:val="0034212E"/>
    <w:rsid w:val="0034308B"/>
    <w:rsid w:val="0035236B"/>
    <w:rsid w:val="00365146"/>
    <w:rsid w:val="003844D7"/>
    <w:rsid w:val="0038635D"/>
    <w:rsid w:val="003A6B70"/>
    <w:rsid w:val="003B1A5D"/>
    <w:rsid w:val="003B2895"/>
    <w:rsid w:val="003B33BE"/>
    <w:rsid w:val="003B454E"/>
    <w:rsid w:val="003B60F9"/>
    <w:rsid w:val="003B7CAC"/>
    <w:rsid w:val="003C28D7"/>
    <w:rsid w:val="003D2A1B"/>
    <w:rsid w:val="003F2736"/>
    <w:rsid w:val="003F6134"/>
    <w:rsid w:val="00412811"/>
    <w:rsid w:val="00422018"/>
    <w:rsid w:val="00424E1C"/>
    <w:rsid w:val="0042678D"/>
    <w:rsid w:val="00427A05"/>
    <w:rsid w:val="004327D0"/>
    <w:rsid w:val="0043344A"/>
    <w:rsid w:val="00436824"/>
    <w:rsid w:val="00444404"/>
    <w:rsid w:val="00457426"/>
    <w:rsid w:val="00460F69"/>
    <w:rsid w:val="004619A9"/>
    <w:rsid w:val="00461D80"/>
    <w:rsid w:val="00461EAF"/>
    <w:rsid w:val="004677A5"/>
    <w:rsid w:val="00471215"/>
    <w:rsid w:val="004754F9"/>
    <w:rsid w:val="00475827"/>
    <w:rsid w:val="00483820"/>
    <w:rsid w:val="00494B8B"/>
    <w:rsid w:val="004960FD"/>
    <w:rsid w:val="004A065C"/>
    <w:rsid w:val="004A6CF1"/>
    <w:rsid w:val="004C3FDA"/>
    <w:rsid w:val="004C647B"/>
    <w:rsid w:val="004D1B50"/>
    <w:rsid w:val="004D4656"/>
    <w:rsid w:val="004D7F31"/>
    <w:rsid w:val="004E0581"/>
    <w:rsid w:val="004E7251"/>
    <w:rsid w:val="004F233E"/>
    <w:rsid w:val="004F6003"/>
    <w:rsid w:val="00501DDD"/>
    <w:rsid w:val="00507A87"/>
    <w:rsid w:val="005143DB"/>
    <w:rsid w:val="00515029"/>
    <w:rsid w:val="005232CF"/>
    <w:rsid w:val="005275BC"/>
    <w:rsid w:val="00532111"/>
    <w:rsid w:val="0053232D"/>
    <w:rsid w:val="00532CBD"/>
    <w:rsid w:val="00533791"/>
    <w:rsid w:val="0055436F"/>
    <w:rsid w:val="00562406"/>
    <w:rsid w:val="00562F4A"/>
    <w:rsid w:val="00571D85"/>
    <w:rsid w:val="00576306"/>
    <w:rsid w:val="00576387"/>
    <w:rsid w:val="00583C5F"/>
    <w:rsid w:val="0058663A"/>
    <w:rsid w:val="00590D16"/>
    <w:rsid w:val="005A182C"/>
    <w:rsid w:val="005A266C"/>
    <w:rsid w:val="005C471C"/>
    <w:rsid w:val="005D0161"/>
    <w:rsid w:val="005E278F"/>
    <w:rsid w:val="005E3697"/>
    <w:rsid w:val="005E78A9"/>
    <w:rsid w:val="005E7B96"/>
    <w:rsid w:val="005F3FD1"/>
    <w:rsid w:val="005F6F3F"/>
    <w:rsid w:val="00603AD3"/>
    <w:rsid w:val="006114C5"/>
    <w:rsid w:val="00625173"/>
    <w:rsid w:val="00625CC9"/>
    <w:rsid w:val="00632571"/>
    <w:rsid w:val="006342E6"/>
    <w:rsid w:val="00644248"/>
    <w:rsid w:val="00645D7A"/>
    <w:rsid w:val="00647519"/>
    <w:rsid w:val="00651204"/>
    <w:rsid w:val="006655C6"/>
    <w:rsid w:val="00677F65"/>
    <w:rsid w:val="00691DA3"/>
    <w:rsid w:val="006939A5"/>
    <w:rsid w:val="00694E5B"/>
    <w:rsid w:val="00697DB5"/>
    <w:rsid w:val="006F0288"/>
    <w:rsid w:val="006F0540"/>
    <w:rsid w:val="006F6696"/>
    <w:rsid w:val="006F764F"/>
    <w:rsid w:val="007023D3"/>
    <w:rsid w:val="0070287C"/>
    <w:rsid w:val="00703FC7"/>
    <w:rsid w:val="0071098D"/>
    <w:rsid w:val="00711DDA"/>
    <w:rsid w:val="00713FB5"/>
    <w:rsid w:val="0071520C"/>
    <w:rsid w:val="00716A2E"/>
    <w:rsid w:val="00716FB9"/>
    <w:rsid w:val="00735B10"/>
    <w:rsid w:val="0074233C"/>
    <w:rsid w:val="00743786"/>
    <w:rsid w:val="007472F1"/>
    <w:rsid w:val="0075462F"/>
    <w:rsid w:val="00757894"/>
    <w:rsid w:val="00770BF0"/>
    <w:rsid w:val="00770D05"/>
    <w:rsid w:val="00774B9D"/>
    <w:rsid w:val="007763B6"/>
    <w:rsid w:val="00780376"/>
    <w:rsid w:val="00784F4E"/>
    <w:rsid w:val="0078538E"/>
    <w:rsid w:val="007A4B4E"/>
    <w:rsid w:val="007A610F"/>
    <w:rsid w:val="007B5875"/>
    <w:rsid w:val="007B6A3A"/>
    <w:rsid w:val="007D299F"/>
    <w:rsid w:val="007D3719"/>
    <w:rsid w:val="007D428F"/>
    <w:rsid w:val="007D4DA1"/>
    <w:rsid w:val="007D61EB"/>
    <w:rsid w:val="007E1DB8"/>
    <w:rsid w:val="007F32DC"/>
    <w:rsid w:val="007F7A45"/>
    <w:rsid w:val="008018F4"/>
    <w:rsid w:val="00813125"/>
    <w:rsid w:val="00825D75"/>
    <w:rsid w:val="008332C6"/>
    <w:rsid w:val="008434C7"/>
    <w:rsid w:val="00851901"/>
    <w:rsid w:val="008549FC"/>
    <w:rsid w:val="00856A0C"/>
    <w:rsid w:val="0086027D"/>
    <w:rsid w:val="0086231B"/>
    <w:rsid w:val="00865AF1"/>
    <w:rsid w:val="00881C28"/>
    <w:rsid w:val="00883BD2"/>
    <w:rsid w:val="00895C4D"/>
    <w:rsid w:val="00896E65"/>
    <w:rsid w:val="008A56D3"/>
    <w:rsid w:val="008B15F6"/>
    <w:rsid w:val="008B54A1"/>
    <w:rsid w:val="008C0DB2"/>
    <w:rsid w:val="008C50ED"/>
    <w:rsid w:val="008C74BF"/>
    <w:rsid w:val="008E4A7A"/>
    <w:rsid w:val="008E7C91"/>
    <w:rsid w:val="008F0361"/>
    <w:rsid w:val="008F0806"/>
    <w:rsid w:val="008F7BCE"/>
    <w:rsid w:val="00902401"/>
    <w:rsid w:val="00904359"/>
    <w:rsid w:val="009049C9"/>
    <w:rsid w:val="009057D3"/>
    <w:rsid w:val="00915D9A"/>
    <w:rsid w:val="00925328"/>
    <w:rsid w:val="00931B1B"/>
    <w:rsid w:val="00931D6C"/>
    <w:rsid w:val="0093390C"/>
    <w:rsid w:val="0093792F"/>
    <w:rsid w:val="0094261C"/>
    <w:rsid w:val="009438CD"/>
    <w:rsid w:val="009449DD"/>
    <w:rsid w:val="00977940"/>
    <w:rsid w:val="0098088C"/>
    <w:rsid w:val="00981571"/>
    <w:rsid w:val="009816CF"/>
    <w:rsid w:val="0098422A"/>
    <w:rsid w:val="0098512B"/>
    <w:rsid w:val="00986994"/>
    <w:rsid w:val="00990219"/>
    <w:rsid w:val="00993A16"/>
    <w:rsid w:val="009A24DC"/>
    <w:rsid w:val="009A5DE4"/>
    <w:rsid w:val="009B031C"/>
    <w:rsid w:val="009B0E96"/>
    <w:rsid w:val="009B30C3"/>
    <w:rsid w:val="009C6E84"/>
    <w:rsid w:val="009D5C49"/>
    <w:rsid w:val="009E2040"/>
    <w:rsid w:val="009E41DC"/>
    <w:rsid w:val="009E5445"/>
    <w:rsid w:val="009E77C3"/>
    <w:rsid w:val="009F3A6C"/>
    <w:rsid w:val="009F5DE8"/>
    <w:rsid w:val="00A02918"/>
    <w:rsid w:val="00A02B8C"/>
    <w:rsid w:val="00A07D49"/>
    <w:rsid w:val="00A07E31"/>
    <w:rsid w:val="00A246EB"/>
    <w:rsid w:val="00A267EE"/>
    <w:rsid w:val="00A30AB4"/>
    <w:rsid w:val="00A37B47"/>
    <w:rsid w:val="00A40476"/>
    <w:rsid w:val="00A47AF9"/>
    <w:rsid w:val="00A546BA"/>
    <w:rsid w:val="00A54E55"/>
    <w:rsid w:val="00A57A9B"/>
    <w:rsid w:val="00A600EE"/>
    <w:rsid w:val="00A614D2"/>
    <w:rsid w:val="00A61B4C"/>
    <w:rsid w:val="00A62F3B"/>
    <w:rsid w:val="00A722E9"/>
    <w:rsid w:val="00A74B2F"/>
    <w:rsid w:val="00A75112"/>
    <w:rsid w:val="00A77EEB"/>
    <w:rsid w:val="00A83A9E"/>
    <w:rsid w:val="00AA1592"/>
    <w:rsid w:val="00AA64EB"/>
    <w:rsid w:val="00AB3CC9"/>
    <w:rsid w:val="00AB5717"/>
    <w:rsid w:val="00AC02D4"/>
    <w:rsid w:val="00AC6414"/>
    <w:rsid w:val="00AC7B6F"/>
    <w:rsid w:val="00AD1A0A"/>
    <w:rsid w:val="00AE15B9"/>
    <w:rsid w:val="00AE1D96"/>
    <w:rsid w:val="00AE2BE1"/>
    <w:rsid w:val="00AE42C1"/>
    <w:rsid w:val="00B018DD"/>
    <w:rsid w:val="00B047F0"/>
    <w:rsid w:val="00B06CDB"/>
    <w:rsid w:val="00B12E8D"/>
    <w:rsid w:val="00B20263"/>
    <w:rsid w:val="00B23242"/>
    <w:rsid w:val="00B23E03"/>
    <w:rsid w:val="00B27610"/>
    <w:rsid w:val="00B3120D"/>
    <w:rsid w:val="00B33FE2"/>
    <w:rsid w:val="00B36BD2"/>
    <w:rsid w:val="00B4572F"/>
    <w:rsid w:val="00B51374"/>
    <w:rsid w:val="00B6055D"/>
    <w:rsid w:val="00B72E6E"/>
    <w:rsid w:val="00B75693"/>
    <w:rsid w:val="00B91C03"/>
    <w:rsid w:val="00B9386A"/>
    <w:rsid w:val="00B94E75"/>
    <w:rsid w:val="00BA2F56"/>
    <w:rsid w:val="00BA506D"/>
    <w:rsid w:val="00BB0020"/>
    <w:rsid w:val="00BB7097"/>
    <w:rsid w:val="00BC08F0"/>
    <w:rsid w:val="00BC1EF6"/>
    <w:rsid w:val="00BC2B45"/>
    <w:rsid w:val="00BD3B8C"/>
    <w:rsid w:val="00BD4F3F"/>
    <w:rsid w:val="00BE31A8"/>
    <w:rsid w:val="00BE7C55"/>
    <w:rsid w:val="00BF5F9B"/>
    <w:rsid w:val="00C0132B"/>
    <w:rsid w:val="00C06531"/>
    <w:rsid w:val="00C070A0"/>
    <w:rsid w:val="00C211C4"/>
    <w:rsid w:val="00C21753"/>
    <w:rsid w:val="00C2744F"/>
    <w:rsid w:val="00C3443A"/>
    <w:rsid w:val="00C35483"/>
    <w:rsid w:val="00C3719E"/>
    <w:rsid w:val="00C44AC4"/>
    <w:rsid w:val="00C51B21"/>
    <w:rsid w:val="00C524FD"/>
    <w:rsid w:val="00C63375"/>
    <w:rsid w:val="00C670F4"/>
    <w:rsid w:val="00C70FDF"/>
    <w:rsid w:val="00C75D04"/>
    <w:rsid w:val="00C810E4"/>
    <w:rsid w:val="00C84494"/>
    <w:rsid w:val="00C86AEC"/>
    <w:rsid w:val="00C91E5F"/>
    <w:rsid w:val="00C93AB7"/>
    <w:rsid w:val="00C94E98"/>
    <w:rsid w:val="00CA57E2"/>
    <w:rsid w:val="00CB7C98"/>
    <w:rsid w:val="00CC61E9"/>
    <w:rsid w:val="00CE353B"/>
    <w:rsid w:val="00CE5352"/>
    <w:rsid w:val="00CF155E"/>
    <w:rsid w:val="00CF2AC0"/>
    <w:rsid w:val="00CF6892"/>
    <w:rsid w:val="00D00C8C"/>
    <w:rsid w:val="00D11451"/>
    <w:rsid w:val="00D13C56"/>
    <w:rsid w:val="00D200A9"/>
    <w:rsid w:val="00D324AD"/>
    <w:rsid w:val="00D406BF"/>
    <w:rsid w:val="00D5005E"/>
    <w:rsid w:val="00D61A7E"/>
    <w:rsid w:val="00D72F30"/>
    <w:rsid w:val="00D76C0B"/>
    <w:rsid w:val="00D86C64"/>
    <w:rsid w:val="00D931BF"/>
    <w:rsid w:val="00DA01DD"/>
    <w:rsid w:val="00DB4379"/>
    <w:rsid w:val="00DC57BA"/>
    <w:rsid w:val="00DC75AC"/>
    <w:rsid w:val="00DF1E6A"/>
    <w:rsid w:val="00DF46BD"/>
    <w:rsid w:val="00DF4886"/>
    <w:rsid w:val="00DF6259"/>
    <w:rsid w:val="00E0203A"/>
    <w:rsid w:val="00E04571"/>
    <w:rsid w:val="00E04D50"/>
    <w:rsid w:val="00E05603"/>
    <w:rsid w:val="00E1476A"/>
    <w:rsid w:val="00E16A63"/>
    <w:rsid w:val="00E17189"/>
    <w:rsid w:val="00E179B3"/>
    <w:rsid w:val="00E21656"/>
    <w:rsid w:val="00E24473"/>
    <w:rsid w:val="00E24F10"/>
    <w:rsid w:val="00E25965"/>
    <w:rsid w:val="00E2722F"/>
    <w:rsid w:val="00E378C8"/>
    <w:rsid w:val="00E4063E"/>
    <w:rsid w:val="00E50094"/>
    <w:rsid w:val="00E574F3"/>
    <w:rsid w:val="00E62ED8"/>
    <w:rsid w:val="00E81155"/>
    <w:rsid w:val="00E84136"/>
    <w:rsid w:val="00E85007"/>
    <w:rsid w:val="00E85C4C"/>
    <w:rsid w:val="00E9518F"/>
    <w:rsid w:val="00E972B4"/>
    <w:rsid w:val="00EA1432"/>
    <w:rsid w:val="00EB2401"/>
    <w:rsid w:val="00EB3996"/>
    <w:rsid w:val="00EB58EA"/>
    <w:rsid w:val="00EC72A1"/>
    <w:rsid w:val="00ED0555"/>
    <w:rsid w:val="00ED4628"/>
    <w:rsid w:val="00EE0315"/>
    <w:rsid w:val="00EE1289"/>
    <w:rsid w:val="00EE39D0"/>
    <w:rsid w:val="00EE3FB3"/>
    <w:rsid w:val="00EE5D48"/>
    <w:rsid w:val="00EF0E45"/>
    <w:rsid w:val="00F06C9D"/>
    <w:rsid w:val="00F141B9"/>
    <w:rsid w:val="00F1456F"/>
    <w:rsid w:val="00F16C68"/>
    <w:rsid w:val="00F21CF2"/>
    <w:rsid w:val="00F306C6"/>
    <w:rsid w:val="00F31ADF"/>
    <w:rsid w:val="00F4350D"/>
    <w:rsid w:val="00F52109"/>
    <w:rsid w:val="00F54A86"/>
    <w:rsid w:val="00F56D4F"/>
    <w:rsid w:val="00F57298"/>
    <w:rsid w:val="00F67D94"/>
    <w:rsid w:val="00F7487E"/>
    <w:rsid w:val="00F82D46"/>
    <w:rsid w:val="00F834BF"/>
    <w:rsid w:val="00F852CE"/>
    <w:rsid w:val="00F87633"/>
    <w:rsid w:val="00FB1BEE"/>
    <w:rsid w:val="00FB1F81"/>
    <w:rsid w:val="00FB6A1B"/>
    <w:rsid w:val="00FC2901"/>
    <w:rsid w:val="00FC2B2C"/>
    <w:rsid w:val="00FC3533"/>
    <w:rsid w:val="00FC5A10"/>
    <w:rsid w:val="00FC5B63"/>
    <w:rsid w:val="00FC7C87"/>
    <w:rsid w:val="00FD11A5"/>
    <w:rsid w:val="00FD2818"/>
    <w:rsid w:val="00FD4065"/>
    <w:rsid w:val="00FD43D5"/>
    <w:rsid w:val="00FD62FB"/>
    <w:rsid w:val="00FE4AEB"/>
    <w:rsid w:val="00FE703A"/>
    <w:rsid w:val="00FF3D5B"/>
    <w:rsid w:val="00FF5FA9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CABE8"/>
  <w14:defaultImageDpi w14:val="32767"/>
  <w15:chartTrackingRefBased/>
  <w15:docId w15:val="{1684F4A4-1998-6446-BEDF-74F6F9CC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7559"/>
    <w:rPr>
      <w:rFonts w:ascii="Times New Roman" w:eastAsia="Times New Roman" w:hAnsi="Times New Roman" w:cs="Times New Roman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urrent-selection">
    <w:name w:val="current-selection"/>
    <w:basedOn w:val="Standardstycketeckensnitt"/>
    <w:rsid w:val="0024701C"/>
  </w:style>
  <w:style w:type="character" w:customStyle="1" w:styleId="a">
    <w:name w:val="_"/>
    <w:basedOn w:val="Standardstycketeckensnitt"/>
    <w:rsid w:val="0024701C"/>
  </w:style>
  <w:style w:type="character" w:customStyle="1" w:styleId="enhanced-reference">
    <w:name w:val="enhanced-reference"/>
    <w:basedOn w:val="Standardstycketeckensnitt"/>
    <w:rsid w:val="0024701C"/>
  </w:style>
  <w:style w:type="paragraph" w:styleId="Ballongtext">
    <w:name w:val="Balloon Text"/>
    <w:basedOn w:val="Normal"/>
    <w:link w:val="BallongtextChar"/>
    <w:uiPriority w:val="99"/>
    <w:semiHidden/>
    <w:unhideWhenUsed/>
    <w:rsid w:val="0070287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287C"/>
    <w:rPr>
      <w:rFonts w:ascii="Times New Roman" w:hAnsi="Times New Roman" w:cs="Times New Roman"/>
      <w:sz w:val="18"/>
      <w:szCs w:val="18"/>
      <w:lang w:val="en-GB"/>
    </w:rPr>
  </w:style>
  <w:style w:type="paragraph" w:styleId="Liststycke">
    <w:name w:val="List Paragraph"/>
    <w:basedOn w:val="Normal"/>
    <w:uiPriority w:val="34"/>
    <w:qFormat/>
    <w:rsid w:val="005E3697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94E75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39"/>
    <w:rsid w:val="00DF625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524F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524F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524FD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34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3344A"/>
    <w:rPr>
      <w:rFonts w:ascii="Times New Roman" w:eastAsia="Times New Roman" w:hAnsi="Times New Roman" w:cs="Times New Roman"/>
      <w:lang w:val="en-GB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43344A"/>
  </w:style>
  <w:style w:type="paragraph" w:styleId="Sidfot">
    <w:name w:val="footer"/>
    <w:basedOn w:val="Normal"/>
    <w:link w:val="SidfotChar"/>
    <w:uiPriority w:val="99"/>
    <w:unhideWhenUsed/>
    <w:rsid w:val="004334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3344A"/>
    <w:rPr>
      <w:rFonts w:ascii="Times New Roman" w:eastAsia="Times New Roman" w:hAnsi="Times New Roman" w:cs="Times New Roman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14764118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tools/primer-bla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leotide/14764118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1525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Christopher Fowler</cp:lastModifiedBy>
  <cp:revision>20</cp:revision>
  <dcterms:created xsi:type="dcterms:W3CDTF">2019-04-29T08:16:00Z</dcterms:created>
  <dcterms:modified xsi:type="dcterms:W3CDTF">2019-05-02T08:13:00Z</dcterms:modified>
</cp:coreProperties>
</file>