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97" w:rsidRPr="00425620" w:rsidRDefault="00470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Supplementary data</w:t>
      </w:r>
    </w:p>
    <w:p w:rsidR="004704A5" w:rsidRPr="00425620" w:rsidRDefault="00470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84" w:rsidRPr="00425620" w:rsidRDefault="00036684" w:rsidP="00036684">
      <w:pPr>
        <w:wordWrap/>
        <w:spacing w:line="48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ja-JP"/>
        </w:rPr>
      </w:pPr>
      <w:r w:rsidRPr="00425620">
        <w:rPr>
          <w:rFonts w:ascii="Times New Roman" w:eastAsia="Malgun Gothic" w:hAnsi="Times New Roman" w:cs="Times New Roman" w:hint="eastAsia"/>
          <w:b/>
          <w:color w:val="000000" w:themeColor="text1"/>
          <w:sz w:val="24"/>
          <w:szCs w:val="24"/>
        </w:rPr>
        <w:t>Dietary supplementation</w:t>
      </w:r>
      <w:r w:rsidRPr="00425620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of a high-temperature-processed green tea extract </w:t>
      </w:r>
      <w:r w:rsidRPr="00425620">
        <w:rPr>
          <w:rFonts w:ascii="Times New Roman" w:eastAsia="Malgun Gothic" w:hAnsi="Times New Roman" w:cs="Times New Roman" w:hint="eastAsia"/>
          <w:b/>
          <w:color w:val="000000" w:themeColor="text1"/>
          <w:sz w:val="24"/>
          <w:szCs w:val="24"/>
        </w:rPr>
        <w:t xml:space="preserve">attenuates cognitive </w:t>
      </w:r>
      <w:r w:rsidRPr="00425620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impairment</w:t>
      </w:r>
      <w:r w:rsidRPr="00425620">
        <w:rPr>
          <w:rFonts w:ascii="Times New Roman" w:eastAsia="Malgun Gothic" w:hAnsi="Times New Roman" w:cs="Times New Roman" w:hint="eastAsia"/>
          <w:b/>
          <w:color w:val="000000" w:themeColor="text1"/>
          <w:sz w:val="24"/>
          <w:szCs w:val="24"/>
        </w:rPr>
        <w:t xml:space="preserve"> in PS2 and Tg2576 mice</w:t>
      </w:r>
    </w:p>
    <w:p w:rsidR="00036684" w:rsidRPr="00425620" w:rsidRDefault="00036684" w:rsidP="00036684">
      <w:pPr>
        <w:wordWrap/>
        <w:spacing w:line="48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036684" w:rsidRPr="00425620" w:rsidRDefault="00036684" w:rsidP="00036684">
      <w:pPr>
        <w:wordWrap/>
        <w:spacing w:line="48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25620">
        <w:rPr>
          <w:rFonts w:ascii="Times New Roman" w:hAnsi="Times New Roman"/>
          <w:color w:val="000000" w:themeColor="text1"/>
          <w:sz w:val="24"/>
          <w:szCs w:val="24"/>
        </w:rPr>
        <w:t>Juewon</w:t>
      </w:r>
      <w:proofErr w:type="spellEnd"/>
      <w:r w:rsidRPr="00425620">
        <w:rPr>
          <w:rFonts w:ascii="Times New Roman" w:hAnsi="Times New Roman"/>
          <w:color w:val="000000" w:themeColor="text1"/>
          <w:sz w:val="24"/>
          <w:szCs w:val="24"/>
        </w:rPr>
        <w:t xml:space="preserve"> Kim, Shinichiro </w:t>
      </w:r>
      <w:proofErr w:type="spellStart"/>
      <w:r w:rsidRPr="00425620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425620">
        <w:rPr>
          <w:rFonts w:ascii="Times New Roman" w:hAnsi="Times New Roman" w:hint="eastAsia"/>
          <w:color w:val="000000" w:themeColor="text1"/>
          <w:sz w:val="24"/>
          <w:szCs w:val="24"/>
        </w:rPr>
        <w:t>unayama</w:t>
      </w:r>
      <w:proofErr w:type="spellEnd"/>
      <w:r w:rsidRPr="0042562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2562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425620">
        <w:rPr>
          <w:rFonts w:ascii="Times New Roman" w:hAnsi="Times New Roman" w:hint="eastAsia"/>
          <w:color w:val="000000" w:themeColor="text1"/>
          <w:sz w:val="24"/>
          <w:szCs w:val="24"/>
        </w:rPr>
        <w:t>a</w:t>
      </w:r>
      <w:r w:rsidRPr="00425620">
        <w:rPr>
          <w:rFonts w:ascii="Times New Roman" w:hAnsi="Times New Roman"/>
          <w:color w:val="000000" w:themeColor="text1"/>
          <w:sz w:val="24"/>
          <w:szCs w:val="24"/>
        </w:rPr>
        <w:t>otaka</w:t>
      </w:r>
      <w:proofErr w:type="spellEnd"/>
      <w:r w:rsidRPr="0042562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425620">
        <w:rPr>
          <w:rFonts w:ascii="Times New Roman" w:hAnsi="Times New Roman"/>
          <w:color w:val="000000" w:themeColor="text1"/>
          <w:sz w:val="24"/>
          <w:szCs w:val="24"/>
        </w:rPr>
        <w:t>Izuo</w:t>
      </w:r>
      <w:proofErr w:type="spellEnd"/>
      <w:r w:rsidRPr="0042562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25620">
        <w:rPr>
          <w:rFonts w:ascii="Times New Roman" w:hAnsi="Times New Roman" w:hint="eastAsia"/>
          <w:color w:val="000000" w:themeColor="text1"/>
          <w:sz w:val="24"/>
          <w:szCs w:val="24"/>
        </w:rPr>
        <w:t>Takahiko Shimizu</w:t>
      </w:r>
    </w:p>
    <w:p w:rsidR="00036684" w:rsidRPr="00425620" w:rsidRDefault="00036684" w:rsidP="00036684">
      <w:pPr>
        <w:widowControl/>
        <w:wordWrap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C74CDA" w:rsidRPr="00425620" w:rsidRDefault="00C74CDA" w:rsidP="00036684">
      <w:pPr>
        <w:widowControl/>
        <w:wordWrap/>
        <w:spacing w:line="480" w:lineRule="auto"/>
        <w:contextualSpacing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hint="eastAsia"/>
          <w:color w:val="000000" w:themeColor="text1"/>
          <w:sz w:val="24"/>
          <w:szCs w:val="24"/>
        </w:rPr>
        <w:t>Methods</w:t>
      </w:r>
    </w:p>
    <w:p w:rsidR="004704A5" w:rsidRPr="00425620" w:rsidRDefault="00223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Table S1</w:t>
      </w:r>
    </w:p>
    <w:p w:rsidR="00223E14" w:rsidRPr="00425620" w:rsidRDefault="00223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Figure S1 - S3</w:t>
      </w:r>
    </w:p>
    <w:p w:rsidR="00C74CDA" w:rsidRPr="00425620" w:rsidRDefault="004704A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74CDA" w:rsidRPr="00425620" w:rsidRDefault="00C74CDA" w:rsidP="00C74C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Methods</w:t>
      </w:r>
    </w:p>
    <w:p w:rsidR="00C74CDA" w:rsidRPr="00425620" w:rsidRDefault="00C74CDA" w:rsidP="00C74CDA">
      <w:pPr>
        <w:ind w:rightChars="118" w:right="2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HPLC method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1. Control reagent</w:t>
      </w:r>
    </w:p>
    <w:p w:rsidR="00C74CDA" w:rsidRPr="00425620" w:rsidRDefault="00C74CDA" w:rsidP="00C74CDA">
      <w:pPr>
        <w:spacing w:line="24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1) Standard reagent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GC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</w:t>
      </w:r>
      <w:proofErr w:type="spell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gallocatechin</w:t>
      </w:r>
      <w:proofErr w:type="spell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(Wako chem : 072-04761)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EGC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(-)-epigallocatechin (Wako chem : 056-06761)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C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(-)-catechin (Wako chem : 035-18461)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EC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(-)-epicatechin (Wako chem : 059-06751)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EGCG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(-)-epigallocatechin gallate (Wako chem : 056-08961)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GGC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</w:t>
      </w:r>
      <w:proofErr w:type="spell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gallocatechin</w:t>
      </w:r>
      <w:proofErr w:type="spell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gallate (Wako chem : 079-04771)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ECG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(-)-epicatechin gallate (Wako chem : 052-06741)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CG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(-)-catechin gallate (Wako chem : 035-18471)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2) Solvent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Trifluoroacetic acid (TFA): HPLC analysis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Acetic </w:t>
      </w: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acid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HPLC analysis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Acetonitrile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HPLC grade 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Methanol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HPLC grade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Water :</w:t>
      </w:r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HPLC grade</w:t>
      </w:r>
    </w:p>
    <w:p w:rsidR="00C74CDA" w:rsidRPr="00425620" w:rsidRDefault="00C74CDA" w:rsidP="00C74CDA">
      <w:pPr>
        <w:spacing w:line="24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3. Standard reagent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070"/>
        <w:gridCol w:w="1519"/>
        <w:gridCol w:w="1510"/>
        <w:gridCol w:w="1517"/>
        <w:gridCol w:w="1516"/>
        <w:gridCol w:w="1576"/>
      </w:tblGrid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volume (mg)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Purity (spec) (%)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 (mg)</w:t>
            </w: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volume (mL)</w:t>
            </w: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Concentration (</w:t>
            </w:r>
            <w:r w:rsidR="00CB7AEF" w:rsidRPr="00425620">
              <w:rPr>
                <w:rFonts w:ascii="Symbol" w:hAnsi="Symbol" w:cs="Times New Roman"/>
                <w:color w:val="000000" w:themeColor="text1"/>
                <w:sz w:val="24"/>
                <w:szCs w:val="24"/>
              </w:rPr>
              <w:t>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g/mL)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EGC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25620" w:rsidRPr="00425620" w:rsidTr="00C74CDA">
        <w:trPr>
          <w:trHeight w:val="248"/>
        </w:trPr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EGCG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GCG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ECG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620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74CDA" w:rsidRPr="00425620" w:rsidTr="00C74CDA">
        <w:tc>
          <w:tcPr>
            <w:tcW w:w="1019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Caffeine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(g)</w:t>
            </w:r>
          </w:p>
        </w:tc>
        <w:tc>
          <w:tcPr>
            <w:tcW w:w="1537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8" w:type="dxa"/>
            <w:vMerge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</w:tbl>
    <w:p w:rsidR="00C74CDA" w:rsidRPr="00425620" w:rsidRDefault="00C74CDA" w:rsidP="00C74CDA">
      <w:pPr>
        <w:spacing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4. Analysis</w:t>
      </w:r>
    </w:p>
    <w:p w:rsidR="00C74CDA" w:rsidRPr="00425620" w:rsidRDefault="00C74CDA" w:rsidP="00C74CDA">
      <w:pPr>
        <w:spacing w:line="240" w:lineRule="auto"/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Column : Agilent </w:t>
      </w:r>
      <w:proofErr w:type="spell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Zorbax</w:t>
      </w:r>
      <w:proofErr w:type="spell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Eclipse XDB C18 HT (2.1</w:t>
      </w:r>
      <w:r w:rsidR="00CB7AEF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x 100 mm, 1.8 </w:t>
      </w:r>
      <w:r w:rsidR="00CB7AEF" w:rsidRPr="00425620">
        <w:rPr>
          <w:rFonts w:ascii="Symbol" w:hAnsi="Symbol" w:cs="Times New Roman"/>
          <w:color w:val="000000" w:themeColor="text1"/>
          <w:sz w:val="24"/>
          <w:szCs w:val="24"/>
        </w:rPr>
        <w:t>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m)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Inject volume : 2 μL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Detector: PDA </w:t>
      </w:r>
      <w:r w:rsidR="00E82A52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detector 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(UV 280 nm)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Temperature: 40℃</w:t>
      </w: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 solvent: 0.05% </w:t>
      </w:r>
      <w:r w:rsidR="00163764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v/v</w:t>
      </w:r>
      <w:r w:rsidR="00163764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Trifluoroacetic acid solution (A), </w:t>
      </w:r>
      <w:proofErr w:type="spellStart"/>
      <w:proofErr w:type="gram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Methanol:acet</w:t>
      </w:r>
      <w:r w:rsidR="00163764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nitril</w:t>
      </w:r>
      <w:r w:rsidR="00163764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proofErr w:type="gram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(70:30) </w:t>
      </w:r>
      <w:r w:rsidR="00E82A52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solution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(B)– gradient elution</w:t>
      </w:r>
    </w:p>
    <w:p w:rsidR="00C74CDA" w:rsidRPr="00425620" w:rsidRDefault="00C74CDA" w:rsidP="00C74CDA">
      <w:pPr>
        <w:spacing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Table 2. Gradient elution condit</w:t>
      </w:r>
      <w:r w:rsidR="00163764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</w:p>
    <w:tbl>
      <w:tblPr>
        <w:tblStyle w:val="a9"/>
        <w:tblpPr w:leftFromText="142" w:rightFromText="142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239"/>
        <w:gridCol w:w="1276"/>
        <w:gridCol w:w="1134"/>
      </w:tblGrid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  <w:r w:rsidR="00CB7AEF"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(min)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Flow (mL/min.)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%A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%B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Curve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25620" w:rsidRPr="00425620" w:rsidTr="003A3B37">
        <w:tc>
          <w:tcPr>
            <w:tcW w:w="184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845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39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74CDA" w:rsidRPr="00425620" w:rsidRDefault="00C74CDA" w:rsidP="003A3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C74CD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9C7" w:rsidRPr="00425620" w:rsidRDefault="00F619C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66B" w:rsidRPr="00425620" w:rsidRDefault="00AC566B" w:rsidP="00AC566B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CDA" w:rsidRPr="00425620" w:rsidRDefault="00C74CDA" w:rsidP="00AC566B">
      <w:pPr>
        <w:widowControl/>
        <w:wordWrap/>
        <w:autoSpaceDE/>
        <w:autoSpaceDN/>
        <w:rPr>
          <w:rStyle w:val="fonttxt2"/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 HPLC-PDA analysis method</w:t>
      </w:r>
    </w:p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1 GC: (-)-</w:t>
      </w:r>
      <w:proofErr w:type="spell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gallocatechin</w:t>
      </w:r>
      <w:proofErr w:type="spellEnd"/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99"/>
        <w:gridCol w:w="2922"/>
        <w:gridCol w:w="1237"/>
        <w:gridCol w:w="3484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200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6.0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200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0.74 ~ 2.13 %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2.53 %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4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0.40 ~ 1.08 %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0.99 %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CB7AEF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91.7 ~ 98.1 %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0.18 ~ 0.40 %)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4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1.47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0.48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spacing w:before="60" w:after="60" w:line="312" w:lineRule="auto"/>
        <w:ind w:right="-1"/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*</w:t>
      </w:r>
      <w:r w:rsidRPr="004256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Repeatability</w:t>
      </w:r>
    </w:p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2 EGC: (-)-epigallocatechin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92"/>
        <w:gridCol w:w="2882"/>
        <w:gridCol w:w="1286"/>
        <w:gridCol w:w="3482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9.9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28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482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0.62 ~ 1.22 %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1.27 %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28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482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0.29 ~ 1.08 %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1.16 %</w:t>
            </w:r>
          </w:p>
        </w:tc>
      </w:tr>
    </w:tbl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3 C: (-)-catechin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3"/>
        <w:gridCol w:w="2897"/>
        <w:gridCol w:w="1243"/>
        <w:gridCol w:w="3499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13.5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0.47 ~ 0.69 %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0.61 %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4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0.04 ~ 2.50 %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1.99 %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CB7AEF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99.0 ~ 102.9 %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0.10 ~ 0.40 %)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4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0.29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0.10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</w:p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4 EC: (-)-epicatechin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78"/>
        <w:gridCol w:w="2976"/>
        <w:gridCol w:w="1267"/>
        <w:gridCol w:w="3421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lastRenderedPageBreak/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lastRenderedPageBreak/>
              <w:t>Instrument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lastRenderedPageBreak/>
              <w:t xml:space="preserve">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22.4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0.18 ~ 0.37 %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3.34 %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26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42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1.05 ~ 2.09 %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2.82 %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CB7AEF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100.1 ~ 103.2 %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0.07 ~ 1.46 %)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26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2.38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LOD : 0.79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5 EGCG: (-)-epigallocatechin gallate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3"/>
        <w:gridCol w:w="2897"/>
        <w:gridCol w:w="1243"/>
        <w:gridCol w:w="3499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200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23.4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200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0.13~ 0.50 %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1.73 %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4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0.36 ~ 1.21 %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0.92 %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CB7AEF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101.9 ~ 108.8 %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0.12 ~ 0.14 %)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4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0.29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0.89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</w:p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6 GCG: (-)-</w:t>
      </w:r>
      <w:proofErr w:type="spellStart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gallocatechin</w:t>
      </w:r>
      <w:proofErr w:type="spellEnd"/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gallate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78"/>
        <w:gridCol w:w="2976"/>
        <w:gridCol w:w="1267"/>
        <w:gridCol w:w="3421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200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Method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lastRenderedPageBreak/>
              <w:t>validation</w:t>
            </w: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lastRenderedPageBreak/>
              <w:t>Specificity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Retention time : 27.3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10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0.22 ~ 0.41 %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1.16 %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26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421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0.44 ~ 1.67 %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1.25 %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Accuracy(Recovery)</w:t>
            </w:r>
          </w:p>
        </w:tc>
        <w:tc>
          <w:tcPr>
            <w:tcW w:w="1267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421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106.0 ~ 112.0 %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0.08 ~ 0.12 %)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26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42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0.26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0.09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7 ECG: (-)-epicatechin gallate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3"/>
        <w:gridCol w:w="2897"/>
        <w:gridCol w:w="1243"/>
        <w:gridCol w:w="3499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41.2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0.37 ~ 0.68 %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0.79 %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4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0.29 ~ 1.49 %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1.22 %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CB7AEF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102.9 ~ 105.0 %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0.29 ~ 0.35 %)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4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0.58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0.19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</w:p>
    <w:p w:rsidR="00C74CDA" w:rsidRPr="00425620" w:rsidRDefault="00C74CDA" w:rsidP="00C74CDA">
      <w:pPr>
        <w:spacing w:before="60" w:after="60" w:line="312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Style w:val="fonttxt2"/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8 GC: (-)-catechin gallate</w:t>
      </w:r>
    </w:p>
    <w:tbl>
      <w:tblPr>
        <w:tblStyle w:val="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98"/>
        <w:gridCol w:w="2885"/>
        <w:gridCol w:w="1278"/>
        <w:gridCol w:w="3481"/>
      </w:tblGrid>
      <w:tr w:rsidR="00425620" w:rsidRPr="00425620" w:rsidTr="003A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Analytical 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ethod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Instrument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HPLC-PDA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(Alliance 2695/2996 PDA, Waters) 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Sample process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Liquid extraction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Calibration range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Method validation</w:t>
            </w: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Specificity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interference observed 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Retention time : 43.7 min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Linearity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N=3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5 ~ 100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42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0.999</w:t>
            </w:r>
          </w:p>
        </w:tc>
      </w:tr>
      <w:tr w:rsidR="00425620" w:rsidRPr="00425620" w:rsidTr="003A3B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System Precision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3, 5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5) 0.15 ~ 0.78 %</w:t>
            </w:r>
          </w:p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(n=3) 0.90 %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Repeatability</w:t>
            </w:r>
          </w:p>
        </w:tc>
        <w:tc>
          <w:tcPr>
            <w:tcW w:w="143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Intra-day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3, 6) 0.64 ~ 1.82 %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Inter-day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(n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3) 2.01 %</w:t>
            </w:r>
          </w:p>
        </w:tc>
      </w:tr>
      <w:tr w:rsidR="00425620" w:rsidRPr="00425620" w:rsidTr="003A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Accuracy</w:t>
            </w:r>
            <w:r w:rsidR="00305F20"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(Recovery)</w:t>
            </w:r>
          </w:p>
        </w:tc>
        <w:tc>
          <w:tcPr>
            <w:tcW w:w="1434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:rsidR="00C74CDA" w:rsidRPr="00425620" w:rsidRDefault="00C74CDA" w:rsidP="003A3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98.1 ~ 101.9 %</w:t>
            </w:r>
            <w:r w:rsidR="00CB7AEF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(CV 0.11 ~ 0.95 %)</w:t>
            </w:r>
          </w:p>
        </w:tc>
      </w:tr>
      <w:tr w:rsidR="00425620" w:rsidRPr="00425620" w:rsidTr="003A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32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LOD, LOQ</w:t>
            </w:r>
          </w:p>
        </w:tc>
        <w:tc>
          <w:tcPr>
            <w:tcW w:w="14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N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=</w:t>
            </w:r>
            <w:r w:rsidR="00305F20"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0.85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  <w:p w:rsidR="00C74CDA" w:rsidRPr="00425620" w:rsidRDefault="00C74CDA" w:rsidP="003A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LOQ : 0.27 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㎍</w:t>
            </w:r>
            <w:r w:rsidRPr="00425620">
              <w:rPr>
                <w:rStyle w:val="fonttxt2"/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/mL</w:t>
            </w:r>
          </w:p>
        </w:tc>
      </w:tr>
    </w:tbl>
    <w:p w:rsidR="00C74CDA" w:rsidRPr="00425620" w:rsidRDefault="00C74CDA" w:rsidP="00C74CDA">
      <w:pPr>
        <w:spacing w:before="60" w:after="60" w:line="312" w:lineRule="auto"/>
        <w:ind w:right="-1"/>
        <w:rPr>
          <w:color w:val="000000" w:themeColor="text1"/>
          <w:sz w:val="24"/>
          <w:szCs w:val="24"/>
        </w:rPr>
      </w:pPr>
    </w:p>
    <w:p w:rsidR="00C74CDA" w:rsidRPr="00425620" w:rsidRDefault="00C74CD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619C7" w:rsidRPr="00425620" w:rsidRDefault="00F619C7" w:rsidP="00C74CDA">
      <w:pPr>
        <w:spacing w:line="480" w:lineRule="auto"/>
        <w:ind w:rightChars="47" w:right="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Table S1. The amount of GCG after HTP-GTE administration</w:t>
      </w:r>
    </w:p>
    <w:tbl>
      <w:tblPr>
        <w:tblW w:w="7747" w:type="dxa"/>
        <w:tblInd w:w="1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8"/>
        <w:gridCol w:w="1849"/>
        <w:gridCol w:w="1621"/>
        <w:gridCol w:w="1773"/>
        <w:gridCol w:w="1346"/>
      </w:tblGrid>
      <w:tr w:rsidR="00425620" w:rsidRPr="00425620" w:rsidTr="0016687B">
        <w:trPr>
          <w:trHeight w:val="609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F619C7" w:rsidRPr="00425620" w:rsidRDefault="00F619C7" w:rsidP="001668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Gulim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Time (h)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Dose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Plasma (ng/mL)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Brain tissue(ng/g)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T/P ratio</w:t>
            </w:r>
          </w:p>
        </w:tc>
      </w:tr>
      <w:tr w:rsidR="00425620" w:rsidRPr="00425620" w:rsidTr="0016687B">
        <w:trPr>
          <w:trHeight w:val="621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0.5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1 g/kg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201.3</w:t>
            </w: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± </w:t>
            </w: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190.1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5.</w:t>
            </w: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8</w:t>
            </w: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0 ± 0.4</w:t>
            </w: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0.0</w:t>
            </w: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4</w:t>
            </w: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 ± 0.0</w:t>
            </w:r>
            <w:r w:rsidRPr="00425620">
              <w:rPr>
                <w:rFonts w:ascii="Times New Roman" w:eastAsia="아리따-돋움(TTF)-Medium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27</w:t>
            </w:r>
          </w:p>
        </w:tc>
      </w:tr>
      <w:tr w:rsidR="00425620" w:rsidRPr="00425620" w:rsidTr="0016687B">
        <w:trPr>
          <w:trHeight w:val="609"/>
        </w:trPr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hAnsi="Times New Roman" w:cs="Times New Roman" w:hint="eastAsia"/>
                <w:b/>
                <w:color w:val="000000" w:themeColor="text1"/>
                <w:kern w:val="24"/>
                <w:sz w:val="24"/>
                <w:szCs w:val="24"/>
              </w:rPr>
              <w:t>1 g/kg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90.1 ± 17.0</w:t>
            </w:r>
          </w:p>
        </w:tc>
        <w:tc>
          <w:tcPr>
            <w:tcW w:w="1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5.70 ± 0.41</w:t>
            </w:r>
          </w:p>
        </w:tc>
        <w:tc>
          <w:tcPr>
            <w:tcW w:w="1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8D0A2B" w:rsidRPr="00425620" w:rsidRDefault="00F619C7" w:rsidP="0016687B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Gulim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25620">
              <w:rPr>
                <w:rFonts w:ascii="Times New Roman" w:eastAsia="아리따-돋움(TTF)-Medium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0.066 ± 0.015</w:t>
            </w:r>
          </w:p>
        </w:tc>
      </w:tr>
    </w:tbl>
    <w:p w:rsidR="00F619C7" w:rsidRPr="00425620" w:rsidRDefault="00F619C7" w:rsidP="00F619C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9C7" w:rsidRPr="00425620" w:rsidRDefault="00F619C7" w:rsidP="00F619C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amount of GCG in plasma or brain tissue was evaluated on 0.5 and 1 h after </w:t>
      </w:r>
      <w:r w:rsidR="001D0A29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oral treatment of 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HTP-GTE (1 g/kg)</w:t>
      </w:r>
      <w:r w:rsidR="00176CEE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by HPLC analysis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176CEE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76CEE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used ethyl acetate as extraction buffer because of solubility of catechin component. </w:t>
      </w:r>
      <w:r w:rsidR="001D0A29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T/P ratio means </w:t>
      </w:r>
      <w:r w:rsidR="00E64CB3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tissue to plasma ratio of GCG. 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ata represent means 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B1"/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S.D. The experiments performed three times independently.</w:t>
      </w:r>
    </w:p>
    <w:p w:rsidR="00F619C7" w:rsidRPr="00425620" w:rsidRDefault="00F619C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4A5" w:rsidRPr="00425620" w:rsidRDefault="004704A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9C7" w:rsidRPr="00425620" w:rsidRDefault="00F619C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704A5" w:rsidRPr="00425620" w:rsidRDefault="00FF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</w:p>
    <w:p w:rsidR="00FF32B8" w:rsidRPr="00425620" w:rsidRDefault="00FF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864E713" wp14:editId="3201A0E4">
            <wp:extent cx="5731510" cy="1663596"/>
            <wp:effectExtent l="0" t="0" r="2540" b="0"/>
            <wp:docPr id="1" name="그림 1" descr="d:\Users\ap493069\Desktop\Figure S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p493069\Desktop\Figure S1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F2" w:rsidRPr="00425620" w:rsidRDefault="002326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2B8" w:rsidRPr="00425620" w:rsidRDefault="00FF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FF32B8" w:rsidRPr="00425620" w:rsidRDefault="00FF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3860E45" wp14:editId="48DE0C76">
            <wp:extent cx="5731510" cy="1770019"/>
            <wp:effectExtent l="0" t="0" r="2540" b="1905"/>
            <wp:docPr id="9" name="그림 9" descr="d:\Users\ap493069\Desktop\Figure S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p493069\Desktop\Figure S1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B8" w:rsidRPr="00425620" w:rsidRDefault="00FF3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2B8" w:rsidRPr="00425620" w:rsidRDefault="004704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S1. </w:t>
      </w:r>
      <w:r w:rsidR="00FF32B8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The HPLC data of catechin component. (a) GTE and (b) HTP-GTE were depicted.</w:t>
      </w:r>
    </w:p>
    <w:p w:rsidR="00FF32B8" w:rsidRPr="00425620" w:rsidRDefault="00FF32B8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9199C" w:rsidRPr="00425620" w:rsidRDefault="0099199C" w:rsidP="0099199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a</w:t>
      </w:r>
    </w:p>
    <w:p w:rsidR="0099199C" w:rsidRPr="00425620" w:rsidRDefault="0099199C" w:rsidP="00881293">
      <w:pPr>
        <w:spacing w:line="480" w:lineRule="auto"/>
        <w:ind w:firstLineChars="100" w:firstLin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01C9D39" wp14:editId="74C86D18">
            <wp:extent cx="3713792" cy="2517030"/>
            <wp:effectExtent l="0" t="0" r="0" b="0"/>
            <wp:docPr id="21" name="그림 21" descr="d:\Users\ap493069\Desktop\AD_GTE\Submission\Figure. S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p493069\Desktop\AD_GTE\Submission\Figure. S3b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37" cy="251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C" w:rsidRPr="00425620" w:rsidRDefault="0099199C" w:rsidP="0099199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</w:p>
    <w:p w:rsidR="0099199C" w:rsidRPr="00425620" w:rsidRDefault="00881293" w:rsidP="0099199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999861" cy="2538474"/>
            <wp:effectExtent l="0" t="0" r="0" b="0"/>
            <wp:docPr id="26" name="그림 26" descr="d:\Users\ap493069\Desktop\Fig.S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p493069\Desktop\Fig.S2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98" cy="25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9C" w:rsidRPr="00425620" w:rsidRDefault="0099199C" w:rsidP="0099199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Figure S2. The effects of HTP-GTE on anxiety-related behavior and locomotive activity. (a) Open arm ratio (time spent in open field/total) was observed. (b) Locomotive activity of mice was evaluated in 7 consecutive days. Data are represented as means with average of experimental values. 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= 6.</w:t>
      </w:r>
    </w:p>
    <w:p w:rsidR="0099199C" w:rsidRPr="00425620" w:rsidRDefault="00991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9C" w:rsidRPr="00425620" w:rsidRDefault="0099199C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704A5" w:rsidRPr="00425620" w:rsidRDefault="005F5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</w:p>
    <w:p w:rsidR="005F5A85" w:rsidRPr="00425620" w:rsidRDefault="005F5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990E8D5" wp14:editId="1740DE51">
            <wp:extent cx="4357448" cy="2778959"/>
            <wp:effectExtent l="0" t="0" r="0" b="0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A85" w:rsidRPr="00425620" w:rsidRDefault="005F5A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5F5A85" w:rsidRPr="00425620" w:rsidRDefault="005F5A85" w:rsidP="00C956F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E9D7FFA" wp14:editId="6B435649">
            <wp:extent cx="4434074" cy="3008836"/>
            <wp:effectExtent l="0" t="0" r="0" b="0"/>
            <wp:docPr id="14" name="차트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0C02" w:rsidRPr="00425620" w:rsidRDefault="0099199C" w:rsidP="00C956F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Figure S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5F5A85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56F6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pharmacokinetics of 100 mg/kg EGCG (a) </w:t>
      </w:r>
      <w:r w:rsidR="002326F2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 GCG (b) was</w:t>
      </w:r>
      <w:r w:rsidR="00C956F6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estimated for 4 h. The concentrations of EGCG</w:t>
      </w:r>
      <w:r w:rsidR="005E3398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GCG in mice blood sample were</w:t>
      </w:r>
      <w:r w:rsidR="00C956F6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evaluated. </w:t>
      </w:r>
      <w:r w:rsidR="004A7855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 AUC (area under the plasma level-time curve) was 113.4 ng</w:t>
      </w:r>
      <w:r w:rsidR="004A7855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7"/>
      </w:r>
      <w:proofErr w:type="spellStart"/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hr</w:t>
      </w:r>
      <w:proofErr w:type="spellEnd"/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/ml for EGCG and 865.7 ng</w:t>
      </w:r>
      <w:r w:rsidR="004A7855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7"/>
      </w:r>
      <w:proofErr w:type="spellStart"/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hr</w:t>
      </w:r>
      <w:proofErr w:type="spellEnd"/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/ml for GCG, respectively. C max (maximum plasma concentration) was 186.6 ng/ml for EGCG and 314.5 ng/ml for</w:t>
      </w:r>
      <w:bookmarkStart w:id="0" w:name="_GoBack"/>
      <w:bookmarkEnd w:id="0"/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GCG, respectively. </w:t>
      </w:r>
      <w:r w:rsidR="004A7855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ata are depicted as means </w:t>
      </w:r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sym w:font="Symbol" w:char="F0B1"/>
      </w:r>
      <w:r w:rsidR="004A7855"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S.D.</w:t>
      </w:r>
    </w:p>
    <w:p w:rsidR="00A00C02" w:rsidRPr="00425620" w:rsidRDefault="00A00C02" w:rsidP="00A00C02">
      <w:pPr>
        <w:widowControl/>
        <w:wordWrap/>
        <w:autoSpaceDE/>
        <w:autoSpaceDN/>
        <w:rPr>
          <w:color w:val="000000" w:themeColor="text1"/>
          <w:sz w:val="21"/>
          <w:szCs w:val="21"/>
        </w:rPr>
      </w:pPr>
    </w:p>
    <w:p w:rsidR="00A00C02" w:rsidRPr="00425620" w:rsidRDefault="00A00C02" w:rsidP="00A00C0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                                 </w:t>
      </w:r>
      <w:r w:rsidRPr="004256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A00C02" w:rsidRPr="00425620" w:rsidRDefault="00195800" w:rsidP="00A00C0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147888" cy="1999774"/>
            <wp:effectExtent l="0" t="0" r="5080" b="635"/>
            <wp:docPr id="4" name="그림 4" descr="d:\Users\ap493069\Desktop\AD_GTE\Submission\Revision\GC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p493069\Desktop\AD_GTE\Submission\Revision\GCG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40" cy="200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00C02"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2562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14538" cy="1659457"/>
            <wp:effectExtent l="0" t="0" r="5080" b="0"/>
            <wp:docPr id="5" name="그림 5" descr="d:\Users\ap493069\Desktop\AD_GTE\Submission\Revision\EGC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p493069\Desktop\AD_GTE\Submission\Revision\EGCG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48" cy="16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02" w:rsidRPr="00425620" w:rsidRDefault="00A00C02" w:rsidP="00A00C0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C02" w:rsidRPr="00425620" w:rsidRDefault="00A00C02" w:rsidP="00A00C0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20">
        <w:rPr>
          <w:rFonts w:ascii="Times New Roman" w:hAnsi="Times New Roman" w:cs="Times New Roman"/>
          <w:color w:val="000000" w:themeColor="text1"/>
          <w:sz w:val="24"/>
          <w:szCs w:val="24"/>
        </w:rPr>
        <w:t>Figure S4. The chemical structure of GCG (a) and EGCG (b) was represented.</w:t>
      </w:r>
    </w:p>
    <w:p w:rsidR="00A00C02" w:rsidRPr="00425620" w:rsidRDefault="00A00C02" w:rsidP="00A00C0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0C02" w:rsidRPr="00425620">
      <w:footerReference w:type="even" r:id="rId14"/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EF" w:rsidRDefault="00E808EF" w:rsidP="00FF32B8">
      <w:pPr>
        <w:spacing w:after="0" w:line="240" w:lineRule="auto"/>
      </w:pPr>
      <w:r>
        <w:separator/>
      </w:r>
    </w:p>
  </w:endnote>
  <w:endnote w:type="continuationSeparator" w:id="0">
    <w:p w:rsidR="00E808EF" w:rsidRDefault="00E808EF" w:rsidP="00FF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아리따-돋움(TTF)-Medium">
    <w:altName w:val="Batang"/>
    <w:panose1 w:val="020B0604020202020204"/>
    <w:charset w:val="81"/>
    <w:family w:val="roma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79306557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F5D3F" w:rsidRDefault="007F5D3F" w:rsidP="00E809A0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7F5D3F" w:rsidRDefault="007F5D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199356762"/>
      <w:docPartObj>
        <w:docPartGallery w:val="Page Numbers (Bottom of Page)"/>
        <w:docPartUnique/>
      </w:docPartObj>
    </w:sdtPr>
    <w:sdtEndPr>
      <w:rPr>
        <w:rStyle w:val="aa"/>
        <w:rFonts w:ascii="Arial" w:eastAsia="Arial Unicode MS" w:hAnsi="Arial" w:cs="Times New Roman (本文のフォント - コンプレ"/>
        <w:sz w:val="24"/>
      </w:rPr>
    </w:sdtEndPr>
    <w:sdtContent>
      <w:p w:rsidR="007F5D3F" w:rsidRPr="007F5D3F" w:rsidRDefault="007F5D3F" w:rsidP="00E809A0">
        <w:pPr>
          <w:pStyle w:val="a5"/>
          <w:framePr w:wrap="none" w:vAnchor="text" w:hAnchor="margin" w:xAlign="center" w:y="1"/>
          <w:rPr>
            <w:rStyle w:val="aa"/>
            <w:rFonts w:ascii="Arial" w:eastAsia="Arial Unicode MS" w:hAnsi="Arial" w:cs="Times New Roman (本文のフォント - コンプレ"/>
            <w:sz w:val="24"/>
          </w:rPr>
        </w:pPr>
        <w:r w:rsidRPr="007F5D3F">
          <w:rPr>
            <w:rStyle w:val="aa"/>
            <w:rFonts w:ascii="Arial" w:eastAsia="Arial Unicode MS" w:hAnsi="Arial" w:cs="Times New Roman (本文のフォント - コンプレ"/>
            <w:sz w:val="24"/>
          </w:rPr>
          <w:fldChar w:fldCharType="begin"/>
        </w:r>
        <w:r w:rsidRPr="007F5D3F">
          <w:rPr>
            <w:rStyle w:val="aa"/>
            <w:rFonts w:ascii="Arial" w:eastAsia="Arial Unicode MS" w:hAnsi="Arial" w:cs="Times New Roman (本文のフォント - コンプレ"/>
            <w:sz w:val="24"/>
          </w:rPr>
          <w:instrText xml:space="preserve"> PAGE </w:instrText>
        </w:r>
        <w:r w:rsidRPr="007F5D3F">
          <w:rPr>
            <w:rStyle w:val="aa"/>
            <w:rFonts w:ascii="Arial" w:eastAsia="Arial Unicode MS" w:hAnsi="Arial" w:cs="Times New Roman (本文のフォント - コンプレ"/>
            <w:sz w:val="24"/>
          </w:rPr>
          <w:fldChar w:fldCharType="separate"/>
        </w:r>
        <w:r w:rsidR="00195800">
          <w:rPr>
            <w:rStyle w:val="aa"/>
            <w:rFonts w:ascii="Arial" w:eastAsia="Arial Unicode MS" w:hAnsi="Arial" w:cs="Times New Roman (本文のフォント - コンプレ"/>
            <w:noProof/>
            <w:sz w:val="24"/>
          </w:rPr>
          <w:t>12</w:t>
        </w:r>
        <w:r w:rsidRPr="007F5D3F">
          <w:rPr>
            <w:rStyle w:val="aa"/>
            <w:rFonts w:ascii="Arial" w:eastAsia="Arial Unicode MS" w:hAnsi="Arial" w:cs="Times New Roman (本文のフォント - コンプレ"/>
            <w:sz w:val="24"/>
          </w:rPr>
          <w:fldChar w:fldCharType="end"/>
        </w:r>
      </w:p>
    </w:sdtContent>
  </w:sdt>
  <w:p w:rsidR="007F5D3F" w:rsidRPr="007F5D3F" w:rsidRDefault="007F5D3F">
    <w:pPr>
      <w:pStyle w:val="a5"/>
      <w:rPr>
        <w:rFonts w:ascii="Arial" w:eastAsia="Arial Unicode MS" w:hAnsi="Arial" w:cs="Times New Roman (本文のフォント - コンプレ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EF" w:rsidRDefault="00E808EF" w:rsidP="00FF32B8">
      <w:pPr>
        <w:spacing w:after="0" w:line="240" w:lineRule="auto"/>
      </w:pPr>
      <w:r>
        <w:separator/>
      </w:r>
    </w:p>
  </w:footnote>
  <w:footnote w:type="continuationSeparator" w:id="0">
    <w:p w:rsidR="00E808EF" w:rsidRDefault="00E808EF" w:rsidP="00FF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036684"/>
    <w:rsid w:val="000D6995"/>
    <w:rsid w:val="00122DF4"/>
    <w:rsid w:val="00163764"/>
    <w:rsid w:val="00176CEE"/>
    <w:rsid w:val="00195800"/>
    <w:rsid w:val="001D0A29"/>
    <w:rsid w:val="00223E14"/>
    <w:rsid w:val="002326F2"/>
    <w:rsid w:val="00305F20"/>
    <w:rsid w:val="00425620"/>
    <w:rsid w:val="004704A5"/>
    <w:rsid w:val="004A7855"/>
    <w:rsid w:val="005E3398"/>
    <w:rsid w:val="005F5A85"/>
    <w:rsid w:val="00652C87"/>
    <w:rsid w:val="00755DA7"/>
    <w:rsid w:val="00771A2F"/>
    <w:rsid w:val="007F5D3F"/>
    <w:rsid w:val="00881293"/>
    <w:rsid w:val="008D0A2B"/>
    <w:rsid w:val="0099199C"/>
    <w:rsid w:val="00A00C02"/>
    <w:rsid w:val="00AC566B"/>
    <w:rsid w:val="00B81C1E"/>
    <w:rsid w:val="00BD16E6"/>
    <w:rsid w:val="00C15A10"/>
    <w:rsid w:val="00C74CDA"/>
    <w:rsid w:val="00C956F6"/>
    <w:rsid w:val="00CB7AEF"/>
    <w:rsid w:val="00CC1597"/>
    <w:rsid w:val="00CD1251"/>
    <w:rsid w:val="00D73C12"/>
    <w:rsid w:val="00E64CB3"/>
    <w:rsid w:val="00E808EF"/>
    <w:rsid w:val="00E82A52"/>
    <w:rsid w:val="00F619C7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81E42C-83E3-3945-BDBE-E87FFFB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2B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2B8"/>
  </w:style>
  <w:style w:type="paragraph" w:styleId="a5">
    <w:name w:val="footer"/>
    <w:basedOn w:val="a"/>
    <w:link w:val="a6"/>
    <w:uiPriority w:val="99"/>
    <w:unhideWhenUsed/>
    <w:rsid w:val="00FF32B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2B8"/>
  </w:style>
  <w:style w:type="paragraph" w:styleId="a7">
    <w:name w:val="Balloon Text"/>
    <w:basedOn w:val="a"/>
    <w:link w:val="a8"/>
    <w:uiPriority w:val="99"/>
    <w:semiHidden/>
    <w:unhideWhenUsed/>
    <w:rsid w:val="00FF32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2B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D0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styleId="a9">
    <w:name w:val="Table Grid"/>
    <w:basedOn w:val="a1"/>
    <w:uiPriority w:val="59"/>
    <w:rsid w:val="00C7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txt2">
    <w:name w:val="font_txt2"/>
    <w:basedOn w:val="a0"/>
    <w:rsid w:val="00C74CDA"/>
  </w:style>
  <w:style w:type="table" w:styleId="1">
    <w:name w:val="Light Shading"/>
    <w:basedOn w:val="a1"/>
    <w:uiPriority w:val="60"/>
    <w:rsid w:val="00C74CDA"/>
    <w:pPr>
      <w:spacing w:after="0"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page number"/>
    <w:basedOn w:val="a0"/>
    <w:uiPriority w:val="99"/>
    <w:semiHidden/>
    <w:unhideWhenUsed/>
    <w:rsid w:val="007F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6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10.145.46.15\VAP466096\My%20Documents\&#50641;&#49472;&#44228;&#49328;\2016&#45380;%20&#48516;&#49437;\Bioanalysis\&#48156;&#54952;&#52264;\EGCG%20pretest_PK_1607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51367745698454"/>
          <c:y val="0.14494381983411408"/>
          <c:w val="0.79384940215806621"/>
          <c:h val="0.65287189615056473"/>
        </c:manualLayout>
      </c:layout>
      <c:scatterChart>
        <c:scatterStyle val="lineMarker"/>
        <c:varyColors val="0"/>
        <c:ser>
          <c:idx val="0"/>
          <c:order val="0"/>
          <c:tx>
            <c:strRef>
              <c:f>'EGCG_PO 100 mpk'!$A$48</c:f>
              <c:strCache>
                <c:ptCount val="1"/>
              </c:strCache>
            </c:strRef>
          </c:tx>
          <c:spPr>
            <a:ln w="27940">
              <a:solidFill>
                <a:schemeClr val="tx1"/>
              </a:solidFill>
            </a:ln>
          </c:spPr>
          <c:marker>
            <c:symbol val="circle"/>
            <c:size val="8"/>
            <c:spPr>
              <a:solidFill>
                <a:srgbClr val="4F6228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'EGCG_PO 100 mpk'!$G$48:$G$53</c:f>
                <c:numCache>
                  <c:formatCode>General</c:formatCode>
                  <c:ptCount val="6"/>
                  <c:pt idx="0">
                    <c:v>119.37746224336762</c:v>
                  </c:pt>
                  <c:pt idx="1">
                    <c:v>92.034233739408023</c:v>
                  </c:pt>
                  <c:pt idx="2">
                    <c:v>37.872686191943274</c:v>
                  </c:pt>
                  <c:pt idx="3">
                    <c:v>10.567573694357913</c:v>
                  </c:pt>
                  <c:pt idx="4">
                    <c:v>15.487122338682981</c:v>
                  </c:pt>
                  <c:pt idx="5">
                    <c:v>23.384565850149965</c:v>
                  </c:pt>
                </c:numCache>
              </c:numRef>
            </c:plus>
            <c:minus>
              <c:numRef>
                <c:f>'EGCG_PO 100 mpk'!$G$48:$G$53</c:f>
                <c:numCache>
                  <c:formatCode>General</c:formatCode>
                  <c:ptCount val="6"/>
                  <c:pt idx="0">
                    <c:v>119.37746224336762</c:v>
                  </c:pt>
                  <c:pt idx="1">
                    <c:v>92.034233739408023</c:v>
                  </c:pt>
                  <c:pt idx="2">
                    <c:v>37.872686191943274</c:v>
                  </c:pt>
                  <c:pt idx="3">
                    <c:v>10.567573694357913</c:v>
                  </c:pt>
                  <c:pt idx="4">
                    <c:v>15.487122338682981</c:v>
                  </c:pt>
                  <c:pt idx="5">
                    <c:v>23.384565850149965</c:v>
                  </c:pt>
                </c:numCache>
              </c:numRef>
            </c:minus>
          </c:errBars>
          <c:xVal>
            <c:numRef>
              <c:f>'EGCG_PO 100 mpk'!$B$48:$B$53</c:f>
              <c:numCache>
                <c:formatCode>0.0_ </c:formatCode>
                <c:ptCount val="6"/>
                <c:pt idx="0">
                  <c:v>8.3333333333333329E-2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xVal>
          <c:yVal>
            <c:numRef>
              <c:f>'EGCG_PO 100 mpk'!$F$48:$F$53</c:f>
              <c:numCache>
                <c:formatCode>0.00_ </c:formatCode>
                <c:ptCount val="6"/>
                <c:pt idx="0">
                  <c:v>186.60250000000002</c:v>
                </c:pt>
                <c:pt idx="1">
                  <c:v>105.73600000000002</c:v>
                </c:pt>
                <c:pt idx="2">
                  <c:v>36.320862550786558</c:v>
                </c:pt>
                <c:pt idx="3">
                  <c:v>17.468117259866119</c:v>
                </c:pt>
                <c:pt idx="4">
                  <c:v>16.522500000000001</c:v>
                </c:pt>
                <c:pt idx="5">
                  <c:v>24.672000000000001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91C-1042-A0A2-1F3862432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951424"/>
        <c:axId val="136144768"/>
      </c:scatterChart>
      <c:valAx>
        <c:axId val="128951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 sz="1100" b="1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defRPr>
                </a:pPr>
                <a:r>
                  <a:rPr lang="en-US" altLang="en-US" sz="1100" b="1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Time(h)</a:t>
                </a:r>
              </a:p>
            </c:rich>
          </c:tx>
          <c:overlay val="0"/>
        </c:title>
        <c:numFmt formatCode="0.0_ 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ja-JP" b="1">
                <a:latin typeface="Arial Unicode MS" panose="020B0604020202020204" pitchFamily="50" charset="-127"/>
                <a:ea typeface="Arial Unicode MS" panose="020B0604020202020204" pitchFamily="50" charset="-127"/>
                <a:cs typeface="Arial Unicode MS" panose="020B0604020202020204" pitchFamily="50" charset="-127"/>
              </a:defRPr>
            </a:pPr>
            <a:endParaRPr lang="ja-JP"/>
          </a:p>
        </c:txPr>
        <c:crossAx val="136144768"/>
        <c:crossesAt val="1.0000000000000041E-3"/>
        <c:crossBetween val="midCat"/>
      </c:valAx>
      <c:valAx>
        <c:axId val="136144768"/>
        <c:scaling>
          <c:logBase val="10"/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ja-JP" sz="1100" b="1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defRPr>
                </a:pPr>
                <a:r>
                  <a:rPr lang="en-US" altLang="en-US" sz="1100" b="1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Concentration</a:t>
                </a:r>
                <a:r>
                  <a:rPr lang="en-US" altLang="en-US" sz="1100" b="1" baseline="0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 </a:t>
                </a:r>
                <a:r>
                  <a:rPr lang="en-US" altLang="en-US" sz="1100" b="1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(ng/mL)</a:t>
                </a:r>
              </a:p>
            </c:rich>
          </c:tx>
          <c:overlay val="0"/>
        </c:title>
        <c:numFmt formatCode="0_ " sourceLinked="0"/>
        <c:majorTickMark val="in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ja-JP" b="1">
                <a:latin typeface="Arial Unicode MS" panose="020B0604020202020204" pitchFamily="50" charset="-127"/>
                <a:ea typeface="Arial Unicode MS" panose="020B0604020202020204" pitchFamily="50" charset="-127"/>
                <a:cs typeface="Arial Unicode MS" panose="020B0604020202020204" pitchFamily="50" charset="-127"/>
              </a:defRPr>
            </a:pPr>
            <a:endParaRPr lang="ja-JP"/>
          </a:p>
        </c:txPr>
        <c:crossAx val="128951424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51367745698454"/>
          <c:y val="0.14494381983411408"/>
          <c:w val="0.79384940215806621"/>
          <c:h val="0.65287189615056473"/>
        </c:manualLayout>
      </c:layout>
      <c:scatterChart>
        <c:scatterStyle val="lineMarker"/>
        <c:varyColors val="0"/>
        <c:ser>
          <c:idx val="0"/>
          <c:order val="0"/>
          <c:tx>
            <c:strRef>
              <c:f>'GCG_PO 100 mpk'!$A$6</c:f>
              <c:strCache>
                <c:ptCount val="1"/>
                <c:pt idx="0">
                  <c:v>GCG 100 mpk</c:v>
                </c:pt>
              </c:strCache>
            </c:strRef>
          </c:tx>
          <c:spPr>
            <a:ln w="27940">
              <a:solidFill>
                <a:schemeClr val="accent3">
                  <a:lumMod val="50000"/>
                </a:schemeClr>
              </a:solidFill>
            </a:ln>
          </c:spPr>
          <c:marker>
            <c:symbol val="circle"/>
            <c:size val="8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'GCG_PO 100 mpk'!$G$48:$G$53</c:f>
                <c:numCache>
                  <c:formatCode>General</c:formatCode>
                  <c:ptCount val="6"/>
                  <c:pt idx="0">
                    <c:v>11.383788033866409</c:v>
                  </c:pt>
                  <c:pt idx="1">
                    <c:v>56.115546598068541</c:v>
                  </c:pt>
                  <c:pt idx="2">
                    <c:v>132.70789739122534</c:v>
                  </c:pt>
                  <c:pt idx="3">
                    <c:v>301.50751942530388</c:v>
                  </c:pt>
                  <c:pt idx="4">
                    <c:v>534.42910254775609</c:v>
                  </c:pt>
                  <c:pt idx="5">
                    <c:v>258.73966246016471</c:v>
                  </c:pt>
                </c:numCache>
              </c:numRef>
            </c:plus>
            <c:minus>
              <c:numRef>
                <c:f>'GCG_PO 100 mpk'!$G$48:$G$53</c:f>
                <c:numCache>
                  <c:formatCode>General</c:formatCode>
                  <c:ptCount val="6"/>
                  <c:pt idx="0">
                    <c:v>11.383788033866409</c:v>
                  </c:pt>
                  <c:pt idx="1">
                    <c:v>56.115546598068541</c:v>
                  </c:pt>
                  <c:pt idx="2">
                    <c:v>132.70789739122534</c:v>
                  </c:pt>
                  <c:pt idx="3">
                    <c:v>301.50751942530388</c:v>
                  </c:pt>
                  <c:pt idx="4">
                    <c:v>534.42910254775609</c:v>
                  </c:pt>
                  <c:pt idx="5">
                    <c:v>258.73966246016471</c:v>
                  </c:pt>
                </c:numCache>
              </c:numRef>
            </c:minus>
          </c:errBars>
          <c:xVal>
            <c:numRef>
              <c:f>'GCG_PO 100 mpk'!$B$48:$B$53</c:f>
              <c:numCache>
                <c:formatCode>0.0_ </c:formatCode>
                <c:ptCount val="6"/>
                <c:pt idx="0">
                  <c:v>8.3333333333333329E-2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</c:numCache>
            </c:numRef>
          </c:xVal>
          <c:yVal>
            <c:numRef>
              <c:f>'GCG_PO 100 mpk'!$F$48:$F$53</c:f>
              <c:numCache>
                <c:formatCode>0.00_ </c:formatCode>
                <c:ptCount val="6"/>
                <c:pt idx="0">
                  <c:v>21.094000000000001</c:v>
                </c:pt>
                <c:pt idx="1">
                  <c:v>92.462000000000003</c:v>
                </c:pt>
                <c:pt idx="2">
                  <c:v>128.73399999999998</c:v>
                </c:pt>
                <c:pt idx="3">
                  <c:v>198.13200000000001</c:v>
                </c:pt>
                <c:pt idx="4">
                  <c:v>314.48</c:v>
                </c:pt>
                <c:pt idx="5">
                  <c:v>176.11600000000001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3C2-D147-84BF-38755A65B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691392"/>
        <c:axId val="125693312"/>
      </c:scatterChart>
      <c:valAx>
        <c:axId val="12569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 sz="1100" b="1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defRPr>
                </a:pPr>
                <a:r>
                  <a:rPr lang="en-US" altLang="en-US" sz="1100" b="1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Time(h)</a:t>
                </a:r>
              </a:p>
            </c:rich>
          </c:tx>
          <c:layout>
            <c:manualLayout>
              <c:xMode val="edge"/>
              <c:yMode val="edge"/>
              <c:x val="0.4464721203742662"/>
              <c:y val="0.88691354489779684"/>
            </c:manualLayout>
          </c:layout>
          <c:overlay val="0"/>
        </c:title>
        <c:numFmt formatCode="0.0_ 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ja-JP" b="1"/>
            </a:pPr>
            <a:endParaRPr lang="ja-JP"/>
          </a:p>
        </c:txPr>
        <c:crossAx val="125693312"/>
        <c:crossesAt val="1.0000000000000041E-3"/>
        <c:crossBetween val="midCat"/>
      </c:valAx>
      <c:valAx>
        <c:axId val="125693312"/>
        <c:scaling>
          <c:logBase val="10"/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ja-JP" sz="1100" b="1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defRPr>
                </a:pPr>
                <a:r>
                  <a:rPr lang="en-US" altLang="en-US" sz="1100" b="1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Concentration</a:t>
                </a:r>
                <a:r>
                  <a:rPr lang="en-US" altLang="en-US" sz="1100" b="1" baseline="0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 </a:t>
                </a:r>
                <a:r>
                  <a:rPr lang="en-US" altLang="en-US" sz="1100" b="1" dirty="0">
                    <a:latin typeface="Arial Unicode MS" panose="020B0604020202020204" pitchFamily="50" charset="-127"/>
                    <a:ea typeface="Arial Unicode MS" panose="020B0604020202020204" pitchFamily="50" charset="-127"/>
                    <a:cs typeface="Arial Unicode MS" panose="020B0604020202020204" pitchFamily="50" charset="-127"/>
                  </a:rPr>
                  <a:t>(ng/mL)</a:t>
                </a:r>
              </a:p>
            </c:rich>
          </c:tx>
          <c:overlay val="0"/>
        </c:title>
        <c:numFmt formatCode="0_ " sourceLinked="0"/>
        <c:majorTickMark val="in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lang="ja-JP" b="1"/>
            </a:pPr>
            <a:endParaRPr lang="ja-JP"/>
          </a:p>
        </c:txPr>
        <c:crossAx val="125691392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孝彦 清水</cp:lastModifiedBy>
  <cp:revision>8</cp:revision>
  <dcterms:created xsi:type="dcterms:W3CDTF">2019-07-08T01:58:00Z</dcterms:created>
  <dcterms:modified xsi:type="dcterms:W3CDTF">2019-08-21T01:12:00Z</dcterms:modified>
</cp:coreProperties>
</file>