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F5" w:rsidRPr="00631206" w:rsidRDefault="009701F5" w:rsidP="009701F5">
      <w:pPr>
        <w:pStyle w:val="Titre1"/>
        <w:rPr>
          <w:lang w:val="en-US"/>
        </w:rPr>
      </w:pPr>
      <w:r w:rsidRPr="00631206">
        <w:t>Supplementary 1</w:t>
      </w:r>
      <w:bookmarkStart w:id="0" w:name="_Ref466743463"/>
      <w:bookmarkStart w:id="1" w:name="_Toc468099958"/>
      <w:r w:rsidRPr="00631206">
        <w:t xml:space="preserve"> - </w:t>
      </w:r>
      <w:r w:rsidRPr="00631206">
        <w:rPr>
          <w:lang w:val="en-US"/>
        </w:rPr>
        <w:t>Collection of physical/chemical, biological and experimental descriptors</w:t>
      </w:r>
      <w:bookmarkEnd w:id="0"/>
      <w:bookmarkEnd w:id="1"/>
    </w:p>
    <w:p w:rsidR="009701F5" w:rsidRPr="00631206" w:rsidRDefault="009701F5" w:rsidP="009701F5">
      <w:pPr>
        <w:pStyle w:val="Titre2"/>
        <w:rPr>
          <w:lang w:val="en-US"/>
        </w:rPr>
      </w:pPr>
      <w:bookmarkStart w:id="2" w:name="_Ref466815406"/>
      <w:r w:rsidRPr="00631206">
        <w:rPr>
          <w:lang w:val="en-US"/>
        </w:rPr>
        <w:t>Lipophilicity</w:t>
      </w:r>
      <w:bookmarkEnd w:id="2"/>
    </w:p>
    <w:p w:rsidR="009701F5" w:rsidRPr="00631206" w:rsidRDefault="009701F5" w:rsidP="009701F5">
      <w:pPr>
        <w:ind w:right="-32"/>
        <w:rPr>
          <w:lang w:val="en-US"/>
        </w:rPr>
      </w:pPr>
      <w:r w:rsidRPr="00631206">
        <w:rPr>
          <w:lang w:val="en-US"/>
        </w:rPr>
        <w:t xml:space="preserve">Information on the </w:t>
      </w:r>
      <w:r w:rsidRPr="00631206">
        <w:rPr>
          <w:noProof/>
          <w:lang w:val="en-US"/>
        </w:rPr>
        <w:t>experimental</w:t>
      </w:r>
      <w:r w:rsidRPr="00631206">
        <w:rPr>
          <w:lang w:val="en-US"/>
        </w:rPr>
        <w:t xml:space="preserve"> octanol/water partition coefficient </w:t>
      </w:r>
      <w:proofErr w:type="spellStart"/>
      <w:r w:rsidRPr="00631206">
        <w:rPr>
          <w:lang w:val="en-US"/>
        </w:rPr>
        <w:t>logKow</w:t>
      </w:r>
      <w:proofErr w:type="spellEnd"/>
      <w:r w:rsidRPr="00631206">
        <w:rPr>
          <w:lang w:val="en-US"/>
        </w:rPr>
        <w:t xml:space="preserve"> was retrieved from the EFSA conclusions on the peer review of the pesticide risk assessment of each active substance or, if the EFSA conclusions were not available in the EFSA online library, from the European Commission pesticide database. Data on </w:t>
      </w:r>
      <w:proofErr w:type="spellStart"/>
      <w:r w:rsidRPr="00631206">
        <w:rPr>
          <w:lang w:val="en-US"/>
        </w:rPr>
        <w:t>Aviglycine</w:t>
      </w:r>
      <w:proofErr w:type="spellEnd"/>
      <w:r w:rsidRPr="00631206">
        <w:rPr>
          <w:lang w:val="en-US"/>
        </w:rPr>
        <w:t xml:space="preserve"> Hydrochloride </w:t>
      </w:r>
      <w:r w:rsidRPr="00631206">
        <w:rPr>
          <w:noProof/>
          <w:lang w:val="en-US"/>
        </w:rPr>
        <w:t>were collected</w:t>
      </w:r>
      <w:r w:rsidRPr="00631206">
        <w:rPr>
          <w:lang w:val="en-US"/>
        </w:rPr>
        <w:t xml:space="preserve"> from US EPA.</w:t>
      </w:r>
      <w:bookmarkStart w:id="3" w:name="_Ref466815987"/>
      <w:r w:rsidR="00906BAE" w:rsidRPr="00631206">
        <w:t xml:space="preserve"> </w:t>
      </w:r>
      <w:r w:rsidR="00906BAE" w:rsidRPr="00631206">
        <w:rPr>
          <w:lang w:val="en-US"/>
        </w:rPr>
        <w:t>Log</w:t>
      </w:r>
      <w:r w:rsidR="00631206">
        <w:rPr>
          <w:lang w:val="en-US"/>
        </w:rPr>
        <w:t xml:space="preserve"> </w:t>
      </w:r>
      <w:proofErr w:type="spellStart"/>
      <w:r w:rsidR="00906BAE" w:rsidRPr="00631206">
        <w:rPr>
          <w:lang w:val="en-US"/>
        </w:rPr>
        <w:t>Kow</w:t>
      </w:r>
      <w:proofErr w:type="spellEnd"/>
      <w:r w:rsidR="00906BAE" w:rsidRPr="00631206">
        <w:rPr>
          <w:lang w:val="en-US"/>
        </w:rPr>
        <w:t xml:space="preserve"> values measured at pH5.5 were used only for </w:t>
      </w:r>
      <w:proofErr w:type="spellStart"/>
      <w:r w:rsidR="00906BAE" w:rsidRPr="00631206">
        <w:rPr>
          <w:lang w:val="en-US"/>
        </w:rPr>
        <w:t>Captan</w:t>
      </w:r>
      <w:proofErr w:type="spellEnd"/>
      <w:r w:rsidR="00906BAE" w:rsidRPr="00631206">
        <w:rPr>
          <w:lang w:val="en-US"/>
        </w:rPr>
        <w:t xml:space="preserve">, </w:t>
      </w:r>
      <w:proofErr w:type="spellStart"/>
      <w:r w:rsidR="00906BAE" w:rsidRPr="00631206">
        <w:rPr>
          <w:lang w:val="en-US"/>
        </w:rPr>
        <w:t>Fluroxypyr</w:t>
      </w:r>
      <w:proofErr w:type="spellEnd"/>
      <w:r w:rsidR="00906BAE" w:rsidRPr="00631206">
        <w:rPr>
          <w:lang w:val="en-US"/>
        </w:rPr>
        <w:t xml:space="preserve">, and </w:t>
      </w:r>
      <w:proofErr w:type="spellStart"/>
      <w:r w:rsidR="00906BAE" w:rsidRPr="00631206">
        <w:rPr>
          <w:lang w:val="en-US"/>
        </w:rPr>
        <w:t>Acetochlor</w:t>
      </w:r>
      <w:proofErr w:type="spellEnd"/>
      <w:r w:rsidR="00906BAE" w:rsidRPr="00631206">
        <w:rPr>
          <w:lang w:val="en-US"/>
        </w:rPr>
        <w:t>; for all other substances log</w:t>
      </w:r>
      <w:r w:rsidR="00631206">
        <w:rPr>
          <w:lang w:val="en-US"/>
        </w:rPr>
        <w:t xml:space="preserve"> </w:t>
      </w:r>
      <w:bookmarkStart w:id="4" w:name="_GoBack"/>
      <w:bookmarkEnd w:id="4"/>
      <w:proofErr w:type="spellStart"/>
      <w:r w:rsidR="00906BAE" w:rsidRPr="00631206">
        <w:rPr>
          <w:lang w:val="en-US"/>
        </w:rPr>
        <w:t>Kow</w:t>
      </w:r>
      <w:proofErr w:type="spellEnd"/>
      <w:r w:rsidR="00906BAE" w:rsidRPr="00631206">
        <w:rPr>
          <w:lang w:val="en-US"/>
        </w:rPr>
        <w:t xml:space="preserve"> values at pH7 were used as we could not retrieve any reliable information for pH 5.5.</w:t>
      </w:r>
    </w:p>
    <w:p w:rsidR="009701F5" w:rsidRPr="00631206" w:rsidRDefault="009701F5" w:rsidP="009701F5">
      <w:pPr>
        <w:pStyle w:val="Titre2"/>
        <w:rPr>
          <w:lang w:val="en-US"/>
        </w:rPr>
      </w:pPr>
      <w:r w:rsidRPr="00631206">
        <w:rPr>
          <w:lang w:val="en-US"/>
        </w:rPr>
        <w:t>Water solubility</w:t>
      </w:r>
      <w:bookmarkEnd w:id="3"/>
    </w:p>
    <w:p w:rsidR="009701F5" w:rsidRPr="00631206" w:rsidRDefault="009701F5" w:rsidP="009701F5">
      <w:pPr>
        <w:ind w:right="-32"/>
        <w:rPr>
          <w:lang w:val="en-US"/>
        </w:rPr>
      </w:pPr>
      <w:r w:rsidRPr="00631206">
        <w:rPr>
          <w:lang w:val="en-US"/>
        </w:rPr>
        <w:t xml:space="preserve">Data on water solubility </w:t>
      </w:r>
      <w:r w:rsidRPr="00631206">
        <w:rPr>
          <w:noProof/>
          <w:lang w:val="en-US"/>
        </w:rPr>
        <w:t>were gathered</w:t>
      </w:r>
      <w:r w:rsidRPr="00631206">
        <w:rPr>
          <w:lang w:val="en-US"/>
        </w:rPr>
        <w:t xml:space="preserve"> from the EFSA conclusions on the peer review of the pesticide risk assessment of each active substance </w:t>
      </w:r>
      <w:r w:rsidRPr="00631206">
        <w:rPr>
          <w:noProof/>
          <w:lang w:val="en-US"/>
        </w:rPr>
        <w:t>or from</w:t>
      </w:r>
      <w:r w:rsidRPr="00631206">
        <w:rPr>
          <w:lang w:val="en-US"/>
        </w:rPr>
        <w:t xml:space="preserve"> the European Commission pesticide database. Information on water solubility for </w:t>
      </w:r>
      <w:proofErr w:type="spellStart"/>
      <w:r w:rsidRPr="00631206">
        <w:rPr>
          <w:lang w:val="en-US"/>
        </w:rPr>
        <w:t>Aviglycine</w:t>
      </w:r>
      <w:proofErr w:type="spellEnd"/>
      <w:r w:rsidRPr="00631206">
        <w:rPr>
          <w:lang w:val="en-US"/>
        </w:rPr>
        <w:t xml:space="preserve"> Hydrochloride </w:t>
      </w:r>
      <w:r w:rsidRPr="00631206">
        <w:rPr>
          <w:noProof/>
          <w:lang w:val="en-US"/>
        </w:rPr>
        <w:t>was retrieved</w:t>
      </w:r>
      <w:r w:rsidRPr="00631206">
        <w:rPr>
          <w:lang w:val="en-US"/>
        </w:rPr>
        <w:t xml:space="preserve"> from the US EPA, for </w:t>
      </w:r>
      <w:proofErr w:type="spellStart"/>
      <w:r w:rsidRPr="00631206">
        <w:rPr>
          <w:lang w:val="en-US"/>
        </w:rPr>
        <w:t>Azafenidin</w:t>
      </w:r>
      <w:proofErr w:type="spellEnd"/>
      <w:r w:rsidRPr="00631206">
        <w:rPr>
          <w:lang w:val="en-US"/>
        </w:rPr>
        <w:t xml:space="preserve"> from the original study report, for </w:t>
      </w:r>
      <w:proofErr w:type="spellStart"/>
      <w:r w:rsidRPr="00631206">
        <w:rPr>
          <w:lang w:val="en-US"/>
        </w:rPr>
        <w:t>Chlorothalonil</w:t>
      </w:r>
      <w:proofErr w:type="spellEnd"/>
      <w:r w:rsidRPr="00631206">
        <w:rPr>
          <w:lang w:val="en-US"/>
        </w:rPr>
        <w:t xml:space="preserve"> from </w:t>
      </w:r>
      <w:r w:rsidRPr="00631206">
        <w:rPr>
          <w:noProof/>
          <w:lang w:val="en-US"/>
        </w:rPr>
        <w:t>PubChem</w:t>
      </w:r>
      <w:r w:rsidRPr="00631206">
        <w:rPr>
          <w:lang w:val="en-US"/>
        </w:rPr>
        <w:t xml:space="preserve">, for </w:t>
      </w:r>
      <w:proofErr w:type="spellStart"/>
      <w:r w:rsidRPr="00631206">
        <w:rPr>
          <w:lang w:val="en-US"/>
        </w:rPr>
        <w:t>Fenoxaprop</w:t>
      </w:r>
      <w:proofErr w:type="spellEnd"/>
      <w:r w:rsidRPr="00631206">
        <w:rPr>
          <w:lang w:val="en-US"/>
        </w:rPr>
        <w:t xml:space="preserve">-P-ethyl from FAO, and </w:t>
      </w:r>
      <w:r w:rsidRPr="00631206">
        <w:rPr>
          <w:noProof/>
          <w:lang w:val="en-US"/>
        </w:rPr>
        <w:t>for</w:t>
      </w:r>
      <w:r w:rsidRPr="00631206">
        <w:rPr>
          <w:lang w:val="en-US"/>
        </w:rPr>
        <w:t xml:space="preserve"> </w:t>
      </w:r>
      <w:proofErr w:type="spellStart"/>
      <w:r w:rsidRPr="00631206">
        <w:rPr>
          <w:lang w:val="en-US"/>
        </w:rPr>
        <w:t>Phenmedipham</w:t>
      </w:r>
      <w:proofErr w:type="spellEnd"/>
      <w:r w:rsidRPr="00631206">
        <w:rPr>
          <w:lang w:val="en-US"/>
        </w:rPr>
        <w:t xml:space="preserve"> from the producer. The water solubility for </w:t>
      </w:r>
      <w:proofErr w:type="spellStart"/>
      <w:r w:rsidRPr="00631206">
        <w:rPr>
          <w:lang w:val="en-US"/>
        </w:rPr>
        <w:t>Diniconazole</w:t>
      </w:r>
      <w:proofErr w:type="spellEnd"/>
      <w:r w:rsidRPr="00631206">
        <w:rPr>
          <w:lang w:val="en-US"/>
        </w:rPr>
        <w:t xml:space="preserve"> </w:t>
      </w:r>
      <w:r w:rsidRPr="00631206">
        <w:rPr>
          <w:noProof/>
          <w:lang w:val="en-US"/>
        </w:rPr>
        <w:t>was computed</w:t>
      </w:r>
      <w:r w:rsidRPr="00631206">
        <w:rPr>
          <w:lang w:val="en-US"/>
        </w:rPr>
        <w:t xml:space="preserve"> with </w:t>
      </w:r>
      <w:proofErr w:type="spellStart"/>
      <w:r w:rsidRPr="00631206">
        <w:rPr>
          <w:lang w:val="en-US"/>
        </w:rPr>
        <w:t>Episuite</w:t>
      </w:r>
      <w:r w:rsidRPr="00631206">
        <w:rPr>
          <w:vertAlign w:val="superscript"/>
          <w:lang w:val="en-US"/>
        </w:rPr>
        <w:t>TM</w:t>
      </w:r>
      <w:proofErr w:type="spellEnd"/>
      <w:r w:rsidRPr="00631206">
        <w:rPr>
          <w:lang w:val="en-US"/>
        </w:rPr>
        <w:t xml:space="preserve"> (WSKOWWIN).</w:t>
      </w:r>
    </w:p>
    <w:p w:rsidR="009701F5" w:rsidRPr="00631206" w:rsidRDefault="009701F5" w:rsidP="009701F5">
      <w:pPr>
        <w:ind w:right="-32"/>
        <w:rPr>
          <w:lang w:val="en-US"/>
        </w:rPr>
      </w:pPr>
      <w:r w:rsidRPr="00631206">
        <w:rPr>
          <w:lang w:val="en-US"/>
        </w:rPr>
        <w:t>Values measured at 20</w:t>
      </w:r>
      <w:hyperlink r:id="rId6" w:history="1">
        <w:r w:rsidRPr="00631206">
          <w:rPr>
            <w:lang w:val="en-US"/>
          </w:rPr>
          <w:t>°C</w:t>
        </w:r>
      </w:hyperlink>
      <w:r w:rsidRPr="00631206">
        <w:rPr>
          <w:lang w:val="en-US"/>
        </w:rPr>
        <w:t xml:space="preserve"> </w:t>
      </w:r>
      <w:r w:rsidRPr="00631206">
        <w:rPr>
          <w:noProof/>
          <w:lang w:val="en-US"/>
        </w:rPr>
        <w:t>were preferred</w:t>
      </w:r>
      <w:r w:rsidRPr="00631206">
        <w:rPr>
          <w:lang w:val="en-US"/>
        </w:rPr>
        <w:t xml:space="preserve"> </w:t>
      </w:r>
      <w:r w:rsidRPr="00631206">
        <w:rPr>
          <w:noProof/>
          <w:lang w:val="en-US"/>
        </w:rPr>
        <w:t>in accordance with</w:t>
      </w:r>
      <w:r w:rsidRPr="00631206">
        <w:rPr>
          <w:lang w:val="en-US"/>
        </w:rPr>
        <w:t xml:space="preserve"> OECD Testing Guideline 105</w:t>
      </w:r>
      <w:r w:rsidR="00AF1EE3" w:rsidRPr="00631206">
        <w:rPr>
          <w:lang w:val="en-US"/>
        </w:rPr>
        <w:t xml:space="preserve"> [1]</w:t>
      </w:r>
      <w:proofErr w:type="gramStart"/>
      <w:r w:rsidRPr="00631206">
        <w:rPr>
          <w:lang w:val="en-US"/>
        </w:rPr>
        <w:t>,</w:t>
      </w:r>
      <w:proofErr w:type="gramEnd"/>
      <w:r w:rsidRPr="00631206">
        <w:rPr>
          <w:lang w:val="en-US"/>
        </w:rPr>
        <w:t xml:space="preserve"> solubility values measured at 25</w:t>
      </w:r>
      <w:hyperlink r:id="rId7" w:history="1">
        <w:r w:rsidRPr="00631206">
          <w:rPr>
            <w:lang w:val="en-US"/>
          </w:rPr>
          <w:t>°C</w:t>
        </w:r>
      </w:hyperlink>
      <w:r w:rsidRPr="00631206">
        <w:rPr>
          <w:lang w:val="en-US"/>
        </w:rPr>
        <w:t xml:space="preserve"> </w:t>
      </w:r>
      <w:r w:rsidRPr="00631206">
        <w:rPr>
          <w:noProof/>
          <w:lang w:val="en-US"/>
        </w:rPr>
        <w:t>were also accepted</w:t>
      </w:r>
      <w:r w:rsidRPr="00631206">
        <w:rPr>
          <w:lang w:val="en-US"/>
        </w:rPr>
        <w:t xml:space="preserve">. Additionally, solubility values measured at pH7 were preferred. If not available, known values for the pH closest to pH7 were used, provided that </w:t>
      </w:r>
      <w:r w:rsidRPr="00631206">
        <w:rPr>
          <w:noProof/>
          <w:lang w:val="en-US"/>
        </w:rPr>
        <w:t>the pH does not significantly influence water solubility of the particular active substance</w:t>
      </w:r>
      <w:r w:rsidRPr="00631206">
        <w:rPr>
          <w:lang w:val="en-US"/>
        </w:rPr>
        <w:t xml:space="preserve"> or that the typical formulation’s pH is the same to that of the measurement. In cases where active substances consist of two </w:t>
      </w:r>
      <w:r w:rsidRPr="00631206">
        <w:rPr>
          <w:noProof/>
          <w:lang w:val="en-US"/>
        </w:rPr>
        <w:t>isomers</w:t>
      </w:r>
      <w:r w:rsidRPr="00631206">
        <w:rPr>
          <w:lang w:val="en-US"/>
        </w:rPr>
        <w:t xml:space="preserve"> the overall water </w:t>
      </w:r>
      <w:r w:rsidRPr="00631206">
        <w:rPr>
          <w:lang w:val="en-US"/>
        </w:rPr>
        <w:lastRenderedPageBreak/>
        <w:t xml:space="preserve">solubility </w:t>
      </w:r>
      <w:r w:rsidRPr="00631206">
        <w:rPr>
          <w:noProof/>
          <w:lang w:val="en-US"/>
        </w:rPr>
        <w:t>was calculated</w:t>
      </w:r>
      <w:r w:rsidRPr="00631206">
        <w:rPr>
          <w:lang w:val="en-US"/>
        </w:rPr>
        <w:t xml:space="preserve"> from the </w:t>
      </w:r>
      <w:proofErr w:type="spellStart"/>
      <w:r w:rsidRPr="00631206">
        <w:rPr>
          <w:lang w:val="en-US"/>
        </w:rPr>
        <w:t>solubilities</w:t>
      </w:r>
      <w:proofErr w:type="spellEnd"/>
      <w:r w:rsidRPr="00631206">
        <w:rPr>
          <w:lang w:val="en-US"/>
        </w:rPr>
        <w:t xml:space="preserve"> of both isomers after accounting for the isomer ratio. Wherever the water solubility </w:t>
      </w:r>
      <w:r w:rsidRPr="00631206">
        <w:rPr>
          <w:noProof/>
          <w:lang w:val="en-US"/>
        </w:rPr>
        <w:t>is given</w:t>
      </w:r>
      <w:r w:rsidRPr="00631206">
        <w:rPr>
          <w:lang w:val="en-US"/>
        </w:rPr>
        <w:t xml:space="preserve"> as S&gt;</w:t>
      </w:r>
      <w:proofErr w:type="spellStart"/>
      <w:r w:rsidRPr="00631206">
        <w:rPr>
          <w:lang w:val="en-US"/>
        </w:rPr>
        <w:t>Xmg</w:t>
      </w:r>
      <w:proofErr w:type="spellEnd"/>
      <w:r w:rsidRPr="00631206">
        <w:rPr>
          <w:lang w:val="en-US"/>
        </w:rPr>
        <w:t>/l the lowest known value was used (</w:t>
      </w:r>
      <w:r w:rsidRPr="00631206">
        <w:rPr>
          <w:noProof/>
          <w:lang w:val="en-US"/>
        </w:rPr>
        <w:t>e.g.,</w:t>
      </w:r>
      <w:r w:rsidRPr="00631206">
        <w:rPr>
          <w:lang w:val="en-US"/>
        </w:rPr>
        <w:t xml:space="preserve"> S=</w:t>
      </w:r>
      <w:proofErr w:type="spellStart"/>
      <w:r w:rsidRPr="00631206">
        <w:rPr>
          <w:lang w:val="en-US"/>
        </w:rPr>
        <w:t>Xmg</w:t>
      </w:r>
      <w:proofErr w:type="spellEnd"/>
      <w:r w:rsidRPr="00631206">
        <w:rPr>
          <w:lang w:val="en-US"/>
        </w:rPr>
        <w:t>/l).</w:t>
      </w:r>
    </w:p>
    <w:p w:rsidR="009701F5" w:rsidRPr="00631206" w:rsidRDefault="009701F5" w:rsidP="009701F5">
      <w:pPr>
        <w:pStyle w:val="Titre2"/>
        <w:rPr>
          <w:lang w:val="en-US"/>
        </w:rPr>
      </w:pPr>
      <w:r w:rsidRPr="00631206">
        <w:rPr>
          <w:lang w:val="en-US"/>
        </w:rPr>
        <w:t>Formulation type</w:t>
      </w:r>
    </w:p>
    <w:p w:rsidR="009701F5" w:rsidRPr="00631206" w:rsidRDefault="009701F5" w:rsidP="009701F5">
      <w:pPr>
        <w:ind w:right="-32"/>
        <w:rPr>
          <w:lang w:val="en-US"/>
        </w:rPr>
      </w:pPr>
      <w:r w:rsidRPr="00631206">
        <w:rPr>
          <w:lang w:val="en-US"/>
        </w:rPr>
        <w:t xml:space="preserve">Formulation types </w:t>
      </w:r>
      <w:r w:rsidRPr="00631206">
        <w:rPr>
          <w:noProof/>
          <w:lang w:val="en-US"/>
        </w:rPr>
        <w:t>are assigned</w:t>
      </w:r>
      <w:r w:rsidRPr="00631206">
        <w:rPr>
          <w:lang w:val="en-US"/>
        </w:rPr>
        <w:t xml:space="preserve"> to the tested preparations as indicated by the study report. </w:t>
      </w:r>
      <w:r w:rsidRPr="00631206">
        <w:rPr>
          <w:noProof/>
          <w:lang w:val="en-US"/>
        </w:rPr>
        <w:t>The following formulation types are represented in the dataset: aqueous formulation, capsule suspension, corn grain dust, dispersion, emulsion, flowable concentrate for seed treatment, IPA salt, pasta bait, pellet bait, powder, solution, suspension, suspo-emulsion, water dispersible granules, water soluble granules, wax block, and wettable powder.</w:t>
      </w:r>
      <w:r w:rsidRPr="00631206">
        <w:rPr>
          <w:lang w:val="en-US"/>
        </w:rPr>
        <w:t xml:space="preserve"> </w:t>
      </w:r>
      <w:r w:rsidRPr="00631206">
        <w:rPr>
          <w:noProof/>
          <w:lang w:val="en-US"/>
        </w:rPr>
        <w:t>Water soluble</w:t>
      </w:r>
      <w:r w:rsidRPr="00631206">
        <w:rPr>
          <w:lang w:val="en-US"/>
        </w:rPr>
        <w:t xml:space="preserve"> granules and water dispersible granules that </w:t>
      </w:r>
      <w:r w:rsidRPr="00631206">
        <w:rPr>
          <w:noProof/>
          <w:lang w:val="en-US"/>
        </w:rPr>
        <w:t>were diluted</w:t>
      </w:r>
      <w:r w:rsidRPr="00631206">
        <w:rPr>
          <w:lang w:val="en-US"/>
        </w:rPr>
        <w:t xml:space="preserve"> in high quantities of water were considered solutions and dispersions respectively, as indicated by the study reports. </w:t>
      </w:r>
    </w:p>
    <w:p w:rsidR="009701F5" w:rsidRPr="00631206" w:rsidRDefault="009701F5" w:rsidP="009701F5">
      <w:pPr>
        <w:ind w:right="-32"/>
        <w:rPr>
          <w:lang w:val="en-US"/>
        </w:rPr>
      </w:pPr>
      <w:r w:rsidRPr="00631206">
        <w:rPr>
          <w:lang w:val="en-US"/>
        </w:rPr>
        <w:t>Formulation types with low prevalence in the dataset (</w:t>
      </w:r>
      <w:r w:rsidRPr="00631206">
        <w:rPr>
          <w:noProof/>
          <w:lang w:val="en-US"/>
        </w:rPr>
        <w:t>lower</w:t>
      </w:r>
      <w:r w:rsidRPr="00631206">
        <w:rPr>
          <w:lang w:val="en-US"/>
        </w:rPr>
        <w:t xml:space="preserve"> than 4%) and cases for which no data </w:t>
      </w:r>
      <w:r w:rsidRPr="00631206">
        <w:rPr>
          <w:noProof/>
          <w:lang w:val="en-US"/>
        </w:rPr>
        <w:t>was found</w:t>
      </w:r>
      <w:r w:rsidRPr="00631206">
        <w:rPr>
          <w:lang w:val="en-US"/>
        </w:rPr>
        <w:t xml:space="preserve"> were </w:t>
      </w:r>
      <w:r w:rsidRPr="00631206">
        <w:rPr>
          <w:noProof/>
          <w:lang w:val="en-US"/>
        </w:rPr>
        <w:t>merged</w:t>
      </w:r>
      <w:r w:rsidRPr="00631206">
        <w:rPr>
          <w:lang w:val="en-US"/>
        </w:rPr>
        <w:t xml:space="preserve"> to form one category named as “other</w:t>
      </w:r>
      <w:r w:rsidRPr="00631206">
        <w:rPr>
          <w:noProof/>
          <w:lang w:val="en-US"/>
        </w:rPr>
        <w:t>.”</w:t>
      </w:r>
      <w:r w:rsidRPr="00631206">
        <w:rPr>
          <w:lang w:val="en-US"/>
        </w:rPr>
        <w:t xml:space="preserve"> </w:t>
      </w:r>
      <w:r w:rsidRPr="00631206">
        <w:rPr>
          <w:noProof/>
          <w:lang w:val="en-US"/>
        </w:rPr>
        <w:t>To explore potential differences in the models’ predictive quality attributed to the formulation type</w:t>
      </w:r>
      <w:r w:rsidRPr="00631206">
        <w:rPr>
          <w:lang w:val="en-US"/>
        </w:rPr>
        <w:t xml:space="preserve">, the following five categories </w:t>
      </w:r>
      <w:r w:rsidRPr="00631206">
        <w:rPr>
          <w:noProof/>
          <w:lang w:val="en-US"/>
        </w:rPr>
        <w:t>were considered</w:t>
      </w:r>
      <w:r w:rsidRPr="00631206">
        <w:rPr>
          <w:lang w:val="en-US"/>
        </w:rPr>
        <w:t>:</w:t>
      </w:r>
    </w:p>
    <w:p w:rsidR="009701F5" w:rsidRPr="00631206" w:rsidRDefault="009701F5" w:rsidP="009701F5">
      <w:pPr>
        <w:pStyle w:val="Numberedlist"/>
        <w:numPr>
          <w:ilvl w:val="0"/>
          <w:numId w:val="2"/>
        </w:numPr>
        <w:rPr>
          <w:lang w:val="en-US"/>
        </w:rPr>
      </w:pPr>
      <w:r w:rsidRPr="00631206">
        <w:rPr>
          <w:lang w:val="en-US"/>
        </w:rPr>
        <w:t>Suspension (37.6% of the sample)</w:t>
      </w:r>
    </w:p>
    <w:p w:rsidR="009701F5" w:rsidRPr="00631206" w:rsidRDefault="009701F5" w:rsidP="009701F5">
      <w:pPr>
        <w:pStyle w:val="Numberedlist"/>
        <w:numPr>
          <w:ilvl w:val="0"/>
          <w:numId w:val="2"/>
        </w:numPr>
        <w:rPr>
          <w:lang w:val="en-US"/>
        </w:rPr>
      </w:pPr>
      <w:r w:rsidRPr="00631206">
        <w:rPr>
          <w:lang w:val="en-US"/>
        </w:rPr>
        <w:t>Emulsion (23.8% of the sample)</w:t>
      </w:r>
    </w:p>
    <w:p w:rsidR="009701F5" w:rsidRPr="00631206" w:rsidRDefault="009701F5" w:rsidP="009701F5">
      <w:pPr>
        <w:pStyle w:val="Numberedlist"/>
        <w:numPr>
          <w:ilvl w:val="0"/>
          <w:numId w:val="2"/>
        </w:numPr>
        <w:rPr>
          <w:lang w:val="en-US"/>
        </w:rPr>
      </w:pPr>
      <w:r w:rsidRPr="00631206">
        <w:rPr>
          <w:lang w:val="en-US"/>
        </w:rPr>
        <w:t>Dispersion (15.1% of the sample)</w:t>
      </w:r>
    </w:p>
    <w:p w:rsidR="009701F5" w:rsidRPr="00631206" w:rsidRDefault="009701F5" w:rsidP="009701F5">
      <w:pPr>
        <w:pStyle w:val="Numberedlist"/>
        <w:numPr>
          <w:ilvl w:val="0"/>
          <w:numId w:val="2"/>
        </w:numPr>
        <w:rPr>
          <w:lang w:val="en-US"/>
        </w:rPr>
      </w:pPr>
      <w:r w:rsidRPr="00631206">
        <w:rPr>
          <w:lang w:val="en-US"/>
        </w:rPr>
        <w:t>Solution (8.7% of the sample)</w:t>
      </w:r>
    </w:p>
    <w:p w:rsidR="009701F5" w:rsidRPr="00631206" w:rsidRDefault="009701F5" w:rsidP="009701F5">
      <w:pPr>
        <w:pStyle w:val="Numberedlist"/>
        <w:numPr>
          <w:ilvl w:val="0"/>
          <w:numId w:val="2"/>
        </w:numPr>
        <w:rPr>
          <w:lang w:val="en-US"/>
        </w:rPr>
      </w:pPr>
      <w:r w:rsidRPr="00631206">
        <w:rPr>
          <w:lang w:val="en-US"/>
        </w:rPr>
        <w:t>Other (14.8% of the sample)</w:t>
      </w:r>
    </w:p>
    <w:p w:rsidR="00733F89" w:rsidRPr="00631206" w:rsidRDefault="00733F89" w:rsidP="00733F89">
      <w:pPr>
        <w:rPr>
          <w:lang w:val="en-US"/>
        </w:rPr>
      </w:pPr>
      <w:r w:rsidRPr="00631206">
        <w:rPr>
          <w:lang w:val="en-US"/>
        </w:rPr>
        <w:t>Assignment of the various formulation types was as</w:t>
      </w:r>
      <w:r w:rsidR="00D74DA1" w:rsidRPr="00631206">
        <w:rPr>
          <w:lang w:val="en-US"/>
        </w:rPr>
        <w:t xml:space="preserve"> shown in the table below</w:t>
      </w:r>
      <w:r w:rsidRPr="00631206">
        <w:rPr>
          <w:lang w:val="en-US"/>
        </w:rPr>
        <w:t xml:space="preserve">, following the approach as in the respective guidance document </w:t>
      </w:r>
      <w:r w:rsidR="00AF1EE3" w:rsidRPr="00631206">
        <w:rPr>
          <w:lang w:val="en-US"/>
        </w:rPr>
        <w:t>[2]</w:t>
      </w:r>
      <w:r w:rsidRPr="00631206">
        <w:rPr>
          <w:lang w:val="en-US"/>
        </w:rPr>
        <w:t>. A description of formulation is provided in Table B.2 of the document.</w:t>
      </w:r>
    </w:p>
    <w:p w:rsidR="00733F89" w:rsidRPr="00631206" w:rsidRDefault="00D74DA1" w:rsidP="00733F89">
      <w:pPr>
        <w:rPr>
          <w:lang w:val="en-US"/>
        </w:rPr>
      </w:pPr>
      <w:r w:rsidRPr="00631206">
        <w:rPr>
          <w:lang w:val="en-US"/>
        </w:rPr>
        <w:t xml:space="preserve">Of the 564 values in the dataset, 10 corresponded to preparations of pure substances in simple solvents. These 10 cases relate to 4 different active substances: 3 different concentrations of </w:t>
      </w:r>
      <w:proofErr w:type="spellStart"/>
      <w:r w:rsidRPr="00631206">
        <w:rPr>
          <w:lang w:val="en-US"/>
        </w:rPr>
        <w:t>Oxydemeton</w:t>
      </w:r>
      <w:proofErr w:type="spellEnd"/>
      <w:r w:rsidRPr="00631206">
        <w:rPr>
          <w:lang w:val="en-US"/>
        </w:rPr>
        <w:t xml:space="preserve">-methyl in water, 3 different concentrations of </w:t>
      </w:r>
      <w:proofErr w:type="spellStart"/>
      <w:r w:rsidRPr="00631206">
        <w:rPr>
          <w:lang w:val="en-US"/>
        </w:rPr>
        <w:t>Methamidiphos</w:t>
      </w:r>
      <w:proofErr w:type="spellEnd"/>
      <w:r w:rsidRPr="00631206">
        <w:rPr>
          <w:lang w:val="en-US"/>
        </w:rPr>
        <w:t xml:space="preserve"> in ethanol and 2 different concentrations of </w:t>
      </w:r>
      <w:proofErr w:type="spellStart"/>
      <w:r w:rsidRPr="00631206">
        <w:rPr>
          <w:lang w:val="en-US"/>
        </w:rPr>
        <w:t>Cyflumetofen</w:t>
      </w:r>
      <w:proofErr w:type="spellEnd"/>
      <w:r w:rsidRPr="00631206">
        <w:rPr>
          <w:lang w:val="en-US"/>
        </w:rPr>
        <w:t xml:space="preserve"> and </w:t>
      </w:r>
      <w:proofErr w:type="spellStart"/>
      <w:r w:rsidRPr="00631206">
        <w:rPr>
          <w:lang w:val="en-US"/>
        </w:rPr>
        <w:t>Tolylfluanid</w:t>
      </w:r>
      <w:proofErr w:type="spellEnd"/>
      <w:r w:rsidRPr="00631206">
        <w:rPr>
          <w:lang w:val="en-US"/>
        </w:rPr>
        <w:t>, respectively, in acetonitrile.</w:t>
      </w:r>
    </w:p>
    <w:tbl>
      <w:tblPr>
        <w:tblStyle w:val="Grilledutableau"/>
        <w:tblW w:w="0" w:type="auto"/>
        <w:tblLook w:val="04A0" w:firstRow="1" w:lastRow="0" w:firstColumn="1" w:lastColumn="0" w:noHBand="0" w:noVBand="1"/>
      </w:tblPr>
      <w:tblGrid>
        <w:gridCol w:w="1842"/>
        <w:gridCol w:w="1842"/>
        <w:gridCol w:w="1842"/>
        <w:gridCol w:w="1843"/>
        <w:gridCol w:w="1843"/>
      </w:tblGrid>
      <w:tr w:rsidR="00733F89" w:rsidRPr="00631206" w:rsidTr="00ED427C">
        <w:tc>
          <w:tcPr>
            <w:tcW w:w="1842" w:type="dxa"/>
          </w:tcPr>
          <w:p w:rsidR="00733F89" w:rsidRPr="00631206" w:rsidRDefault="00733F89" w:rsidP="00733F89">
            <w:pPr>
              <w:rPr>
                <w:b/>
              </w:rPr>
            </w:pPr>
            <w:r w:rsidRPr="00631206">
              <w:rPr>
                <w:b/>
              </w:rPr>
              <w:t>Suspension</w:t>
            </w:r>
          </w:p>
        </w:tc>
        <w:tc>
          <w:tcPr>
            <w:tcW w:w="1842" w:type="dxa"/>
          </w:tcPr>
          <w:p w:rsidR="00733F89" w:rsidRPr="00631206" w:rsidRDefault="00733F89" w:rsidP="00733F89">
            <w:pPr>
              <w:rPr>
                <w:b/>
              </w:rPr>
            </w:pPr>
            <w:r w:rsidRPr="00631206">
              <w:rPr>
                <w:b/>
              </w:rPr>
              <w:t>Emulsion</w:t>
            </w:r>
          </w:p>
        </w:tc>
        <w:tc>
          <w:tcPr>
            <w:tcW w:w="1842" w:type="dxa"/>
          </w:tcPr>
          <w:p w:rsidR="00733F89" w:rsidRPr="00631206" w:rsidRDefault="00733F89" w:rsidP="00733F89">
            <w:pPr>
              <w:rPr>
                <w:b/>
              </w:rPr>
            </w:pPr>
            <w:r w:rsidRPr="00631206">
              <w:rPr>
                <w:b/>
              </w:rPr>
              <w:t>Dispersion</w:t>
            </w:r>
          </w:p>
        </w:tc>
        <w:tc>
          <w:tcPr>
            <w:tcW w:w="1843" w:type="dxa"/>
          </w:tcPr>
          <w:p w:rsidR="00733F89" w:rsidRPr="00631206" w:rsidRDefault="00733F89" w:rsidP="00733F89">
            <w:pPr>
              <w:rPr>
                <w:b/>
              </w:rPr>
            </w:pPr>
            <w:r w:rsidRPr="00631206">
              <w:rPr>
                <w:b/>
              </w:rPr>
              <w:t>Solution</w:t>
            </w:r>
          </w:p>
        </w:tc>
        <w:tc>
          <w:tcPr>
            <w:tcW w:w="1843" w:type="dxa"/>
          </w:tcPr>
          <w:p w:rsidR="00733F89" w:rsidRPr="00631206" w:rsidRDefault="00733F89" w:rsidP="00733F89">
            <w:pPr>
              <w:rPr>
                <w:b/>
              </w:rPr>
            </w:pPr>
            <w:r w:rsidRPr="00631206">
              <w:rPr>
                <w:b/>
              </w:rPr>
              <w:t>Other</w:t>
            </w:r>
          </w:p>
        </w:tc>
      </w:tr>
      <w:tr w:rsidR="00733F89" w:rsidRPr="00631206" w:rsidTr="00ED427C">
        <w:tc>
          <w:tcPr>
            <w:tcW w:w="1842" w:type="dxa"/>
          </w:tcPr>
          <w:p w:rsidR="00733F89" w:rsidRPr="00631206" w:rsidRDefault="00733F89" w:rsidP="00733F89">
            <w:r w:rsidRPr="00631206">
              <w:t>37.6%</w:t>
            </w:r>
          </w:p>
        </w:tc>
        <w:tc>
          <w:tcPr>
            <w:tcW w:w="1842" w:type="dxa"/>
          </w:tcPr>
          <w:p w:rsidR="00733F89" w:rsidRPr="00631206" w:rsidRDefault="00733F89" w:rsidP="00733F89">
            <w:r w:rsidRPr="00631206">
              <w:t>23.8%</w:t>
            </w:r>
          </w:p>
        </w:tc>
        <w:tc>
          <w:tcPr>
            <w:tcW w:w="1842" w:type="dxa"/>
          </w:tcPr>
          <w:p w:rsidR="00733F89" w:rsidRPr="00631206" w:rsidRDefault="00733F89" w:rsidP="00733F89">
            <w:r w:rsidRPr="00631206">
              <w:t>15.1%</w:t>
            </w:r>
          </w:p>
        </w:tc>
        <w:tc>
          <w:tcPr>
            <w:tcW w:w="1843" w:type="dxa"/>
          </w:tcPr>
          <w:p w:rsidR="00733F89" w:rsidRPr="00631206" w:rsidRDefault="00733F89" w:rsidP="00733F89">
            <w:r w:rsidRPr="00631206">
              <w:t>8.7%</w:t>
            </w:r>
          </w:p>
        </w:tc>
        <w:tc>
          <w:tcPr>
            <w:tcW w:w="1843" w:type="dxa"/>
          </w:tcPr>
          <w:p w:rsidR="00733F89" w:rsidRPr="00631206" w:rsidRDefault="00733F89" w:rsidP="00733F89">
            <w:r w:rsidRPr="00631206">
              <w:t>14.8%</w:t>
            </w:r>
          </w:p>
        </w:tc>
      </w:tr>
      <w:tr w:rsidR="00733F89" w:rsidRPr="00631206" w:rsidTr="00ED427C">
        <w:tc>
          <w:tcPr>
            <w:tcW w:w="1842" w:type="dxa"/>
          </w:tcPr>
          <w:p w:rsidR="00733F89" w:rsidRPr="00631206" w:rsidRDefault="00733F89" w:rsidP="00733F89">
            <w:pPr>
              <w:rPr>
                <w:lang w:val="it-CH"/>
              </w:rPr>
            </w:pPr>
            <w:r w:rsidRPr="00631206">
              <w:rPr>
                <w:lang w:val="it-CH"/>
              </w:rPr>
              <w:t>AI</w:t>
            </w:r>
          </w:p>
          <w:p w:rsidR="00733F89" w:rsidRPr="00631206" w:rsidRDefault="00733F89" w:rsidP="00733F89">
            <w:pPr>
              <w:rPr>
                <w:lang w:val="it-CH"/>
              </w:rPr>
            </w:pPr>
            <w:r w:rsidRPr="00631206">
              <w:rPr>
                <w:lang w:val="it-CH"/>
              </w:rPr>
              <w:t>CS</w:t>
            </w:r>
          </w:p>
          <w:p w:rsidR="00733F89" w:rsidRPr="00631206" w:rsidRDefault="00733F89" w:rsidP="00733F89">
            <w:pPr>
              <w:rPr>
                <w:lang w:val="it-CH"/>
              </w:rPr>
            </w:pPr>
            <w:r w:rsidRPr="00631206">
              <w:rPr>
                <w:lang w:val="it-CH"/>
              </w:rPr>
              <w:t>CS + SC</w:t>
            </w:r>
          </w:p>
          <w:p w:rsidR="00733F89" w:rsidRPr="00631206" w:rsidRDefault="00733F89" w:rsidP="00733F89">
            <w:pPr>
              <w:rPr>
                <w:lang w:val="it-CH"/>
              </w:rPr>
            </w:pPr>
            <w:r w:rsidRPr="00631206">
              <w:rPr>
                <w:lang w:val="it-CH"/>
              </w:rPr>
              <w:t>EC</w:t>
            </w:r>
          </w:p>
          <w:p w:rsidR="00733F89" w:rsidRPr="00631206" w:rsidRDefault="00733F89" w:rsidP="00733F89">
            <w:pPr>
              <w:rPr>
                <w:lang w:val="it-CH"/>
              </w:rPr>
            </w:pPr>
            <w:r w:rsidRPr="00631206">
              <w:rPr>
                <w:lang w:val="it-CH"/>
              </w:rPr>
              <w:t>FL</w:t>
            </w:r>
          </w:p>
          <w:p w:rsidR="00733F89" w:rsidRPr="00631206" w:rsidRDefault="00733F89" w:rsidP="00733F89">
            <w:r w:rsidRPr="00631206">
              <w:t>FS</w:t>
            </w:r>
          </w:p>
          <w:p w:rsidR="00733F89" w:rsidRPr="00631206" w:rsidRDefault="00733F89" w:rsidP="00733F89">
            <w:r w:rsidRPr="00631206">
              <w:t>Mix of CS + SC</w:t>
            </w:r>
          </w:p>
          <w:p w:rsidR="00733F89" w:rsidRPr="00631206" w:rsidRDefault="00733F89" w:rsidP="00733F89">
            <w:r w:rsidRPr="00631206">
              <w:t>OF</w:t>
            </w:r>
          </w:p>
          <w:p w:rsidR="00733F89" w:rsidRPr="00631206" w:rsidRDefault="00733F89" w:rsidP="00733F89">
            <w:r w:rsidRPr="00631206">
              <w:t>SC</w:t>
            </w:r>
          </w:p>
          <w:p w:rsidR="00733F89" w:rsidRPr="00631206" w:rsidRDefault="00733F89" w:rsidP="00733F89">
            <w:r w:rsidRPr="00631206">
              <w:t>WG</w:t>
            </w:r>
          </w:p>
          <w:p w:rsidR="00733F89" w:rsidRPr="00631206" w:rsidRDefault="00733F89" w:rsidP="00733F89">
            <w:r w:rsidRPr="00631206">
              <w:t>ZC</w:t>
            </w:r>
          </w:p>
        </w:tc>
        <w:tc>
          <w:tcPr>
            <w:tcW w:w="1842" w:type="dxa"/>
          </w:tcPr>
          <w:p w:rsidR="00733F89" w:rsidRPr="00631206" w:rsidRDefault="00733F89" w:rsidP="00733F89">
            <w:r w:rsidRPr="00631206">
              <w:t>EC</w:t>
            </w:r>
          </w:p>
          <w:p w:rsidR="00733F89" w:rsidRPr="00631206" w:rsidRDefault="00733F89" w:rsidP="00733F89">
            <w:r w:rsidRPr="00631206">
              <w:t>EW</w:t>
            </w:r>
          </w:p>
          <w:p w:rsidR="00733F89" w:rsidRPr="00631206" w:rsidRDefault="00733F89" w:rsidP="00733F89">
            <w:r w:rsidRPr="00631206">
              <w:t>ME</w:t>
            </w:r>
          </w:p>
        </w:tc>
        <w:tc>
          <w:tcPr>
            <w:tcW w:w="1842" w:type="dxa"/>
          </w:tcPr>
          <w:p w:rsidR="00733F89" w:rsidRPr="00631206" w:rsidRDefault="00733F89" w:rsidP="00733F89">
            <w:r w:rsidRPr="00631206">
              <w:t>DC</w:t>
            </w:r>
          </w:p>
          <w:p w:rsidR="00733F89" w:rsidRPr="00631206" w:rsidRDefault="00733F89" w:rsidP="00733F89">
            <w:r w:rsidRPr="00631206">
              <w:t>OD</w:t>
            </w:r>
          </w:p>
          <w:p w:rsidR="00733F89" w:rsidRPr="00631206" w:rsidRDefault="00733F89" w:rsidP="00733F89">
            <w:r w:rsidRPr="00631206">
              <w:t>Pellets</w:t>
            </w:r>
          </w:p>
          <w:p w:rsidR="00733F89" w:rsidRPr="00631206" w:rsidRDefault="00733F89" w:rsidP="00733F89">
            <w:r w:rsidRPr="00631206">
              <w:t>SC</w:t>
            </w:r>
          </w:p>
          <w:p w:rsidR="00733F89" w:rsidRPr="00631206" w:rsidRDefault="00733F89" w:rsidP="00733F89">
            <w:r w:rsidRPr="00631206">
              <w:t>SG</w:t>
            </w:r>
          </w:p>
          <w:p w:rsidR="00733F89" w:rsidRPr="00631206" w:rsidRDefault="00733F89" w:rsidP="00733F89">
            <w:r w:rsidRPr="00631206">
              <w:t>WDG</w:t>
            </w:r>
          </w:p>
          <w:p w:rsidR="00733F89" w:rsidRPr="00631206" w:rsidRDefault="00733F89" w:rsidP="00733F89">
            <w:r w:rsidRPr="00631206">
              <w:t>WG</w:t>
            </w:r>
          </w:p>
          <w:p w:rsidR="00733F89" w:rsidRPr="00631206" w:rsidRDefault="00733F89" w:rsidP="00733F89">
            <w:r w:rsidRPr="00631206">
              <w:t>WP</w:t>
            </w:r>
          </w:p>
          <w:p w:rsidR="00733F89" w:rsidRPr="00631206" w:rsidRDefault="00733F89" w:rsidP="00733F89">
            <w:r w:rsidRPr="00631206">
              <w:t>WS</w:t>
            </w:r>
          </w:p>
        </w:tc>
        <w:tc>
          <w:tcPr>
            <w:tcW w:w="1843" w:type="dxa"/>
          </w:tcPr>
          <w:p w:rsidR="00733F89" w:rsidRPr="00631206" w:rsidRDefault="00733F89" w:rsidP="00733F89">
            <w:pPr>
              <w:rPr>
                <w:lang w:val="it-CH"/>
              </w:rPr>
            </w:pPr>
            <w:r w:rsidRPr="00631206">
              <w:rPr>
                <w:lang w:val="it-CH"/>
              </w:rPr>
              <w:t>AI</w:t>
            </w:r>
          </w:p>
          <w:p w:rsidR="00733F89" w:rsidRPr="00631206" w:rsidRDefault="00733F89" w:rsidP="00733F89">
            <w:pPr>
              <w:rPr>
                <w:lang w:val="it-CH"/>
              </w:rPr>
            </w:pPr>
            <w:r w:rsidRPr="00631206">
              <w:rPr>
                <w:lang w:val="it-CH"/>
              </w:rPr>
              <w:t>SC</w:t>
            </w:r>
          </w:p>
          <w:p w:rsidR="00733F89" w:rsidRPr="00631206" w:rsidRDefault="00733F89" w:rsidP="00733F89">
            <w:pPr>
              <w:rPr>
                <w:lang w:val="it-CH"/>
              </w:rPr>
            </w:pPr>
            <w:r w:rsidRPr="00631206">
              <w:rPr>
                <w:lang w:val="it-CH"/>
              </w:rPr>
              <w:t>SG</w:t>
            </w:r>
          </w:p>
          <w:p w:rsidR="00733F89" w:rsidRPr="00631206" w:rsidRDefault="00733F89" w:rsidP="00733F89">
            <w:pPr>
              <w:rPr>
                <w:lang w:val="it-CH"/>
              </w:rPr>
            </w:pPr>
            <w:r w:rsidRPr="00631206">
              <w:rPr>
                <w:lang w:val="it-CH"/>
              </w:rPr>
              <w:t>SL</w:t>
            </w:r>
          </w:p>
          <w:p w:rsidR="00733F89" w:rsidRPr="00631206" w:rsidRDefault="00733F89" w:rsidP="00733F89">
            <w:pPr>
              <w:rPr>
                <w:lang w:val="it-CH"/>
              </w:rPr>
            </w:pPr>
            <w:r w:rsidRPr="00631206">
              <w:rPr>
                <w:lang w:val="it-CH"/>
              </w:rPr>
              <w:t>SP</w:t>
            </w:r>
          </w:p>
          <w:p w:rsidR="00733F89" w:rsidRPr="00631206" w:rsidRDefault="00733F89" w:rsidP="00733F89">
            <w:pPr>
              <w:rPr>
                <w:lang w:val="it-CH"/>
              </w:rPr>
            </w:pPr>
            <w:r w:rsidRPr="00631206">
              <w:rPr>
                <w:lang w:val="it-CH"/>
              </w:rPr>
              <w:t>WG</w:t>
            </w:r>
          </w:p>
          <w:p w:rsidR="00733F89" w:rsidRPr="00631206" w:rsidRDefault="00733F89" w:rsidP="00733F89">
            <w:r w:rsidRPr="00631206">
              <w:t>XX</w:t>
            </w:r>
          </w:p>
        </w:tc>
        <w:tc>
          <w:tcPr>
            <w:tcW w:w="1843" w:type="dxa"/>
          </w:tcPr>
          <w:p w:rsidR="00733F89" w:rsidRPr="00631206" w:rsidRDefault="00733F89" w:rsidP="00733F89">
            <w:pPr>
              <w:rPr>
                <w:lang w:val="it-CH"/>
              </w:rPr>
            </w:pPr>
            <w:r w:rsidRPr="00631206">
              <w:rPr>
                <w:lang w:val="it-CH"/>
              </w:rPr>
              <w:t>AI</w:t>
            </w:r>
          </w:p>
          <w:p w:rsidR="00733F89" w:rsidRPr="00631206" w:rsidRDefault="00733F89" w:rsidP="00733F89">
            <w:pPr>
              <w:rPr>
                <w:lang w:val="it-CH"/>
              </w:rPr>
            </w:pPr>
            <w:r w:rsidRPr="00631206">
              <w:rPr>
                <w:lang w:val="it-CH"/>
              </w:rPr>
              <w:t>CS</w:t>
            </w:r>
          </w:p>
          <w:p w:rsidR="00733F89" w:rsidRPr="00631206" w:rsidRDefault="00733F89" w:rsidP="00733F89">
            <w:pPr>
              <w:rPr>
                <w:lang w:val="it-CH"/>
              </w:rPr>
            </w:pPr>
            <w:r w:rsidRPr="00631206">
              <w:rPr>
                <w:lang w:val="it-CH"/>
              </w:rPr>
              <w:t>EC</w:t>
            </w:r>
          </w:p>
          <w:p w:rsidR="00733F89" w:rsidRPr="00631206" w:rsidRDefault="00733F89" w:rsidP="00733F89">
            <w:pPr>
              <w:rPr>
                <w:lang w:val="it-CH"/>
              </w:rPr>
            </w:pPr>
            <w:r w:rsidRPr="00631206">
              <w:rPr>
                <w:lang w:val="it-CH"/>
              </w:rPr>
              <w:t>FS</w:t>
            </w:r>
          </w:p>
          <w:p w:rsidR="00733F89" w:rsidRPr="00631206" w:rsidRDefault="00733F89" w:rsidP="00733F89">
            <w:pPr>
              <w:rPr>
                <w:lang w:val="it-CH"/>
              </w:rPr>
            </w:pPr>
            <w:r w:rsidRPr="00631206">
              <w:rPr>
                <w:lang w:val="it-CH"/>
              </w:rPr>
              <w:t>no data</w:t>
            </w:r>
          </w:p>
          <w:p w:rsidR="00733F89" w:rsidRPr="00631206" w:rsidRDefault="00733F89" w:rsidP="00733F89">
            <w:pPr>
              <w:rPr>
                <w:lang w:val="it-CH"/>
              </w:rPr>
            </w:pPr>
            <w:r w:rsidRPr="00631206">
              <w:rPr>
                <w:lang w:val="it-CH"/>
              </w:rPr>
              <w:t>Pasta Bait</w:t>
            </w:r>
          </w:p>
          <w:p w:rsidR="00733F89" w:rsidRPr="00631206" w:rsidRDefault="00733F89" w:rsidP="00733F89">
            <w:pPr>
              <w:rPr>
                <w:lang w:val="it-CH"/>
              </w:rPr>
            </w:pPr>
            <w:r w:rsidRPr="00631206">
              <w:rPr>
                <w:lang w:val="it-CH"/>
              </w:rPr>
              <w:t>Pellet</w:t>
            </w:r>
          </w:p>
          <w:p w:rsidR="00733F89" w:rsidRPr="00631206" w:rsidRDefault="00733F89" w:rsidP="00733F89">
            <w:pPr>
              <w:rPr>
                <w:lang w:val="it-CH"/>
              </w:rPr>
            </w:pPr>
            <w:r w:rsidRPr="00631206">
              <w:rPr>
                <w:lang w:val="it-CH"/>
              </w:rPr>
              <w:t>Pellet Bait</w:t>
            </w:r>
          </w:p>
          <w:p w:rsidR="00733F89" w:rsidRPr="00631206" w:rsidRDefault="00733F89" w:rsidP="00733F89">
            <w:pPr>
              <w:rPr>
                <w:lang w:val="it-CH"/>
              </w:rPr>
            </w:pPr>
            <w:r w:rsidRPr="00631206">
              <w:rPr>
                <w:lang w:val="it-CH"/>
              </w:rPr>
              <w:t>PS</w:t>
            </w:r>
          </w:p>
          <w:p w:rsidR="00733F89" w:rsidRPr="00631206" w:rsidRDefault="00733F89" w:rsidP="00733F89">
            <w:pPr>
              <w:rPr>
                <w:lang w:val="it-CH"/>
              </w:rPr>
            </w:pPr>
            <w:r w:rsidRPr="00631206">
              <w:rPr>
                <w:lang w:val="it-CH"/>
              </w:rPr>
              <w:t>SE</w:t>
            </w:r>
          </w:p>
          <w:p w:rsidR="00733F89" w:rsidRPr="00631206" w:rsidRDefault="00733F89" w:rsidP="00733F89">
            <w:pPr>
              <w:rPr>
                <w:lang w:val="fr-FR"/>
              </w:rPr>
            </w:pPr>
            <w:r w:rsidRPr="00631206">
              <w:rPr>
                <w:lang w:val="fr-FR"/>
              </w:rPr>
              <w:t>SG</w:t>
            </w:r>
          </w:p>
          <w:p w:rsidR="00733F89" w:rsidRPr="00631206" w:rsidRDefault="00733F89" w:rsidP="00733F89">
            <w:r w:rsidRPr="00631206">
              <w:t>Wax Block</w:t>
            </w:r>
          </w:p>
          <w:p w:rsidR="00733F89" w:rsidRPr="00631206" w:rsidRDefault="00733F89" w:rsidP="00733F89">
            <w:r w:rsidRPr="00631206">
              <w:t>WG</w:t>
            </w:r>
          </w:p>
          <w:p w:rsidR="00733F89" w:rsidRPr="00631206" w:rsidRDefault="00733F89" w:rsidP="00733F89">
            <w:pPr>
              <w:spacing w:line="240" w:lineRule="auto"/>
            </w:pPr>
            <w:r w:rsidRPr="00631206">
              <w:t>WP</w:t>
            </w:r>
          </w:p>
        </w:tc>
      </w:tr>
    </w:tbl>
    <w:p w:rsidR="00733F89" w:rsidRPr="00631206" w:rsidRDefault="00733F89" w:rsidP="00733F89">
      <w:pPr>
        <w:rPr>
          <w:lang w:val="en-US"/>
        </w:rPr>
      </w:pPr>
    </w:p>
    <w:p w:rsidR="009701F5" w:rsidRPr="00631206" w:rsidRDefault="009701F5" w:rsidP="009701F5">
      <w:pPr>
        <w:pStyle w:val="Titre2"/>
        <w:rPr>
          <w:lang w:val="en-US"/>
        </w:rPr>
      </w:pPr>
      <w:r w:rsidRPr="00631206">
        <w:rPr>
          <w:lang w:val="en-US"/>
        </w:rPr>
        <w:t>Physical state</w:t>
      </w:r>
    </w:p>
    <w:p w:rsidR="009701F5" w:rsidRPr="00631206" w:rsidRDefault="009701F5" w:rsidP="009701F5">
      <w:pPr>
        <w:ind w:right="-32"/>
        <w:rPr>
          <w:lang w:val="en-US"/>
        </w:rPr>
      </w:pPr>
      <w:r w:rsidRPr="00631206">
        <w:rPr>
          <w:lang w:val="en-US"/>
        </w:rPr>
        <w:t xml:space="preserve">This parameter was defined by the physical </w:t>
      </w:r>
      <w:r w:rsidRPr="00631206">
        <w:rPr>
          <w:noProof/>
          <w:lang w:val="en-US"/>
        </w:rPr>
        <w:t>state</w:t>
      </w:r>
      <w:r w:rsidRPr="00631206">
        <w:rPr>
          <w:lang w:val="en-US"/>
        </w:rPr>
        <w:t xml:space="preserve"> of the </w:t>
      </w:r>
      <w:r w:rsidRPr="00631206">
        <w:rPr>
          <w:u w:val="single"/>
          <w:lang w:val="en-US"/>
        </w:rPr>
        <w:t>applied</w:t>
      </w:r>
      <w:r w:rsidRPr="00631206">
        <w:rPr>
          <w:lang w:val="en-US"/>
        </w:rPr>
        <w:t xml:space="preserve"> preparation in each experiment, as indicated by the study reports. For example, when a solid product was moistened with artificial sweat to mimic exposure conditions it </w:t>
      </w:r>
      <w:r w:rsidRPr="00631206">
        <w:rPr>
          <w:noProof/>
          <w:lang w:val="en-US"/>
        </w:rPr>
        <w:t>was marked</w:t>
      </w:r>
      <w:r w:rsidRPr="00631206">
        <w:rPr>
          <w:lang w:val="en-US"/>
        </w:rPr>
        <w:t xml:space="preserve"> as “paste” and not as “solid</w:t>
      </w:r>
      <w:r w:rsidRPr="00631206">
        <w:rPr>
          <w:noProof/>
          <w:lang w:val="en-US"/>
        </w:rPr>
        <w:t>.”</w:t>
      </w:r>
      <w:r w:rsidRPr="00631206">
        <w:rPr>
          <w:lang w:val="en-US"/>
        </w:rPr>
        <w:t xml:space="preserve"> Following categories </w:t>
      </w:r>
      <w:r w:rsidRPr="00631206">
        <w:rPr>
          <w:noProof/>
          <w:lang w:val="en-US"/>
        </w:rPr>
        <w:t>were thus considered</w:t>
      </w:r>
      <w:r w:rsidRPr="00631206">
        <w:rPr>
          <w:lang w:val="en-US"/>
        </w:rPr>
        <w:t xml:space="preserve"> for further analysis of the models’ predictive quality:</w:t>
      </w:r>
    </w:p>
    <w:p w:rsidR="009701F5" w:rsidRPr="00631206" w:rsidRDefault="009701F5" w:rsidP="009701F5">
      <w:pPr>
        <w:pStyle w:val="Numberedlist"/>
        <w:numPr>
          <w:ilvl w:val="0"/>
          <w:numId w:val="3"/>
        </w:numPr>
        <w:rPr>
          <w:lang w:val="en-US"/>
        </w:rPr>
      </w:pPr>
      <w:r w:rsidRPr="00631206">
        <w:rPr>
          <w:lang w:val="en-US"/>
        </w:rPr>
        <w:t>Liquid (94.5% of the sample)</w:t>
      </w:r>
    </w:p>
    <w:p w:rsidR="009701F5" w:rsidRPr="00631206" w:rsidRDefault="009701F5" w:rsidP="009701F5">
      <w:pPr>
        <w:pStyle w:val="Numberedlist"/>
        <w:numPr>
          <w:ilvl w:val="0"/>
          <w:numId w:val="3"/>
        </w:numPr>
        <w:rPr>
          <w:lang w:val="en-US"/>
        </w:rPr>
      </w:pPr>
      <w:r w:rsidRPr="00631206">
        <w:rPr>
          <w:lang w:val="en-US"/>
        </w:rPr>
        <w:t>Paste (2.7% of the sample)</w:t>
      </w:r>
    </w:p>
    <w:p w:rsidR="009701F5" w:rsidRPr="00631206" w:rsidRDefault="009701F5" w:rsidP="009701F5">
      <w:pPr>
        <w:pStyle w:val="Numberedlist"/>
        <w:numPr>
          <w:ilvl w:val="0"/>
          <w:numId w:val="3"/>
        </w:numPr>
        <w:rPr>
          <w:lang w:val="en-US"/>
        </w:rPr>
      </w:pPr>
      <w:r w:rsidRPr="00631206">
        <w:rPr>
          <w:lang w:val="en-US"/>
        </w:rPr>
        <w:t>Solid (2.3% of the sample)</w:t>
      </w:r>
    </w:p>
    <w:p w:rsidR="009701F5" w:rsidRPr="00631206" w:rsidRDefault="009701F5" w:rsidP="009701F5">
      <w:pPr>
        <w:ind w:right="-32"/>
        <w:rPr>
          <w:lang w:val="en-US"/>
        </w:rPr>
      </w:pPr>
      <w:r w:rsidRPr="00631206">
        <w:rPr>
          <w:noProof/>
          <w:lang w:val="en-US"/>
        </w:rPr>
        <w:t>Cases where no data were found</w:t>
      </w:r>
      <w:r w:rsidRPr="00631206">
        <w:rPr>
          <w:lang w:val="en-US"/>
        </w:rPr>
        <w:t xml:space="preserve"> </w:t>
      </w:r>
      <w:r w:rsidRPr="00631206">
        <w:rPr>
          <w:noProof/>
          <w:lang w:val="en-US"/>
        </w:rPr>
        <w:t>were excluded</w:t>
      </w:r>
      <w:r w:rsidRPr="00631206">
        <w:rPr>
          <w:lang w:val="en-US"/>
        </w:rPr>
        <w:t xml:space="preserve"> from the analysis (0.5% of the sample).</w:t>
      </w:r>
    </w:p>
    <w:p w:rsidR="009701F5" w:rsidRPr="00631206" w:rsidRDefault="009701F5" w:rsidP="009701F5">
      <w:pPr>
        <w:pStyle w:val="Titre2"/>
        <w:rPr>
          <w:lang w:val="en-US"/>
        </w:rPr>
      </w:pPr>
      <w:r w:rsidRPr="00631206">
        <w:rPr>
          <w:lang w:val="en-US"/>
        </w:rPr>
        <w:t>Irritancy/Corrosiveness potential of the active substance</w:t>
      </w:r>
    </w:p>
    <w:p w:rsidR="009701F5" w:rsidRPr="00631206" w:rsidRDefault="009701F5" w:rsidP="009701F5">
      <w:pPr>
        <w:ind w:right="-32"/>
        <w:rPr>
          <w:lang w:val="en-US"/>
        </w:rPr>
      </w:pPr>
      <w:r w:rsidRPr="00631206">
        <w:rPr>
          <w:lang w:val="en-US"/>
        </w:rPr>
        <w:t xml:space="preserve">Data on the skin irritancy/corrosiveness of the active substances </w:t>
      </w:r>
      <w:r w:rsidRPr="00631206">
        <w:rPr>
          <w:noProof/>
          <w:lang w:val="en-US"/>
        </w:rPr>
        <w:t>were either collected</w:t>
      </w:r>
      <w:r w:rsidRPr="00631206">
        <w:rPr>
          <w:lang w:val="en-US"/>
        </w:rPr>
        <w:t xml:space="preserve"> from the EFSA conclusions on the peer review of the pesticide risk assessment or </w:t>
      </w:r>
      <w:r w:rsidRPr="00631206">
        <w:rPr>
          <w:noProof/>
          <w:lang w:val="en-US"/>
        </w:rPr>
        <w:t>from</w:t>
      </w:r>
      <w:r w:rsidRPr="00631206">
        <w:rPr>
          <w:lang w:val="en-US"/>
        </w:rPr>
        <w:t xml:space="preserve"> the European Commission pesticide database or the ECHA database. The irritation/corrosion potential of every active substance classified as irritant/</w:t>
      </w:r>
      <w:r w:rsidRPr="00631206">
        <w:rPr>
          <w:noProof/>
          <w:lang w:val="en-US"/>
        </w:rPr>
        <w:t>corrosive  was adjusted</w:t>
      </w:r>
      <w:r w:rsidRPr="00631206">
        <w:rPr>
          <w:lang w:val="en-US"/>
        </w:rPr>
        <w:t xml:space="preserve"> according to the ECHA Guidance on the Application of the CLP Criteria after accounting for the substance’s concentration in the tested preparation </w:t>
      </w:r>
      <w:r w:rsidRPr="00631206">
        <w:rPr>
          <w:lang w:val="en-US"/>
        </w:rPr>
        <w:fldChar w:fldCharType="begin"/>
      </w:r>
      <w:r w:rsidRPr="00631206">
        <w:rPr>
          <w:lang w:val="en-US"/>
        </w:rPr>
        <w:instrText xml:space="preserve"> ADDIN ZOTERO_ITEM CSL_CITATION {"citationID":"ORWqls1c","properties":{"formattedCitation":"[1]","plainCitation":"[1]","noteIndex":0},"citationItems":[{"id":161,"uris":["http://zotero.org/users/local/X0yhTP28/items/9GLLADK4"],"uri":["http://zotero.org/users/local/X0yhTP28/items/9GLLADK4"],"itemData":{"id":161,"type":"article-journal","title":"Regulation (EC) No 1272/2008 on classification, labelling and packaging of substances and mixtures","container-title":"Official Journal of the European Union","author":[{"family":"European Parliament and European Council","given":""}],"issued":{"date-parts":[["2008"]]}}}],"schema":"https://github.com/citation-style-language/schema/raw/master/csl-citation.json"} </w:instrText>
      </w:r>
      <w:r w:rsidRPr="00631206">
        <w:rPr>
          <w:lang w:val="en-US"/>
        </w:rPr>
        <w:fldChar w:fldCharType="separate"/>
      </w:r>
      <w:r w:rsidRPr="00631206">
        <w:t>[</w:t>
      </w:r>
      <w:r w:rsidR="00AF1EE3" w:rsidRPr="00631206">
        <w:t>3</w:t>
      </w:r>
      <w:r w:rsidRPr="00631206">
        <w:t>]</w:t>
      </w:r>
      <w:r w:rsidRPr="00631206">
        <w:rPr>
          <w:lang w:val="en-US"/>
        </w:rPr>
        <w:fldChar w:fldCharType="end"/>
      </w:r>
      <w:r w:rsidRPr="00631206">
        <w:rPr>
          <w:lang w:val="en-US"/>
        </w:rPr>
        <w:t xml:space="preserve">. Preparations with less than 3% concentration of irritant substances </w:t>
      </w:r>
      <w:r w:rsidRPr="00631206">
        <w:rPr>
          <w:noProof/>
          <w:lang w:val="en-US"/>
        </w:rPr>
        <w:t>were categorized</w:t>
      </w:r>
      <w:r w:rsidRPr="00631206">
        <w:rPr>
          <w:lang w:val="en-US"/>
        </w:rPr>
        <w:t xml:space="preserve"> as non-irritants. </w:t>
      </w:r>
      <w:r w:rsidRPr="00631206">
        <w:rPr>
          <w:noProof/>
          <w:lang w:val="en-US"/>
        </w:rPr>
        <w:t>Preparations, where the active substances are not classified as irritants but are identified by EFSA as “slight irritants”,</w:t>
      </w:r>
      <w:r w:rsidRPr="00631206">
        <w:rPr>
          <w:lang w:val="en-US"/>
        </w:rPr>
        <w:t xml:space="preserve"> </w:t>
      </w:r>
      <w:r w:rsidRPr="00631206">
        <w:rPr>
          <w:noProof/>
          <w:lang w:val="en-US"/>
        </w:rPr>
        <w:t>were treated</w:t>
      </w:r>
      <w:r w:rsidRPr="00631206">
        <w:rPr>
          <w:lang w:val="en-US"/>
        </w:rPr>
        <w:t xml:space="preserve"> accordingly. Preparations with less than 1% concentration of corrosive substances (CLP </w:t>
      </w:r>
      <w:r w:rsidRPr="00631206">
        <w:rPr>
          <w:noProof/>
          <w:lang w:val="en-US"/>
        </w:rPr>
        <w:t>classified</w:t>
      </w:r>
      <w:r w:rsidRPr="00631206">
        <w:rPr>
          <w:lang w:val="en-US"/>
        </w:rPr>
        <w:t xml:space="preserve">) were </w:t>
      </w:r>
      <w:r w:rsidRPr="00631206">
        <w:rPr>
          <w:noProof/>
          <w:lang w:val="en-US"/>
        </w:rPr>
        <w:t>categorized</w:t>
      </w:r>
      <w:r w:rsidRPr="00631206">
        <w:rPr>
          <w:lang w:val="en-US"/>
        </w:rPr>
        <w:t xml:space="preserve"> as irritants, while preparations with less than 0.1% concentration of corrosive substances </w:t>
      </w:r>
      <w:r w:rsidRPr="00631206">
        <w:rPr>
          <w:noProof/>
          <w:lang w:val="en-US"/>
        </w:rPr>
        <w:t>were categorized</w:t>
      </w:r>
      <w:r w:rsidRPr="00631206">
        <w:rPr>
          <w:lang w:val="en-US"/>
        </w:rPr>
        <w:t xml:space="preserve"> as non-irritants. Irritant properties of co-</w:t>
      </w:r>
      <w:proofErr w:type="spellStart"/>
      <w:r w:rsidRPr="00631206">
        <w:rPr>
          <w:lang w:val="en-US"/>
        </w:rPr>
        <w:t>formulants</w:t>
      </w:r>
      <w:proofErr w:type="spellEnd"/>
      <w:r w:rsidRPr="00631206">
        <w:rPr>
          <w:lang w:val="en-US"/>
        </w:rPr>
        <w:t xml:space="preserve"> could not be taken into account, although this is foreseen by the CLP criteria for mixtures, as the required data on product composition was not available. These adjustments gave rise to the following four categories: </w:t>
      </w:r>
    </w:p>
    <w:p w:rsidR="009701F5" w:rsidRPr="00631206" w:rsidRDefault="009701F5" w:rsidP="009701F5">
      <w:pPr>
        <w:pStyle w:val="Numberedlist"/>
        <w:numPr>
          <w:ilvl w:val="0"/>
          <w:numId w:val="4"/>
        </w:numPr>
        <w:rPr>
          <w:lang w:val="en-US"/>
        </w:rPr>
      </w:pPr>
      <w:r w:rsidRPr="00631206">
        <w:rPr>
          <w:lang w:val="en-US"/>
        </w:rPr>
        <w:t>Non-irritants (90.4% of the sample).</w:t>
      </w:r>
    </w:p>
    <w:p w:rsidR="009701F5" w:rsidRPr="00631206" w:rsidRDefault="009701F5" w:rsidP="009701F5">
      <w:pPr>
        <w:pStyle w:val="Numberedlist"/>
        <w:numPr>
          <w:ilvl w:val="0"/>
          <w:numId w:val="4"/>
        </w:numPr>
        <w:rPr>
          <w:lang w:val="en-US"/>
        </w:rPr>
      </w:pPr>
      <w:r w:rsidRPr="00631206">
        <w:rPr>
          <w:lang w:val="en-US"/>
        </w:rPr>
        <w:t xml:space="preserve">Slight irritants as indicated by the EFSA </w:t>
      </w:r>
      <w:r w:rsidRPr="00631206">
        <w:rPr>
          <w:noProof/>
          <w:lang w:val="en-US"/>
        </w:rPr>
        <w:t>peer-reviewed</w:t>
      </w:r>
      <w:r w:rsidRPr="00631206">
        <w:rPr>
          <w:lang w:val="en-US"/>
        </w:rPr>
        <w:t xml:space="preserve"> conclusions (4% of the sample).</w:t>
      </w:r>
    </w:p>
    <w:p w:rsidR="009701F5" w:rsidRPr="00631206" w:rsidRDefault="009701F5" w:rsidP="009701F5">
      <w:pPr>
        <w:pStyle w:val="Numberedlist"/>
        <w:numPr>
          <w:ilvl w:val="0"/>
          <w:numId w:val="4"/>
        </w:numPr>
        <w:rPr>
          <w:lang w:val="en-US"/>
        </w:rPr>
      </w:pPr>
      <w:r w:rsidRPr="00631206">
        <w:rPr>
          <w:noProof/>
          <w:lang w:val="en-US"/>
        </w:rPr>
        <w:t>Irritants (CLP category 2) (4.6% of the sample).</w:t>
      </w:r>
    </w:p>
    <w:p w:rsidR="009701F5" w:rsidRPr="00631206" w:rsidRDefault="009701F5" w:rsidP="009701F5">
      <w:pPr>
        <w:pStyle w:val="Numberedlist"/>
        <w:numPr>
          <w:ilvl w:val="0"/>
          <w:numId w:val="4"/>
        </w:numPr>
        <w:rPr>
          <w:lang w:val="en-US"/>
        </w:rPr>
      </w:pPr>
      <w:r w:rsidRPr="00631206">
        <w:rPr>
          <w:lang w:val="en-US"/>
        </w:rPr>
        <w:t>Corrosives (CLP category 1C) (0.4% of the sample).</w:t>
      </w:r>
    </w:p>
    <w:p w:rsidR="009701F5" w:rsidRPr="00631206" w:rsidRDefault="009701F5" w:rsidP="009701F5">
      <w:pPr>
        <w:ind w:right="-32"/>
        <w:rPr>
          <w:lang w:val="en-US"/>
        </w:rPr>
      </w:pPr>
      <w:r w:rsidRPr="00631206">
        <w:rPr>
          <w:lang w:val="en-US"/>
        </w:rPr>
        <w:t xml:space="preserve">These </w:t>
      </w:r>
      <w:r w:rsidRPr="00631206">
        <w:rPr>
          <w:noProof/>
          <w:lang w:val="en-US"/>
        </w:rPr>
        <w:t>categories</w:t>
      </w:r>
      <w:r w:rsidRPr="00631206">
        <w:rPr>
          <w:lang w:val="en-US"/>
        </w:rPr>
        <w:t xml:space="preserve"> </w:t>
      </w:r>
      <w:r w:rsidRPr="00631206">
        <w:rPr>
          <w:noProof/>
          <w:lang w:val="en-US"/>
        </w:rPr>
        <w:t>were considered</w:t>
      </w:r>
      <w:r w:rsidRPr="00631206">
        <w:rPr>
          <w:lang w:val="en-US"/>
        </w:rPr>
        <w:t xml:space="preserve"> </w:t>
      </w:r>
      <w:r w:rsidRPr="00631206">
        <w:rPr>
          <w:noProof/>
          <w:lang w:val="en-US"/>
        </w:rPr>
        <w:t>in order to</w:t>
      </w:r>
      <w:r w:rsidRPr="00631206">
        <w:rPr>
          <w:lang w:val="en-US"/>
        </w:rPr>
        <w:t xml:space="preserve"> explore potential differences in the models’ predictive quality attributed to the skin irritancy/corrosiveness potential of the active substance. </w:t>
      </w:r>
      <w:r w:rsidRPr="00631206">
        <w:rPr>
          <w:noProof/>
          <w:lang w:val="en-US"/>
        </w:rPr>
        <w:t>Cases, for which no data were found,</w:t>
      </w:r>
      <w:r w:rsidRPr="00631206">
        <w:rPr>
          <w:lang w:val="en-US"/>
        </w:rPr>
        <w:t xml:space="preserve"> </w:t>
      </w:r>
      <w:r w:rsidRPr="00631206">
        <w:rPr>
          <w:noProof/>
          <w:lang w:val="en-US"/>
        </w:rPr>
        <w:t>were excluded</w:t>
      </w:r>
      <w:r w:rsidRPr="00631206">
        <w:rPr>
          <w:lang w:val="en-US"/>
        </w:rPr>
        <w:t xml:space="preserve"> from the analysis (0.6% of the sample).</w:t>
      </w:r>
    </w:p>
    <w:p w:rsidR="009701F5" w:rsidRPr="00631206" w:rsidRDefault="009701F5" w:rsidP="009701F5">
      <w:pPr>
        <w:pStyle w:val="Titre2"/>
        <w:rPr>
          <w:lang w:val="en-US"/>
        </w:rPr>
      </w:pPr>
      <w:r w:rsidRPr="00631206">
        <w:rPr>
          <w:lang w:val="en-US"/>
        </w:rPr>
        <w:t>Skin type</w:t>
      </w:r>
    </w:p>
    <w:p w:rsidR="009701F5" w:rsidRPr="00631206" w:rsidRDefault="009701F5" w:rsidP="009701F5">
      <w:pPr>
        <w:ind w:right="-32"/>
        <w:rPr>
          <w:lang w:val="en-US"/>
        </w:rPr>
      </w:pPr>
      <w:r w:rsidRPr="00631206">
        <w:rPr>
          <w:lang w:val="en-US"/>
        </w:rPr>
        <w:t xml:space="preserve">Information on the skin sample </w:t>
      </w:r>
      <w:r w:rsidRPr="00631206">
        <w:rPr>
          <w:noProof/>
          <w:lang w:val="en-US"/>
        </w:rPr>
        <w:t>is provided</w:t>
      </w:r>
      <w:r w:rsidRPr="00631206">
        <w:rPr>
          <w:lang w:val="en-US"/>
        </w:rPr>
        <w:t xml:space="preserve"> in the database by the original study reports. </w:t>
      </w:r>
      <w:r w:rsidRPr="00631206">
        <w:rPr>
          <w:noProof/>
          <w:lang w:val="en-US"/>
        </w:rPr>
        <w:t>Cases, where the entries are marked as “scissors” or “full thickness”,</w:t>
      </w:r>
      <w:r w:rsidRPr="00631206">
        <w:rPr>
          <w:lang w:val="en-US"/>
        </w:rPr>
        <w:t xml:space="preserve"> were changed to “</w:t>
      </w:r>
      <w:proofErr w:type="spellStart"/>
      <w:r w:rsidRPr="00631206">
        <w:rPr>
          <w:lang w:val="en-US"/>
        </w:rPr>
        <w:t>dermatomed</w:t>
      </w:r>
      <w:proofErr w:type="spellEnd"/>
      <w:r w:rsidRPr="00631206">
        <w:rPr>
          <w:noProof/>
          <w:lang w:val="en-US"/>
        </w:rPr>
        <w:t>,”</w:t>
      </w:r>
      <w:r w:rsidRPr="00631206">
        <w:rPr>
          <w:lang w:val="en-US"/>
        </w:rPr>
        <w:t xml:space="preserve"> after confirming </w:t>
      </w:r>
      <w:r w:rsidRPr="00631206">
        <w:rPr>
          <w:noProof/>
          <w:lang w:val="en-US"/>
        </w:rPr>
        <w:t xml:space="preserve">from </w:t>
      </w:r>
      <w:r w:rsidRPr="00631206">
        <w:rPr>
          <w:lang w:val="en-US"/>
        </w:rPr>
        <w:t xml:space="preserve">the original study reports that the skin </w:t>
      </w:r>
      <w:r w:rsidRPr="00631206">
        <w:rPr>
          <w:noProof/>
          <w:lang w:val="en-US"/>
        </w:rPr>
        <w:t>thickness</w:t>
      </w:r>
      <w:r w:rsidRPr="00631206">
        <w:rPr>
          <w:lang w:val="en-US"/>
        </w:rPr>
        <w:t xml:space="preserve"> was lower than 1mm. The resulting “</w:t>
      </w:r>
      <w:proofErr w:type="spellStart"/>
      <w:r w:rsidRPr="00631206">
        <w:rPr>
          <w:lang w:val="en-US"/>
        </w:rPr>
        <w:t>dermatomed</w:t>
      </w:r>
      <w:proofErr w:type="spellEnd"/>
      <w:r w:rsidRPr="00631206">
        <w:rPr>
          <w:lang w:val="en-US"/>
        </w:rPr>
        <w:t>” category comprises cases with skin thickness varying from 200 </w:t>
      </w:r>
      <w:r w:rsidRPr="00631206">
        <w:rPr>
          <w:lang w:val="el-GR"/>
        </w:rPr>
        <w:t>μ</w:t>
      </w:r>
      <w:r w:rsidRPr="00631206">
        <w:rPr>
          <w:lang w:val="en-US"/>
        </w:rPr>
        <w:t>m to 800 </w:t>
      </w:r>
      <w:r w:rsidRPr="00631206">
        <w:rPr>
          <w:lang w:val="el-GR"/>
        </w:rPr>
        <w:t>μ</w:t>
      </w:r>
      <w:r w:rsidRPr="00631206">
        <w:rPr>
          <w:lang w:val="en-US"/>
        </w:rPr>
        <w:t xml:space="preserve">m. </w:t>
      </w:r>
      <w:r w:rsidR="00687BF7" w:rsidRPr="00631206">
        <w:rPr>
          <w:lang w:val="en-US"/>
        </w:rPr>
        <w:t>Quantitative information on the thickness of individual skin samples was not collected in the database.</w:t>
      </w:r>
    </w:p>
    <w:p w:rsidR="009701F5" w:rsidRPr="00631206" w:rsidRDefault="009701F5" w:rsidP="009701F5">
      <w:pPr>
        <w:spacing w:after="160" w:line="259" w:lineRule="auto"/>
        <w:rPr>
          <w:lang w:val="en-US"/>
        </w:rPr>
      </w:pPr>
      <w:r w:rsidRPr="00631206">
        <w:rPr>
          <w:lang w:val="en-US"/>
        </w:rPr>
        <w:br w:type="page"/>
      </w:r>
    </w:p>
    <w:p w:rsidR="009701F5" w:rsidRPr="00631206" w:rsidRDefault="009701F5" w:rsidP="009701F5">
      <w:pPr>
        <w:pStyle w:val="Titre1"/>
        <w:rPr>
          <w:lang w:val="en-US"/>
        </w:rPr>
      </w:pPr>
      <w:r w:rsidRPr="00631206">
        <w:t xml:space="preserve">Supplementary 2 – </w:t>
      </w:r>
      <w:proofErr w:type="spellStart"/>
      <w:r w:rsidRPr="00631206">
        <w:rPr>
          <w:lang w:val="en-US"/>
        </w:rPr>
        <w:t>Buist</w:t>
      </w:r>
      <w:proofErr w:type="spellEnd"/>
      <w:r w:rsidRPr="00631206">
        <w:rPr>
          <w:lang w:val="en-US"/>
        </w:rPr>
        <w:t xml:space="preserve"> model equations</w:t>
      </w:r>
      <w:r w:rsidR="00ED427C" w:rsidRPr="00631206">
        <w:rPr>
          <w:lang w:val="en-US"/>
        </w:rPr>
        <w:t xml:space="preserve"> </w:t>
      </w:r>
      <w:r w:rsidRPr="00631206">
        <w:rPr>
          <w:lang w:val="en-US"/>
        </w:rPr>
        <w:fldChar w:fldCharType="begin"/>
      </w:r>
      <w:r w:rsidRPr="00631206">
        <w:rPr>
          <w:lang w:val="en-US"/>
        </w:rPr>
        <w:instrText xml:space="preserve"> ADDIN ZOTERO_ITEM CSL_CITATION {"citationID":"jYWW99Ao","properties":{"formattedCitation":"[2]","plainCitation":"[2]","noteIndex":0},"citationItems":[{"id":84,"uris":["http://zotero.org/users/local/X0yhTP28/items/JBU3YG9L"],"uri":["http://zotero.org/users/local/X0yhTP28/items/JBU3YG9L"],"itemData":{"id":84,"type":"article-journal","title":"New in vitro dermal absorption database and the prediction of dermal absorption under finite conditions for risk assessment purposes","container-title":"Regul Toxicol Pharmacol","page":"200-9","volume":"57","issue":"2-3","abstract":"Most QSARs for dermal absorption predict the permeability coefficient, K(p), of a molecule, which is valid for infinite dose conditions. In practice, dermal exposure mostly occurs under finite dose conditions. Therefore, a simple model to predict finite dose dermal absorption from infinite dose data (K(p) and lag time) and the stratum corneum/water partition coefficient (K(SC,W)) was developed. To test the model, a series of in vitro dermal absorption experiments was performed under both infinite and finite dose conditions using acetic acid, benzoic acid, bis(2-ethylhexyl)phthalate, butoxyethanol, cortisone, decanol, diazinone, 2,4-dichlorophenol, ethacrynic acid, linolenic acid, octylparaben, oleic acid, propylparaben, salicylic acid and testosterone. For six substances, the predicted relative dermal absorption was not statistically different from the measured value. For all other substances, measured absorption was overpredicted by the model, but most of the overpredictions were still below the European default absorption value. In conclusion, our finite dose prediction model provides a useful and cost-effective estimate of dermal absorption, to be used in risk assessment for non-volatile substances dissolved in water at non-irritating concentrations.","DOI":"10.1016/j.yrtph.2010.02.008","ISSN":"1096-0295 (Electronic) 0273-2300 (Linking)","author":[{"family":"Buist","given":"H. E."},{"family":"Burgsteden","given":"J. A.","non-dropping-particle":"van"},{"family":"Freidig","given":"A. P."},{"family":"Maas","given":"W. J."},{"family":"Sandt","given":"J. J.","non-dropping-particle":"van de"}],"issued":{"date-parts":[["2010",8]]}}}],"schema":"https://github.com/citation-style-language/schema/raw/master/csl-citation.json"} </w:instrText>
      </w:r>
      <w:r w:rsidRPr="00631206">
        <w:rPr>
          <w:lang w:val="en-US"/>
        </w:rPr>
        <w:fldChar w:fldCharType="separate"/>
      </w:r>
      <w:r w:rsidRPr="00631206">
        <w:rPr>
          <w:rFonts w:cs="Times New Roman"/>
        </w:rPr>
        <w:t>[</w:t>
      </w:r>
      <w:r w:rsidR="00AF1EE3" w:rsidRPr="00631206">
        <w:rPr>
          <w:rFonts w:cs="Times New Roman"/>
        </w:rPr>
        <w:t>4</w:t>
      </w:r>
      <w:r w:rsidRPr="00631206">
        <w:rPr>
          <w:rFonts w:cs="Times New Roman"/>
        </w:rPr>
        <w:t>]</w:t>
      </w:r>
      <w:r w:rsidRPr="00631206">
        <w:rPr>
          <w:lang w:val="en-US"/>
        </w:rPr>
        <w:fldChar w:fldCharType="end"/>
      </w:r>
    </w:p>
    <w:p w:rsidR="009701F5" w:rsidRPr="00631206" w:rsidRDefault="009701F5" w:rsidP="009701F5">
      <w:pPr>
        <w:ind w:right="-32"/>
        <w:rPr>
          <w:lang w:val="en-US"/>
        </w:rPr>
      </w:pPr>
      <w:r w:rsidRPr="00631206">
        <w:rPr>
          <w:noProof/>
          <w:lang w:val="en-US"/>
        </w:rPr>
        <w:t>The flux of a substance across the skin is described by the modified Fick’s law</w:t>
      </w:r>
      <w:r w:rsidRPr="00631206">
        <w:rPr>
          <w:lang w:val="en-US"/>
        </w:rPr>
        <w:t>:</w:t>
      </w:r>
    </w:p>
    <w:p w:rsidR="009701F5" w:rsidRPr="00631206" w:rsidRDefault="009701F5" w:rsidP="009701F5">
      <w:pPr>
        <w:spacing w:before="120" w:after="120" w:line="360" w:lineRule="auto"/>
        <w:ind w:right="-32"/>
        <w:jc w:val="center"/>
        <w:rPr>
          <w:rFonts w:ascii="Arial" w:hAnsi="Arial"/>
          <w:lang w:val="en-US"/>
        </w:rPr>
      </w:pPr>
      <m:oMath>
        <m:r>
          <w:rPr>
            <w:rFonts w:ascii="Cambria Math" w:eastAsia="Calibri" w:hAnsi="Cambria Math"/>
            <w:lang w:val="en-US"/>
          </w:rPr>
          <m:t>-</m:t>
        </m:r>
        <m:f>
          <m:fPr>
            <m:ctrlPr>
              <w:rPr>
                <w:rFonts w:ascii="Cambria Math" w:eastAsia="Calibri" w:hAnsi="Cambria Math"/>
                <w:i/>
                <w:lang w:val="de-DE"/>
              </w:rPr>
            </m:ctrlPr>
          </m:fPr>
          <m:num>
            <m:r>
              <w:rPr>
                <w:rFonts w:ascii="Cambria Math" w:eastAsia="Calibri" w:hAnsi="Cambria Math"/>
                <w:lang w:val="de-DE"/>
              </w:rPr>
              <m:t>d</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m:t>
                </m:r>
              </m:sub>
            </m:sSub>
          </m:num>
          <m:den>
            <m:r>
              <w:rPr>
                <w:rFonts w:ascii="Cambria Math" w:eastAsia="Calibri" w:hAnsi="Cambria Math"/>
                <w:lang w:val="de-DE"/>
              </w:rPr>
              <m:t>dt</m:t>
            </m:r>
          </m:den>
        </m:f>
        <m:r>
          <w:rPr>
            <w:rFonts w:ascii="Cambria Math" w:eastAsia="Calibri" w:hAnsi="Cambria Math"/>
            <w:lang w:val="en-US"/>
          </w:rPr>
          <m:t>=</m:t>
        </m:r>
        <m:r>
          <w:rPr>
            <w:rFonts w:ascii="Cambria Math" w:eastAsia="Calibri" w:hAnsi="Cambria Math"/>
            <w:lang w:val="de-DE"/>
          </w:rPr>
          <m:t>c</m:t>
        </m:r>
        <m:r>
          <w:rPr>
            <w:rFonts w:ascii="Cambria Math" w:eastAsia="Calibri" w:hAnsi="Cambria Math"/>
            <w:lang w:val="en-US"/>
          </w:rPr>
          <m:t>*</m:t>
        </m:r>
        <m:sSub>
          <m:sSubPr>
            <m:ctrlPr>
              <w:rPr>
                <w:rFonts w:ascii="Cambria Math" w:eastAsia="Calibri" w:hAnsi="Cambria Math"/>
                <w:i/>
                <w:lang w:val="de-DE"/>
              </w:rPr>
            </m:ctrlPr>
          </m:sSubPr>
          <m:e>
            <m:r>
              <w:rPr>
                <w:rFonts w:ascii="Cambria Math" w:eastAsia="Calibri" w:hAnsi="Cambria Math"/>
                <w:lang w:val="de-DE"/>
              </w:rPr>
              <m:t>k</m:t>
            </m:r>
          </m:e>
          <m:sub>
            <m:r>
              <w:rPr>
                <w:rFonts w:ascii="Cambria Math" w:eastAsia="Calibri" w:hAnsi="Cambria Math"/>
                <w:lang w:val="de-DE"/>
              </w:rPr>
              <m:t>p</m:t>
            </m:r>
          </m:sub>
        </m:sSub>
        <m:r>
          <w:rPr>
            <w:rFonts w:ascii="Cambria Math" w:eastAsia="Calibri" w:hAnsi="Cambria Math"/>
            <w:lang w:val="en-US"/>
          </w:rPr>
          <m:t>*</m:t>
        </m:r>
        <m:r>
          <w:rPr>
            <w:rFonts w:ascii="Cambria Math" w:eastAsia="Calibri" w:hAnsi="Cambria Math"/>
            <w:lang w:val="de-DE"/>
          </w:rPr>
          <m:t>A</m:t>
        </m:r>
        <m:r>
          <w:rPr>
            <w:rFonts w:ascii="Cambria Math" w:eastAsia="Calibri" w:hAnsi="Cambria Math"/>
            <w:lang w:val="en-US"/>
          </w:rPr>
          <m:t xml:space="preserve"> </m:t>
        </m:r>
      </m:oMath>
      <w:r w:rsidRPr="00631206">
        <w:rPr>
          <w:rFonts w:ascii="Arial" w:hAnsi="Arial"/>
          <w:lang w:val="en-US"/>
        </w:rPr>
        <w:t>.</w:t>
      </w:r>
    </w:p>
    <w:p w:rsidR="009701F5" w:rsidRPr="00631206" w:rsidRDefault="009701F5" w:rsidP="009701F5">
      <w:pPr>
        <w:pStyle w:val="Lgende"/>
      </w:pPr>
      <w:r w:rsidRPr="00631206">
        <w:fldChar w:fldCharType="begin"/>
      </w:r>
      <w:r w:rsidRPr="00631206">
        <w:instrText xml:space="preserve"> SEQ Equation \* ARABIC </w:instrText>
      </w:r>
      <w:r w:rsidRPr="00631206">
        <w:fldChar w:fldCharType="separate"/>
      </w:r>
      <w:r w:rsidRPr="00631206">
        <w:rPr>
          <w:noProof/>
        </w:rPr>
        <w:t>1</w:t>
      </w:r>
      <w:r w:rsidRPr="00631206">
        <w:fldChar w:fldCharType="end"/>
      </w:r>
    </w:p>
    <w:p w:rsidR="009701F5" w:rsidRPr="00631206" w:rsidRDefault="009701F5" w:rsidP="009701F5">
      <w:pPr>
        <w:ind w:right="-32"/>
        <w:rPr>
          <w:lang w:val="en-US"/>
        </w:rPr>
      </w:pPr>
      <w:proofErr w:type="gramStart"/>
      <w:r w:rsidRPr="00631206">
        <w:rPr>
          <w:noProof/>
          <w:lang w:val="en-US"/>
        </w:rPr>
        <w:t>Correction</w:t>
      </w:r>
      <w:r w:rsidRPr="00631206">
        <w:rPr>
          <w:lang w:val="en-US"/>
        </w:rPr>
        <w:t xml:space="preserve"> factor for </w:t>
      </w:r>
      <w:r w:rsidRPr="00631206">
        <w:rPr>
          <w:noProof/>
          <w:lang w:val="en-US"/>
        </w:rPr>
        <w:t>steady state</w:t>
      </w:r>
      <w:r w:rsidRPr="00631206">
        <w:rPr>
          <w:lang w:val="en-US"/>
        </w:rPr>
        <w:t xml:space="preserve"> distribution.</w:t>
      </w:r>
      <w:proofErr w:type="gramEnd"/>
      <w:r w:rsidRPr="00631206">
        <w:rPr>
          <w:lang w:val="en-US"/>
        </w:rPr>
        <w:t xml:space="preserve"> It represents the proportion of substance present in the donor fluid after distribution in the stratum </w:t>
      </w:r>
      <w:proofErr w:type="spellStart"/>
      <w:r w:rsidRPr="00631206">
        <w:rPr>
          <w:lang w:val="en-US"/>
        </w:rPr>
        <w:t>corneum</w:t>
      </w:r>
      <w:proofErr w:type="spellEnd"/>
      <w:r w:rsidRPr="00631206">
        <w:rPr>
          <w:lang w:val="en-US"/>
        </w:rPr>
        <w:t xml:space="preserve"> and </w:t>
      </w:r>
      <w:r w:rsidRPr="00631206">
        <w:rPr>
          <w:noProof/>
          <w:lang w:val="en-US"/>
        </w:rPr>
        <w:t>is defined</w:t>
      </w:r>
      <w:r w:rsidRPr="00631206">
        <w:rPr>
          <w:lang w:val="en-US"/>
        </w:rPr>
        <w:t xml:space="preserve"> as:</w:t>
      </w:r>
    </w:p>
    <w:p w:rsidR="009701F5" w:rsidRPr="00631206" w:rsidRDefault="009701F5" w:rsidP="009701F5">
      <w:pPr>
        <w:keepNext/>
        <w:spacing w:before="120" w:after="120" w:line="360" w:lineRule="auto"/>
        <w:ind w:right="-32"/>
        <w:jc w:val="both"/>
        <w:rPr>
          <w:rFonts w:ascii="Arial" w:eastAsia="Calibri" w:hAnsi="Arial"/>
          <w:lang w:val="de-DE"/>
        </w:rPr>
      </w:pPr>
      <m:oMathPara>
        <m:oMath>
          <m:r>
            <w:rPr>
              <w:rFonts w:ascii="Cambria Math" w:eastAsia="Calibri" w:hAnsi="Cambria Math"/>
              <w:lang w:val="de-DE"/>
            </w:rPr>
            <m:t>f=</m:t>
          </m:r>
          <m:f>
            <m:fPr>
              <m:ctrlPr>
                <w:rPr>
                  <w:rFonts w:ascii="Cambria Math" w:eastAsia="Calibri" w:hAnsi="Cambria Math"/>
                  <w:i/>
                  <w:lang w:val="de-DE"/>
                </w:rPr>
              </m:ctrlPr>
            </m:fPr>
            <m:num>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m:t>
                  </m:r>
                </m:sub>
              </m:sSub>
            </m:num>
            <m:den>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sc</m:t>
                  </m:r>
                </m:sub>
              </m:sSub>
            </m:den>
          </m:f>
          <m:r>
            <w:rPr>
              <w:rFonts w:ascii="Cambria Math" w:eastAsia="Calibri" w:hAnsi="Cambria Math"/>
              <w:lang w:val="de-DE"/>
            </w:rPr>
            <m:t>=</m:t>
          </m:r>
          <m:f>
            <m:fPr>
              <m:ctrlPr>
                <w:rPr>
                  <w:rFonts w:ascii="Cambria Math" w:eastAsia="Calibri" w:hAnsi="Cambria Math" w:cs="Arial"/>
                  <w:bCs/>
                  <w:i/>
                  <w:lang w:val="en-US"/>
                </w:rPr>
              </m:ctrlPr>
            </m:fPr>
            <m:num>
              <m:sSub>
                <m:sSubPr>
                  <m:ctrlPr>
                    <w:rPr>
                      <w:rFonts w:ascii="Cambria Math" w:eastAsia="Calibri" w:hAnsi="Cambria Math" w:cs="Arial"/>
                      <w:bCs/>
                      <w:i/>
                      <w:lang w:val="en-US"/>
                    </w:rPr>
                  </m:ctrlPr>
                </m:sSubPr>
                <m:e>
                  <m:r>
                    <w:rPr>
                      <w:rFonts w:ascii="Cambria Math" w:eastAsia="Calibri" w:hAnsi="Cambria Math"/>
                      <w:lang w:val="de-DE"/>
                    </w:rPr>
                    <m:t>V</m:t>
                  </m:r>
                </m:e>
                <m:sub>
                  <m:r>
                    <w:rPr>
                      <w:rFonts w:ascii="Cambria Math" w:eastAsia="Calibri" w:hAnsi="Cambria Math"/>
                      <w:lang w:val="de-DE"/>
                    </w:rPr>
                    <m:t>don</m:t>
                  </m:r>
                </m:sub>
              </m:sSub>
            </m:num>
            <m:den>
              <m:sSub>
                <m:sSubPr>
                  <m:ctrlPr>
                    <w:rPr>
                      <w:rFonts w:ascii="Cambria Math" w:eastAsia="Calibri" w:hAnsi="Cambria Math" w:cs="Arial"/>
                      <w:bCs/>
                      <w:i/>
                      <w:lang w:val="en-US"/>
                    </w:rPr>
                  </m:ctrlPr>
                </m:sSubPr>
                <m:e>
                  <m:r>
                    <w:rPr>
                      <w:rFonts w:ascii="Cambria Math" w:eastAsia="Calibri" w:hAnsi="Cambria Math"/>
                      <w:lang w:val="de-DE"/>
                    </w:rPr>
                    <m:t>V</m:t>
                  </m:r>
                </m:e>
                <m:sub>
                  <m:r>
                    <w:rPr>
                      <w:rFonts w:ascii="Cambria Math" w:eastAsia="Calibri" w:hAnsi="Cambria Math"/>
                      <w:lang w:val="de-DE"/>
                    </w:rPr>
                    <m:t>sc</m:t>
                  </m:r>
                </m:sub>
              </m:sSub>
              <m:r>
                <w:rPr>
                  <w:rFonts w:ascii="Cambria Math" w:eastAsia="Calibri" w:hAnsi="Cambria Math"/>
                  <w:lang w:val="de-DE"/>
                </w:rPr>
                <m:t>*PC+</m:t>
              </m:r>
              <m:sSub>
                <m:sSubPr>
                  <m:ctrlPr>
                    <w:rPr>
                      <w:rFonts w:ascii="Cambria Math" w:eastAsia="Calibri" w:hAnsi="Cambria Math" w:cs="Arial"/>
                      <w:bCs/>
                      <w:i/>
                      <w:lang w:val="en-US"/>
                    </w:rPr>
                  </m:ctrlPr>
                </m:sSubPr>
                <m:e>
                  <m:r>
                    <w:rPr>
                      <w:rFonts w:ascii="Cambria Math" w:eastAsia="Calibri" w:hAnsi="Cambria Math"/>
                      <w:lang w:val="de-DE"/>
                    </w:rPr>
                    <m:t>V</m:t>
                  </m:r>
                </m:e>
                <m:sub>
                  <m:r>
                    <w:rPr>
                      <w:rFonts w:ascii="Cambria Math" w:eastAsia="Calibri" w:hAnsi="Cambria Math"/>
                      <w:lang w:val="de-DE"/>
                    </w:rPr>
                    <m:t>don</m:t>
                  </m:r>
                </m:sub>
              </m:sSub>
            </m:den>
          </m:f>
        </m:oMath>
      </m:oMathPara>
    </w:p>
    <w:p w:rsidR="009701F5" w:rsidRPr="00631206" w:rsidRDefault="009701F5" w:rsidP="009701F5">
      <w:pPr>
        <w:pStyle w:val="Lgende"/>
      </w:pPr>
      <w:r w:rsidRPr="00631206">
        <w:fldChar w:fldCharType="begin"/>
      </w:r>
      <w:r w:rsidRPr="00631206">
        <w:instrText xml:space="preserve"> SEQ Equation \* ARABIC </w:instrText>
      </w:r>
      <w:r w:rsidRPr="00631206">
        <w:fldChar w:fldCharType="separate"/>
      </w:r>
      <w:r w:rsidRPr="00631206">
        <w:rPr>
          <w:noProof/>
        </w:rPr>
        <w:t>2</w:t>
      </w:r>
      <w:r w:rsidRPr="00631206">
        <w:fldChar w:fldCharType="end"/>
      </w:r>
    </w:p>
    <w:p w:rsidR="009701F5" w:rsidRPr="00631206" w:rsidRDefault="009701F5" w:rsidP="009701F5">
      <w:pPr>
        <w:ind w:right="-32"/>
        <w:rPr>
          <w:lang w:val="en-US"/>
        </w:rPr>
      </w:pPr>
      <w:r w:rsidRPr="00631206">
        <w:rPr>
          <w:lang w:val="en-US"/>
        </w:rPr>
        <w:fldChar w:fldCharType="begin"/>
      </w:r>
      <w:r w:rsidRPr="00631206">
        <w:rPr>
          <w:lang w:val="en-US"/>
        </w:rPr>
        <w:instrText xml:space="preserve"> REF _Ref461384498 \h  \* MERGEFORMAT </w:instrText>
      </w:r>
      <w:r w:rsidRPr="00631206">
        <w:rPr>
          <w:lang w:val="en-US"/>
        </w:rPr>
      </w:r>
      <w:r w:rsidRPr="00631206">
        <w:rPr>
          <w:lang w:val="en-US"/>
        </w:rPr>
        <w:fldChar w:fldCharType="separate"/>
      </w:r>
      <w:r w:rsidRPr="00631206">
        <w:rPr>
          <w:lang w:val="en-US"/>
        </w:rPr>
        <w:t>Equation (1)</w:t>
      </w:r>
      <w:r w:rsidRPr="00631206">
        <w:rPr>
          <w:lang w:val="en-US"/>
        </w:rPr>
        <w:fldChar w:fldCharType="end"/>
      </w:r>
      <w:r w:rsidRPr="00631206">
        <w:rPr>
          <w:lang w:val="en-US"/>
        </w:rPr>
        <w:t xml:space="preserve"> </w:t>
      </w:r>
      <w:r w:rsidRPr="00631206">
        <w:rPr>
          <w:noProof/>
          <w:lang w:val="en-US"/>
        </w:rPr>
        <w:t>is solved</w:t>
      </w:r>
      <w:r w:rsidRPr="00631206">
        <w:rPr>
          <w:lang w:val="en-US"/>
        </w:rPr>
        <w:t xml:space="preserve"> for t, after substituting the concentration </w:t>
      </w:r>
      <m:oMath>
        <m:r>
          <w:rPr>
            <w:rFonts w:ascii="Cambria Math" w:hAnsi="Cambria Math"/>
            <w:lang w:val="en-US"/>
          </w:rPr>
          <m:t>c</m:t>
        </m:r>
      </m:oMath>
      <w:r w:rsidRPr="00631206">
        <w:rPr>
          <w:lang w:val="en-US"/>
        </w:rPr>
        <w:t xml:space="preserve"> with </w:t>
      </w:r>
      <m:oMath>
        <m:f>
          <m:fPr>
            <m:type m:val="lin"/>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don</m:t>
                </m:r>
              </m:sub>
            </m:sSub>
          </m:num>
          <m:den>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don</m:t>
                </m:r>
              </m:sub>
            </m:sSub>
          </m:den>
        </m:f>
      </m:oMath>
      <w:r w:rsidRPr="00631206">
        <w:rPr>
          <w:lang w:val="en-US"/>
        </w:rPr>
        <w:t xml:space="preserve"> and correcting it by f (due to distribution into the stratum corneum), and after taking the lag time (</w:t>
      </w: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lag</m:t>
            </m:r>
          </m:sub>
        </m:sSub>
        <m:r>
          <m:rPr>
            <m:sty m:val="p"/>
          </m:rPr>
          <w:rPr>
            <w:rFonts w:ascii="Cambria Math" w:hAnsi="Cambria Math"/>
            <w:lang w:val="en-US"/>
          </w:rPr>
          <m:t>)</m:t>
        </m:r>
      </m:oMath>
      <w:r w:rsidRPr="00631206">
        <w:rPr>
          <w:lang w:val="en-US"/>
        </w:rPr>
        <w:t xml:space="preserve"> into account:</w:t>
      </w:r>
    </w:p>
    <w:p w:rsidR="009701F5" w:rsidRPr="00631206" w:rsidRDefault="00631206" w:rsidP="009701F5">
      <w:pPr>
        <w:spacing w:before="120" w:after="120" w:line="360" w:lineRule="auto"/>
        <w:ind w:right="-32"/>
        <w:jc w:val="center"/>
        <w:rPr>
          <w:rFonts w:ascii="Arial" w:hAnsi="Arial"/>
          <w:lang w:val="en-US"/>
        </w:rPr>
      </w:pPr>
      <m:oMath>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m:t>
            </m:r>
            <m:r>
              <w:rPr>
                <w:rFonts w:ascii="Cambria Math" w:eastAsia="Calibri" w:hAnsi="Cambria Math"/>
                <w:lang w:val="en-US"/>
              </w:rPr>
              <m:t>,</m:t>
            </m:r>
            <m:r>
              <w:rPr>
                <w:rFonts w:ascii="Cambria Math" w:eastAsia="Calibri" w:hAnsi="Cambria Math"/>
                <w:lang w:val="de-DE"/>
              </w:rPr>
              <m:t>t</m:t>
            </m:r>
          </m:sub>
        </m:sSub>
        <m:r>
          <w:rPr>
            <w:rFonts w:ascii="Cambria Math" w:eastAsia="Calibri" w:hAnsi="Cambria Math"/>
            <w:lang w:val="en-US"/>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m:t>
            </m:r>
            <m:r>
              <w:rPr>
                <w:rFonts w:ascii="Cambria Math" w:eastAsia="Calibri" w:hAnsi="Cambria Math"/>
                <w:lang w:val="en-US"/>
              </w:rPr>
              <m:t>,0</m:t>
            </m:r>
          </m:sub>
        </m:sSub>
        <m:r>
          <w:rPr>
            <w:rFonts w:ascii="Cambria Math" w:eastAsia="Calibri" w:hAnsi="Cambria Math"/>
            <w:lang w:val="en-US"/>
          </w:rPr>
          <m:t>*</m:t>
        </m:r>
        <m:sSup>
          <m:sSupPr>
            <m:ctrlPr>
              <w:rPr>
                <w:rFonts w:ascii="Cambria Math" w:eastAsia="Calibri" w:hAnsi="Cambria Math"/>
                <w:i/>
                <w:lang w:val="de-DE"/>
              </w:rPr>
            </m:ctrlPr>
          </m:sSupPr>
          <m:e>
            <m:r>
              <w:rPr>
                <w:rFonts w:ascii="Cambria Math" w:eastAsia="Calibri" w:hAnsi="Cambria Math"/>
                <w:lang w:val="de-DE"/>
              </w:rPr>
              <m:t>e</m:t>
            </m:r>
          </m:e>
          <m:sup>
            <m:r>
              <w:rPr>
                <w:rFonts w:ascii="Cambria Math" w:eastAsia="Calibri" w:hAnsi="Cambria Math"/>
                <w:lang w:val="en-US"/>
              </w:rPr>
              <m:t>-</m:t>
            </m:r>
            <m:d>
              <m:dPr>
                <m:ctrlPr>
                  <w:rPr>
                    <w:rFonts w:ascii="Cambria Math" w:eastAsia="Calibri" w:hAnsi="Cambria Math"/>
                    <w:i/>
                    <w:lang w:val="de-DE"/>
                  </w:rPr>
                </m:ctrlPr>
              </m:dPr>
              <m:e>
                <m:f>
                  <m:fPr>
                    <m:ctrlPr>
                      <w:rPr>
                        <w:rFonts w:ascii="Cambria Math" w:eastAsia="Calibri" w:hAnsi="Cambria Math"/>
                        <w:i/>
                        <w:lang w:val="de-DE"/>
                      </w:rPr>
                    </m:ctrlPr>
                  </m:fPr>
                  <m:num>
                    <m:r>
                      <w:rPr>
                        <w:rFonts w:ascii="Cambria Math" w:hAnsi="Cambria Math"/>
                        <w:lang w:val="de-DE"/>
                      </w:rPr>
                      <m:t>f</m:t>
                    </m:r>
                    <m:r>
                      <w:rPr>
                        <w:rFonts w:ascii="Cambria Math" w:hAnsi="Cambria Math"/>
                        <w:lang w:val="en-US"/>
                      </w:rPr>
                      <m:t>*</m:t>
                    </m:r>
                    <m:sSub>
                      <m:sSubPr>
                        <m:ctrlPr>
                          <w:rPr>
                            <w:rFonts w:ascii="Cambria Math" w:hAnsi="Cambria Math" w:cs="Arial"/>
                            <w:bCs/>
                            <w:i/>
                            <w:lang w:val="en-US"/>
                          </w:rPr>
                        </m:ctrlPr>
                      </m:sSubPr>
                      <m:e>
                        <m:r>
                          <w:rPr>
                            <w:rFonts w:ascii="Cambria Math" w:hAnsi="Cambria Math"/>
                            <w:lang w:val="de-DE"/>
                          </w:rPr>
                          <m:t>k</m:t>
                        </m:r>
                      </m:e>
                      <m:sub>
                        <m:r>
                          <w:rPr>
                            <w:rFonts w:ascii="Cambria Math" w:hAnsi="Cambria Math"/>
                            <w:lang w:val="de-DE"/>
                          </w:rPr>
                          <m:t>p</m:t>
                        </m:r>
                      </m:sub>
                    </m:sSub>
                    <m:r>
                      <w:rPr>
                        <w:rFonts w:ascii="Cambria Math" w:hAnsi="Cambria Math"/>
                        <w:lang w:val="en-US"/>
                      </w:rPr>
                      <m:t>*</m:t>
                    </m:r>
                    <m:r>
                      <w:rPr>
                        <w:rFonts w:ascii="Cambria Math" w:hAnsi="Cambria Math"/>
                        <w:lang w:val="de-DE"/>
                      </w:rPr>
                      <m:t>A</m:t>
                    </m:r>
                    <m:r>
                      <w:rPr>
                        <w:rFonts w:ascii="Cambria Math" w:hAnsi="Cambria Math"/>
                        <w:lang w:val="en-US"/>
                      </w:rPr>
                      <m:t>*</m:t>
                    </m:r>
                    <m:d>
                      <m:dPr>
                        <m:ctrlPr>
                          <w:rPr>
                            <w:rFonts w:ascii="Cambria Math" w:hAnsi="Cambria Math" w:cs="Arial"/>
                            <w:bCs/>
                            <w:i/>
                            <w:lang w:val="en-US"/>
                          </w:rPr>
                        </m:ctrlPr>
                      </m:dPr>
                      <m:e>
                        <m:r>
                          <w:rPr>
                            <w:rFonts w:ascii="Cambria Math" w:hAnsi="Cambria Math"/>
                            <w:lang w:val="de-DE"/>
                          </w:rPr>
                          <m:t>t</m:t>
                        </m:r>
                        <m:r>
                          <w:rPr>
                            <w:rFonts w:ascii="Cambria Math" w:hAnsi="Cambria Math"/>
                            <w:lang w:val="en-US"/>
                          </w:rPr>
                          <m:t>-</m:t>
                        </m:r>
                        <m:sSub>
                          <m:sSubPr>
                            <m:ctrlPr>
                              <w:rPr>
                                <w:rFonts w:ascii="Cambria Math" w:hAnsi="Cambria Math" w:cs="Arial"/>
                                <w:bCs/>
                                <w:i/>
                                <w:lang w:val="en-US"/>
                              </w:rPr>
                            </m:ctrlPr>
                          </m:sSubPr>
                          <m:e>
                            <m:r>
                              <w:rPr>
                                <w:rFonts w:ascii="Cambria Math" w:hAnsi="Cambria Math"/>
                                <w:lang w:val="de-DE"/>
                              </w:rPr>
                              <m:t>t</m:t>
                            </m:r>
                          </m:e>
                          <m:sub>
                            <m:r>
                              <w:rPr>
                                <w:rFonts w:ascii="Cambria Math" w:hAnsi="Cambria Math"/>
                                <w:lang w:val="de-DE"/>
                              </w:rPr>
                              <m:t>lag</m:t>
                            </m:r>
                          </m:sub>
                        </m:sSub>
                      </m:e>
                    </m:d>
                  </m:num>
                  <m:den>
                    <m:sSub>
                      <m:sSubPr>
                        <m:ctrlPr>
                          <w:rPr>
                            <w:rFonts w:ascii="Cambria Math" w:eastAsia="Calibri" w:hAnsi="Cambria Math"/>
                            <w:i/>
                            <w:lang w:val="de-DE"/>
                          </w:rPr>
                        </m:ctrlPr>
                      </m:sSubPr>
                      <m:e>
                        <m:r>
                          <w:rPr>
                            <w:rFonts w:ascii="Cambria Math" w:eastAsia="Calibri" w:hAnsi="Cambria Math"/>
                            <w:lang w:val="de-DE"/>
                          </w:rPr>
                          <m:t>V</m:t>
                        </m:r>
                      </m:e>
                      <m:sub>
                        <m:r>
                          <w:rPr>
                            <w:rFonts w:ascii="Cambria Math" w:eastAsia="Calibri" w:hAnsi="Cambria Math"/>
                            <w:lang w:val="de-DE"/>
                          </w:rPr>
                          <m:t>don</m:t>
                        </m:r>
                      </m:sub>
                    </m:sSub>
                  </m:den>
                </m:f>
              </m:e>
            </m:d>
          </m:sup>
        </m:sSup>
      </m:oMath>
      <w:r w:rsidR="009701F5" w:rsidRPr="00631206">
        <w:rPr>
          <w:rFonts w:ascii="Arial" w:hAnsi="Arial"/>
          <w:lang w:val="en-US"/>
        </w:rPr>
        <w:t>.</w:t>
      </w:r>
    </w:p>
    <w:p w:rsidR="009701F5" w:rsidRPr="00631206" w:rsidRDefault="009701F5" w:rsidP="009701F5">
      <w:pPr>
        <w:pStyle w:val="Lgende"/>
        <w:jc w:val="left"/>
      </w:pPr>
      <w:r w:rsidRPr="00631206">
        <w:fldChar w:fldCharType="begin"/>
      </w:r>
      <w:r w:rsidRPr="00631206">
        <w:instrText xml:space="preserve"> SEQ Equation \* ARABIC </w:instrText>
      </w:r>
      <w:r w:rsidRPr="00631206">
        <w:fldChar w:fldCharType="separate"/>
      </w:r>
      <w:r w:rsidRPr="00631206">
        <w:rPr>
          <w:noProof/>
        </w:rPr>
        <w:t>3</w:t>
      </w:r>
      <w:r w:rsidRPr="00631206">
        <w:fldChar w:fldCharType="end"/>
      </w:r>
    </w:p>
    <w:p w:rsidR="009701F5" w:rsidRPr="00631206" w:rsidRDefault="009701F5" w:rsidP="009701F5">
      <w:pPr>
        <w:ind w:right="-32"/>
        <w:rPr>
          <w:lang w:val="en-US"/>
        </w:rPr>
      </w:pPr>
      <w:r w:rsidRPr="00631206">
        <w:rPr>
          <w:lang w:val="en-US"/>
        </w:rPr>
        <w:t>The total mass present is equal to the sum of the mass present in the donor at time t</w:t>
      </w:r>
      <w:proofErr w:type="gramStart"/>
      <w:r w:rsidRPr="00631206">
        <w:rPr>
          <w:lang w:val="en-US"/>
        </w:rPr>
        <w:t xml:space="preserve">, </w:t>
      </w:r>
      <w:proofErr w:type="gramEnd"/>
      <m:oMath>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don</m:t>
            </m:r>
            <m:r>
              <m:rPr>
                <m:sty m:val="p"/>
              </m:rPr>
              <w:rPr>
                <w:rFonts w:ascii="Cambria Math" w:hAnsi="Cambria Math"/>
                <w:lang w:val="en-US"/>
              </w:rPr>
              <m:t>,</m:t>
            </m:r>
            <m:r>
              <w:rPr>
                <w:rFonts w:ascii="Cambria Math" w:hAnsi="Cambria Math"/>
                <w:lang w:val="en-US"/>
              </w:rPr>
              <m:t>t</m:t>
            </m:r>
          </m:sub>
        </m:sSub>
      </m:oMath>
      <w:r w:rsidRPr="00631206">
        <w:rPr>
          <w:lang w:val="en-US"/>
        </w:rPr>
        <w:t xml:space="preserve">, and the receptor at time t, </w:t>
      </w:r>
      <m:oMath>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rec</m:t>
            </m:r>
            <m:r>
              <m:rPr>
                <m:sty m:val="p"/>
              </m:rPr>
              <w:rPr>
                <w:rFonts w:ascii="Cambria Math" w:hAnsi="Cambria Math"/>
                <w:lang w:val="en-US"/>
              </w:rPr>
              <m:t>,</m:t>
            </m:r>
            <m:r>
              <w:rPr>
                <w:rFonts w:ascii="Cambria Math" w:hAnsi="Cambria Math"/>
                <w:lang w:val="en-US"/>
              </w:rPr>
              <m:t>t</m:t>
            </m:r>
          </m:sub>
        </m:sSub>
      </m:oMath>
      <w:r w:rsidRPr="00631206">
        <w:rPr>
          <w:lang w:val="en-US"/>
        </w:rPr>
        <w:t>:</w:t>
      </w:r>
    </w:p>
    <w:p w:rsidR="009701F5" w:rsidRPr="00631206" w:rsidRDefault="00631206" w:rsidP="009701F5">
      <w:pPr>
        <w:spacing w:before="120" w:after="120" w:line="360" w:lineRule="auto"/>
        <w:ind w:right="-32"/>
        <w:jc w:val="both"/>
        <w:rPr>
          <w:rFonts w:ascii="Arial" w:hAnsi="Arial"/>
          <w:lang w:val="de-DE"/>
        </w:rPr>
      </w:pPr>
      <m:oMathPara>
        <m:oMath>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don,t</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don,0</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rec,t</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rec,t</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don,0</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don,t</m:t>
              </m:r>
            </m:sub>
          </m:sSub>
        </m:oMath>
      </m:oMathPara>
    </w:p>
    <w:p w:rsidR="009701F5" w:rsidRPr="00631206" w:rsidRDefault="009701F5" w:rsidP="009701F5">
      <w:pPr>
        <w:spacing w:before="120" w:after="120" w:line="360" w:lineRule="auto"/>
        <w:ind w:right="-32"/>
        <w:jc w:val="both"/>
        <w:rPr>
          <w:rFonts w:ascii="Arial" w:hAnsi="Arial" w:cs="Arial"/>
          <w:lang w:val="de-DE"/>
        </w:rPr>
      </w:pPr>
      <m:oMathPara>
        <m:oMath>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rec,t</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don,0</m:t>
              </m:r>
            </m:sub>
          </m:sSub>
          <m:r>
            <w:rPr>
              <w:rFonts w:ascii="Cambria Math" w:eastAsia="Calibri" w:hAnsi="Cambria Math"/>
              <w:lang w:val="de-DE"/>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don,0</m:t>
              </m:r>
            </m:sub>
          </m:sSub>
          <m:r>
            <w:rPr>
              <w:rFonts w:ascii="Cambria Math" w:eastAsia="Calibri" w:hAnsi="Cambria Math"/>
              <w:lang w:val="de-DE"/>
            </w:rPr>
            <m:t>*</m:t>
          </m:r>
          <m:sSup>
            <m:sSupPr>
              <m:ctrlPr>
                <w:rPr>
                  <w:rFonts w:ascii="Cambria Math" w:eastAsia="Calibri" w:hAnsi="Cambria Math"/>
                  <w:i/>
                  <w:lang w:val="de-DE"/>
                </w:rPr>
              </m:ctrlPr>
            </m:sSupPr>
            <m:e>
              <m:r>
                <w:rPr>
                  <w:rFonts w:ascii="Cambria Math" w:eastAsia="Calibri" w:hAnsi="Cambria Math"/>
                  <w:lang w:val="de-DE"/>
                </w:rPr>
                <m:t>e</m:t>
              </m:r>
            </m:e>
            <m:sup>
              <m:r>
                <w:rPr>
                  <w:rFonts w:ascii="Cambria Math" w:eastAsia="Calibri" w:hAnsi="Cambria Math"/>
                  <w:lang w:val="de-DE"/>
                </w:rPr>
                <m:t>-</m:t>
              </m:r>
              <m:d>
                <m:dPr>
                  <m:ctrlPr>
                    <w:rPr>
                      <w:rFonts w:ascii="Cambria Math" w:eastAsia="Calibri" w:hAnsi="Cambria Math"/>
                      <w:i/>
                      <w:lang w:val="de-DE"/>
                    </w:rPr>
                  </m:ctrlPr>
                </m:dPr>
                <m:e>
                  <m:f>
                    <m:fPr>
                      <m:ctrlPr>
                        <w:rPr>
                          <w:rFonts w:ascii="Cambria Math" w:eastAsia="Calibri" w:hAnsi="Cambria Math"/>
                          <w:i/>
                          <w:lang w:val="de-DE"/>
                        </w:rPr>
                      </m:ctrlPr>
                    </m:fPr>
                    <m:num>
                      <m:r>
                        <w:rPr>
                          <w:rFonts w:ascii="Cambria Math" w:hAnsi="Cambria Math"/>
                          <w:lang w:val="de-DE"/>
                        </w:rPr>
                        <m:t>f*</m:t>
                      </m:r>
                      <m:sSub>
                        <m:sSubPr>
                          <m:ctrlPr>
                            <w:rPr>
                              <w:rFonts w:ascii="Cambria Math" w:hAnsi="Cambria Math" w:cs="Arial"/>
                              <w:bCs/>
                              <w:i/>
                              <w:lang w:val="en-US"/>
                            </w:rPr>
                          </m:ctrlPr>
                        </m:sSubPr>
                        <m:e>
                          <m:r>
                            <w:rPr>
                              <w:rFonts w:ascii="Cambria Math" w:hAnsi="Cambria Math"/>
                              <w:lang w:val="de-DE"/>
                            </w:rPr>
                            <m:t>k</m:t>
                          </m:r>
                        </m:e>
                        <m:sub>
                          <m:r>
                            <w:rPr>
                              <w:rFonts w:ascii="Cambria Math" w:hAnsi="Cambria Math"/>
                              <w:lang w:val="de-DE"/>
                            </w:rPr>
                            <m:t>p</m:t>
                          </m:r>
                        </m:sub>
                      </m:sSub>
                      <m:r>
                        <w:rPr>
                          <w:rFonts w:ascii="Cambria Math" w:hAnsi="Cambria Math"/>
                          <w:lang w:val="de-DE"/>
                        </w:rPr>
                        <m:t>*A*t</m:t>
                      </m:r>
                    </m:num>
                    <m:den>
                      <m:sSub>
                        <m:sSubPr>
                          <m:ctrlPr>
                            <w:rPr>
                              <w:rFonts w:ascii="Cambria Math" w:eastAsia="Calibri" w:hAnsi="Cambria Math"/>
                              <w:i/>
                              <w:lang w:val="de-DE"/>
                            </w:rPr>
                          </m:ctrlPr>
                        </m:sSubPr>
                        <m:e>
                          <m:r>
                            <w:rPr>
                              <w:rFonts w:ascii="Cambria Math" w:eastAsia="Calibri" w:hAnsi="Cambria Math"/>
                              <w:lang w:val="de-DE"/>
                            </w:rPr>
                            <m:t>V</m:t>
                          </m:r>
                        </m:e>
                        <m:sub>
                          <m:r>
                            <w:rPr>
                              <w:rFonts w:ascii="Cambria Math" w:eastAsia="Calibri" w:hAnsi="Cambria Math"/>
                              <w:lang w:val="de-DE"/>
                            </w:rPr>
                            <m:t>don</m:t>
                          </m:r>
                        </m:sub>
                      </m:sSub>
                    </m:den>
                  </m:f>
                </m:e>
              </m:d>
            </m:sup>
          </m:sSup>
        </m:oMath>
      </m:oMathPara>
    </w:p>
    <w:bookmarkStart w:id="5" w:name="_Ref461374437"/>
    <w:p w:rsidR="009701F5" w:rsidRPr="00631206" w:rsidRDefault="009701F5" w:rsidP="009701F5">
      <w:pPr>
        <w:pStyle w:val="Lgende"/>
      </w:pPr>
      <w:r w:rsidRPr="00631206">
        <w:fldChar w:fldCharType="begin"/>
      </w:r>
      <w:r w:rsidRPr="00631206">
        <w:instrText xml:space="preserve"> SEQ Equation \* ARABIC </w:instrText>
      </w:r>
      <w:r w:rsidRPr="00631206">
        <w:fldChar w:fldCharType="separate"/>
      </w:r>
      <w:r w:rsidRPr="00631206">
        <w:rPr>
          <w:noProof/>
        </w:rPr>
        <w:t>4</w:t>
      </w:r>
      <w:r w:rsidRPr="00631206">
        <w:fldChar w:fldCharType="end"/>
      </w:r>
    </w:p>
    <w:bookmarkEnd w:id="5"/>
    <w:p w:rsidR="009701F5" w:rsidRPr="00631206" w:rsidRDefault="009701F5" w:rsidP="009701F5">
      <w:pPr>
        <w:ind w:right="-32"/>
        <w:rPr>
          <w:lang w:val="en-US"/>
        </w:rPr>
      </w:pPr>
      <w:r w:rsidRPr="00631206">
        <w:rPr>
          <w:lang w:val="en-US"/>
        </w:rPr>
        <w:t xml:space="preserve">The amount still present in the stratum </w:t>
      </w:r>
      <w:proofErr w:type="spellStart"/>
      <w:r w:rsidRPr="00631206">
        <w:rPr>
          <w:lang w:val="en-US"/>
        </w:rPr>
        <w:t>corneum</w:t>
      </w:r>
      <w:proofErr w:type="spellEnd"/>
      <w:r w:rsidRPr="00631206">
        <w:rPr>
          <w:lang w:val="en-US"/>
        </w:rPr>
        <w:t xml:space="preserve"> immediately after exposure</w:t>
      </w:r>
      <w:proofErr w:type="gramStart"/>
      <w:r w:rsidRPr="00631206">
        <w:rPr>
          <w:lang w:val="en-US"/>
        </w:rPr>
        <w:t xml:space="preserve">, </w:t>
      </w:r>
      <w:proofErr w:type="gramEnd"/>
      <m:oMath>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sc</m:t>
            </m:r>
          </m:sub>
        </m:sSub>
      </m:oMath>
      <w:r w:rsidRPr="00631206">
        <w:rPr>
          <w:lang w:val="en-US"/>
        </w:rPr>
        <w:t>, is given by:</w:t>
      </w:r>
    </w:p>
    <w:p w:rsidR="009701F5" w:rsidRPr="00631206" w:rsidRDefault="00631206" w:rsidP="009701F5">
      <w:pPr>
        <w:spacing w:before="240" w:after="120" w:line="360" w:lineRule="auto"/>
        <w:ind w:right="-32"/>
        <w:jc w:val="center"/>
        <w:rPr>
          <w:rFonts w:ascii="Arial" w:hAnsi="Arial"/>
          <w:noProof/>
          <w:lang w:val="en-US"/>
        </w:rPr>
      </w:pPr>
      <m:oMath>
        <m:sSub>
          <m:sSubPr>
            <m:ctrlPr>
              <w:rPr>
                <w:rFonts w:ascii="Cambria Math" w:eastAsia="Calibri" w:hAnsi="Cambria Math" w:cs="Arial"/>
                <w:bCs/>
                <w:i/>
                <w:noProof/>
                <w:lang w:val="en-US"/>
              </w:rPr>
            </m:ctrlPr>
          </m:sSubPr>
          <m:e>
            <m:r>
              <w:rPr>
                <w:rFonts w:ascii="Cambria Math" w:eastAsia="Calibri" w:hAnsi="Cambria Math"/>
                <w:noProof/>
                <w:lang w:val="de-DE"/>
              </w:rPr>
              <m:t>M</m:t>
            </m:r>
          </m:e>
          <m:sub>
            <m:r>
              <w:rPr>
                <w:rFonts w:ascii="Cambria Math" w:eastAsia="Calibri" w:hAnsi="Cambria Math"/>
                <w:noProof/>
                <w:lang w:val="de-DE"/>
              </w:rPr>
              <m:t>sc</m:t>
            </m:r>
          </m:sub>
        </m:sSub>
        <m:r>
          <w:rPr>
            <w:rFonts w:ascii="Cambria Math" w:eastAsia="Calibri" w:hAnsi="Cambria Math"/>
            <w:noProof/>
            <w:lang w:val="en-US"/>
          </w:rPr>
          <m:t>=</m:t>
        </m:r>
        <m:d>
          <m:dPr>
            <m:ctrlPr>
              <w:rPr>
                <w:rFonts w:ascii="Cambria Math" w:eastAsia="Calibri" w:hAnsi="Cambria Math"/>
                <w:i/>
                <w:noProof/>
                <w:lang w:val="de-DE"/>
              </w:rPr>
            </m:ctrlPr>
          </m:dPr>
          <m:e>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don</m:t>
                </m:r>
                <m:r>
                  <w:rPr>
                    <w:rFonts w:ascii="Cambria Math" w:eastAsia="Calibri" w:hAnsi="Cambria Math"/>
                    <w:lang w:val="en-US"/>
                  </w:rPr>
                  <m:t>,0</m:t>
                </m:r>
              </m:sub>
            </m:sSub>
            <m:r>
              <w:rPr>
                <w:rFonts w:ascii="Cambria Math" w:eastAsia="Calibri" w:hAnsi="Cambria Math"/>
                <w:lang w:val="en-US"/>
              </w:rPr>
              <m:t>-</m:t>
            </m:r>
            <m:sSub>
              <m:sSubPr>
                <m:ctrlPr>
                  <w:rPr>
                    <w:rFonts w:ascii="Cambria Math" w:eastAsia="Calibri" w:hAnsi="Cambria Math"/>
                    <w:i/>
                    <w:lang w:val="de-DE"/>
                  </w:rPr>
                </m:ctrlPr>
              </m:sSubPr>
              <m:e>
                <m:r>
                  <w:rPr>
                    <w:rFonts w:ascii="Cambria Math" w:eastAsia="Calibri" w:hAnsi="Cambria Math"/>
                    <w:lang w:val="de-DE"/>
                  </w:rPr>
                  <m:t>M</m:t>
                </m:r>
              </m:e>
              <m:sub>
                <m:r>
                  <w:rPr>
                    <w:rFonts w:ascii="Cambria Math" w:eastAsia="Calibri" w:hAnsi="Cambria Math"/>
                    <w:lang w:val="de-DE"/>
                  </w:rPr>
                  <m:t>rec</m:t>
                </m:r>
                <m:r>
                  <w:rPr>
                    <w:rFonts w:ascii="Cambria Math" w:eastAsia="Calibri" w:hAnsi="Cambria Math"/>
                    <w:lang w:val="en-US"/>
                  </w:rPr>
                  <m:t>,</m:t>
                </m:r>
                <m:r>
                  <w:rPr>
                    <w:rFonts w:ascii="Cambria Math" w:eastAsia="Calibri" w:hAnsi="Cambria Math"/>
                    <w:lang w:val="de-DE"/>
                  </w:rPr>
                  <m:t>t</m:t>
                </m:r>
              </m:sub>
            </m:sSub>
            <m:ctrlPr>
              <w:rPr>
                <w:rFonts w:ascii="Cambria Math" w:eastAsia="Calibri" w:hAnsi="Cambria Math"/>
                <w:i/>
                <w:lang w:val="de-DE"/>
              </w:rPr>
            </m:ctrlPr>
          </m:e>
        </m:d>
        <m:r>
          <w:rPr>
            <w:rFonts w:ascii="Cambria Math" w:eastAsia="Calibri" w:hAnsi="Cambria Math"/>
            <w:lang w:val="en-US"/>
          </w:rPr>
          <m:t>*</m:t>
        </m:r>
        <m:d>
          <m:dPr>
            <m:ctrlPr>
              <w:rPr>
                <w:rFonts w:ascii="Cambria Math" w:eastAsia="Calibri" w:hAnsi="Cambria Math"/>
                <w:i/>
                <w:lang w:val="de-DE"/>
              </w:rPr>
            </m:ctrlPr>
          </m:dPr>
          <m:e>
            <m:r>
              <w:rPr>
                <w:rFonts w:ascii="Cambria Math" w:eastAsia="Calibri" w:hAnsi="Cambria Math"/>
                <w:lang w:val="en-US"/>
              </w:rPr>
              <m:t>1-</m:t>
            </m:r>
            <m:r>
              <w:rPr>
                <w:rFonts w:ascii="Cambria Math" w:eastAsia="Calibri" w:hAnsi="Cambria Math"/>
                <w:lang w:val="de-DE"/>
              </w:rPr>
              <m:t>f</m:t>
            </m:r>
          </m:e>
        </m:d>
      </m:oMath>
      <w:r w:rsidR="009701F5" w:rsidRPr="00631206">
        <w:rPr>
          <w:rFonts w:ascii="Arial" w:hAnsi="Arial"/>
          <w:noProof/>
          <w:lang w:val="en-US"/>
        </w:rPr>
        <w:t>.</w:t>
      </w:r>
    </w:p>
    <w:bookmarkStart w:id="6" w:name="_Ref461374439"/>
    <w:p w:rsidR="009701F5" w:rsidRPr="00631206" w:rsidRDefault="009701F5" w:rsidP="009701F5">
      <w:pPr>
        <w:pStyle w:val="Lgende"/>
      </w:pPr>
      <w:r w:rsidRPr="00631206">
        <w:fldChar w:fldCharType="begin"/>
      </w:r>
      <w:r w:rsidRPr="00631206">
        <w:instrText xml:space="preserve"> SEQ Equation \* ARABIC </w:instrText>
      </w:r>
      <w:r w:rsidRPr="00631206">
        <w:fldChar w:fldCharType="separate"/>
      </w:r>
      <w:r w:rsidRPr="00631206">
        <w:rPr>
          <w:noProof/>
        </w:rPr>
        <w:t>5</w:t>
      </w:r>
      <w:r w:rsidRPr="00631206">
        <w:fldChar w:fldCharType="end"/>
      </w:r>
    </w:p>
    <w:bookmarkEnd w:id="6"/>
    <w:p w:rsidR="009701F5" w:rsidRPr="00631206" w:rsidRDefault="009701F5" w:rsidP="009701F5">
      <w:pPr>
        <w:ind w:right="-32"/>
        <w:rPr>
          <w:lang w:val="en-US"/>
        </w:rPr>
      </w:pPr>
      <w:r w:rsidRPr="00631206">
        <w:rPr>
          <w:noProof/>
          <w:lang w:val="en-US"/>
        </w:rPr>
        <w:t>The theoretical absorption in % is given by the following relationship</w:t>
      </w:r>
      <w:r w:rsidRPr="00631206">
        <w:rPr>
          <w:lang w:val="en-US"/>
        </w:rPr>
        <w:t>:</w:t>
      </w:r>
    </w:p>
    <w:p w:rsidR="009701F5" w:rsidRPr="00631206" w:rsidRDefault="00631206" w:rsidP="009701F5">
      <w:pPr>
        <w:spacing w:before="120" w:after="120" w:line="360" w:lineRule="auto"/>
        <w:ind w:right="-32"/>
        <w:jc w:val="center"/>
        <w:rPr>
          <w:rFonts w:ascii="Arial" w:hAnsi="Arial"/>
          <w:noProof/>
          <w:lang w:val="en-US"/>
        </w:rPr>
      </w:pPr>
      <m:oMath>
        <m:sSub>
          <m:sSubPr>
            <m:ctrlPr>
              <w:rPr>
                <w:rFonts w:ascii="Cambria Math" w:eastAsia="Calibri" w:hAnsi="Cambria Math" w:cs="Arial"/>
                <w:bCs/>
                <w:i/>
                <w:noProof/>
                <w:lang w:val="en-US"/>
              </w:rPr>
            </m:ctrlPr>
          </m:sSubPr>
          <m:e>
            <m:r>
              <w:rPr>
                <w:rFonts w:ascii="Cambria Math" w:eastAsia="Calibri" w:hAnsi="Cambria Math"/>
                <w:noProof/>
                <w:lang w:val="de-DE"/>
              </w:rPr>
              <m:t>A</m:t>
            </m:r>
          </m:e>
          <m:sub>
            <m:r>
              <w:rPr>
                <w:rFonts w:ascii="Cambria Math" w:eastAsia="Calibri" w:hAnsi="Cambria Math"/>
                <w:noProof/>
                <w:lang w:val="de-DE"/>
              </w:rPr>
              <m:t>t</m:t>
            </m:r>
          </m:sub>
        </m:sSub>
        <m:r>
          <w:rPr>
            <w:rFonts w:ascii="Cambria Math" w:eastAsia="Calibri" w:hAnsi="Cambria Math"/>
            <w:noProof/>
            <w:lang w:val="en-US"/>
          </w:rPr>
          <m:t>=</m:t>
        </m:r>
        <m:f>
          <m:fPr>
            <m:ctrlPr>
              <w:rPr>
                <w:rFonts w:ascii="Cambria Math" w:eastAsia="Calibri" w:hAnsi="Cambria Math" w:cs="Arial"/>
                <w:bCs/>
                <w:i/>
                <w:noProof/>
                <w:lang w:val="en-US"/>
              </w:rPr>
            </m:ctrlPr>
          </m:fPr>
          <m:num>
            <m:sSub>
              <m:sSubPr>
                <m:ctrlPr>
                  <w:rPr>
                    <w:rFonts w:ascii="Cambria Math" w:eastAsia="Calibri" w:hAnsi="Cambria Math" w:cs="Arial"/>
                    <w:bCs/>
                    <w:i/>
                    <w:noProof/>
                    <w:lang w:val="en-US"/>
                  </w:rPr>
                </m:ctrlPr>
              </m:sSubPr>
              <m:e>
                <m:r>
                  <w:rPr>
                    <w:rFonts w:ascii="Cambria Math" w:eastAsia="Calibri" w:hAnsi="Cambria Math"/>
                    <w:noProof/>
                    <w:lang w:val="de-DE"/>
                  </w:rPr>
                  <m:t>M</m:t>
                </m:r>
              </m:e>
              <m:sub>
                <m:r>
                  <w:rPr>
                    <w:rFonts w:ascii="Cambria Math" w:eastAsia="Calibri" w:hAnsi="Cambria Math"/>
                    <w:noProof/>
                    <w:lang w:val="de-DE"/>
                  </w:rPr>
                  <m:t>rec</m:t>
                </m:r>
                <m:r>
                  <w:rPr>
                    <w:rFonts w:ascii="Cambria Math" w:eastAsia="Calibri" w:hAnsi="Cambria Math"/>
                    <w:noProof/>
                    <w:lang w:val="en-US"/>
                  </w:rPr>
                  <m:t>,</m:t>
                </m:r>
                <m:r>
                  <w:rPr>
                    <w:rFonts w:ascii="Cambria Math" w:eastAsia="Calibri" w:hAnsi="Cambria Math"/>
                    <w:noProof/>
                    <w:lang w:val="de-DE"/>
                  </w:rPr>
                  <m:t>t</m:t>
                </m:r>
              </m:sub>
            </m:sSub>
            <m:r>
              <w:rPr>
                <w:rFonts w:ascii="Cambria Math" w:eastAsia="Calibri" w:hAnsi="Cambria Math"/>
                <w:noProof/>
                <w:lang w:val="en-US"/>
              </w:rPr>
              <m:t>+</m:t>
            </m:r>
            <m:sSub>
              <m:sSubPr>
                <m:ctrlPr>
                  <w:rPr>
                    <w:rFonts w:ascii="Cambria Math" w:eastAsia="Calibri" w:hAnsi="Cambria Math" w:cs="Arial"/>
                    <w:bCs/>
                    <w:i/>
                    <w:noProof/>
                    <w:lang w:val="en-US"/>
                  </w:rPr>
                </m:ctrlPr>
              </m:sSubPr>
              <m:e>
                <m:r>
                  <w:rPr>
                    <w:rFonts w:ascii="Cambria Math" w:eastAsia="Calibri" w:hAnsi="Cambria Math"/>
                    <w:noProof/>
                    <w:lang w:val="de-DE"/>
                  </w:rPr>
                  <m:t>M</m:t>
                </m:r>
              </m:e>
              <m:sub>
                <m:r>
                  <w:rPr>
                    <w:rFonts w:ascii="Cambria Math" w:eastAsia="Calibri" w:hAnsi="Cambria Math"/>
                    <w:noProof/>
                    <w:lang w:val="de-DE"/>
                  </w:rPr>
                  <m:t>sc</m:t>
                </m:r>
              </m:sub>
            </m:sSub>
          </m:num>
          <m:den>
            <m:sSub>
              <m:sSubPr>
                <m:ctrlPr>
                  <w:rPr>
                    <w:rFonts w:ascii="Cambria Math" w:eastAsia="Calibri" w:hAnsi="Cambria Math" w:cs="Arial"/>
                    <w:bCs/>
                    <w:i/>
                    <w:noProof/>
                    <w:lang w:val="en-US"/>
                  </w:rPr>
                </m:ctrlPr>
              </m:sSubPr>
              <m:e>
                <m:r>
                  <w:rPr>
                    <w:rFonts w:ascii="Cambria Math" w:eastAsia="Calibri" w:hAnsi="Cambria Math"/>
                    <w:noProof/>
                    <w:lang w:val="de-DE"/>
                  </w:rPr>
                  <m:t>M</m:t>
                </m:r>
              </m:e>
              <m:sub>
                <m:r>
                  <w:rPr>
                    <w:rFonts w:ascii="Cambria Math" w:eastAsia="Calibri" w:hAnsi="Cambria Math"/>
                    <w:noProof/>
                    <w:lang w:val="de-DE"/>
                  </w:rPr>
                  <m:t>don</m:t>
                </m:r>
                <m:r>
                  <w:rPr>
                    <w:rFonts w:ascii="Cambria Math" w:eastAsia="Calibri" w:hAnsi="Cambria Math"/>
                    <w:noProof/>
                    <w:lang w:val="en-US"/>
                  </w:rPr>
                  <m:t>,0</m:t>
                </m:r>
              </m:sub>
            </m:sSub>
          </m:den>
        </m:f>
        <m:r>
          <w:rPr>
            <w:rFonts w:ascii="Cambria Math" w:eastAsia="Calibri" w:hAnsi="Cambria Math"/>
            <w:noProof/>
            <w:lang w:val="en-US"/>
          </w:rPr>
          <m:t>*100</m:t>
        </m:r>
      </m:oMath>
      <w:r w:rsidR="009701F5" w:rsidRPr="00631206">
        <w:rPr>
          <w:rFonts w:ascii="Arial" w:hAnsi="Arial"/>
          <w:noProof/>
          <w:lang w:val="en-US"/>
        </w:rPr>
        <w:t>.</w:t>
      </w:r>
    </w:p>
    <w:p w:rsidR="009701F5" w:rsidRPr="00631206" w:rsidRDefault="009701F5" w:rsidP="009701F5">
      <w:pPr>
        <w:pStyle w:val="Lgende"/>
      </w:pPr>
      <w:r w:rsidRPr="00631206">
        <w:fldChar w:fldCharType="begin"/>
      </w:r>
      <w:r w:rsidRPr="00631206">
        <w:instrText xml:space="preserve"> SEQ Equation \* ARABIC </w:instrText>
      </w:r>
      <w:r w:rsidRPr="00631206">
        <w:fldChar w:fldCharType="separate"/>
      </w:r>
      <w:r w:rsidRPr="00631206">
        <w:rPr>
          <w:noProof/>
        </w:rPr>
        <w:t>6</w:t>
      </w:r>
      <w:r w:rsidRPr="00631206">
        <w:fldChar w:fldCharType="end"/>
      </w:r>
    </w:p>
    <w:p w:rsidR="009701F5" w:rsidRPr="00631206" w:rsidRDefault="009701F5" w:rsidP="009701F5">
      <w:pPr>
        <w:ind w:right="-32"/>
        <w:rPr>
          <w:lang w:val="en-US"/>
        </w:rPr>
      </w:pPr>
      <w:r w:rsidRPr="00631206">
        <w:rPr>
          <w:lang w:val="en-US"/>
        </w:rPr>
        <w:t xml:space="preserve">The stratum </w:t>
      </w:r>
      <w:proofErr w:type="spellStart"/>
      <w:r w:rsidRPr="00631206">
        <w:rPr>
          <w:lang w:val="en-US"/>
        </w:rPr>
        <w:t>corneum</w:t>
      </w:r>
      <w:proofErr w:type="spellEnd"/>
      <w:r w:rsidRPr="00631206">
        <w:rPr>
          <w:lang w:val="en-US"/>
        </w:rPr>
        <w:t xml:space="preserve">/water partition coefficient </w:t>
      </w:r>
      <m:oMath>
        <m:r>
          <w:rPr>
            <w:rFonts w:ascii="Cambria Math" w:hAnsi="Cambria Math"/>
            <w:lang w:val="en-US"/>
          </w:rPr>
          <m:t>PC</m:t>
        </m:r>
      </m:oMath>
      <w:r w:rsidRPr="00631206">
        <w:rPr>
          <w:lang w:val="en-US"/>
        </w:rPr>
        <w:t xml:space="preserve"> can be estimated by the following QSAR </w:t>
      </w:r>
      <w:r w:rsidRPr="00631206">
        <w:rPr>
          <w:lang w:val="en-US"/>
        </w:rPr>
        <w:fldChar w:fldCharType="begin"/>
      </w:r>
      <w:r w:rsidRPr="00631206">
        <w:rPr>
          <w:lang w:val="en-US"/>
        </w:rPr>
        <w:instrText xml:space="preserve"> ADDIN ZOTERO_ITEM CSL_CITATION {"citationID":"mjvHKbU9","properties":{"formattedCitation":"[3]","plainCitation":"[3]","noteIndex":0},"citationItems":[{"id":231,"uris":["http://zotero.org/users/local/X0yhTP28/items/RWH7232I"],"uri":["http://zotero.org/users/local/X0yhTP28/items/RWH7232I"],"itemData":{"id":231,"type":"article-journal","title":"Partitioning of chemicals from water into powdered human stratum corneum (callus)- A model study.","container-title":"In Vitro Toxicol","page":"159–167","volume":"8","author":[{"family":"Hui","given":"X."}],"issued":{"date-parts":[["1995"]]}}}],"schema":"https://github.com/citation-style-language/schema/raw/master/csl-citation.json"} </w:instrText>
      </w:r>
      <w:r w:rsidRPr="00631206">
        <w:rPr>
          <w:lang w:val="en-US"/>
        </w:rPr>
        <w:fldChar w:fldCharType="separate"/>
      </w:r>
      <w:r w:rsidRPr="00631206">
        <w:t>[</w:t>
      </w:r>
      <w:r w:rsidR="00AF1EE3" w:rsidRPr="00631206">
        <w:t>5</w:t>
      </w:r>
      <w:r w:rsidRPr="00631206">
        <w:t>]</w:t>
      </w:r>
      <w:r w:rsidRPr="00631206">
        <w:rPr>
          <w:lang w:val="en-US"/>
        </w:rPr>
        <w:fldChar w:fldCharType="end"/>
      </w:r>
      <w:r w:rsidRPr="00631206">
        <w:rPr>
          <w:lang w:val="en-US"/>
        </w:rPr>
        <w:t>:</w:t>
      </w:r>
    </w:p>
    <w:p w:rsidR="009701F5" w:rsidRPr="00631206" w:rsidRDefault="00631206" w:rsidP="009701F5">
      <w:pPr>
        <w:spacing w:before="120" w:after="120" w:line="360" w:lineRule="auto"/>
        <w:ind w:right="-32"/>
        <w:jc w:val="center"/>
        <w:rPr>
          <w:rFonts w:ascii="Arial" w:hAnsi="Arial"/>
          <w:lang w:val="en-US"/>
        </w:rPr>
      </w:pPr>
      <m:oMath>
        <m:func>
          <m:funcPr>
            <m:ctrlPr>
              <w:rPr>
                <w:rFonts w:ascii="Cambria Math" w:eastAsia="Calibri" w:hAnsi="Cambria Math"/>
                <w:i/>
                <w:lang w:val="de-DE"/>
              </w:rPr>
            </m:ctrlPr>
          </m:funcPr>
          <m:fName>
            <m:r>
              <m:rPr>
                <m:sty m:val="p"/>
              </m:rPr>
              <w:rPr>
                <w:rFonts w:ascii="Cambria Math" w:eastAsia="Calibri" w:hAnsi="Cambria Math"/>
                <w:lang w:val="en-US"/>
              </w:rPr>
              <m:t>log</m:t>
            </m:r>
          </m:fName>
          <m:e>
            <m:r>
              <w:rPr>
                <w:rFonts w:ascii="Cambria Math" w:eastAsia="Calibri" w:hAnsi="Cambria Math"/>
                <w:lang w:val="de-DE"/>
              </w:rPr>
              <m:t>PC</m:t>
            </m:r>
          </m:e>
        </m:func>
        <m:r>
          <w:rPr>
            <w:rFonts w:ascii="Cambria Math" w:eastAsia="Calibri" w:hAnsi="Cambria Math"/>
            <w:lang w:val="en-US"/>
          </w:rPr>
          <m:t>=</m:t>
        </m:r>
        <m:r>
          <w:rPr>
            <w:rFonts w:ascii="Cambria Math" w:hAnsi="Cambria Math"/>
            <w:lang w:val="en-US"/>
          </w:rPr>
          <m:t>0.078*</m:t>
        </m:r>
        <m:sSup>
          <m:sSupPr>
            <m:ctrlPr>
              <w:rPr>
                <w:rFonts w:ascii="Cambria Math" w:hAnsi="Cambria Math"/>
                <w:i/>
                <w:lang w:val="de-DE"/>
              </w:rPr>
            </m:ctrlPr>
          </m:sSupPr>
          <m:e>
            <m:d>
              <m:dPr>
                <m:ctrlPr>
                  <w:rPr>
                    <w:rFonts w:ascii="Cambria Math" w:hAnsi="Cambria Math"/>
                    <w:i/>
                    <w:lang w:val="de-DE"/>
                  </w:rPr>
                </m:ctrlPr>
              </m:dPr>
              <m:e>
                <m:func>
                  <m:funcPr>
                    <m:ctrlPr>
                      <w:rPr>
                        <w:rFonts w:ascii="Cambria Math" w:hAnsi="Cambria Math"/>
                        <w:i/>
                        <w:lang w:val="de-DE"/>
                      </w:rPr>
                    </m:ctrlPr>
                  </m:funcPr>
                  <m:fName>
                    <m:r>
                      <m:rPr>
                        <m:sty m:val="p"/>
                      </m:rPr>
                      <w:rPr>
                        <w:rFonts w:ascii="Cambria Math" w:eastAsia="Calibri" w:hAnsi="Cambria Math"/>
                        <w:lang w:val="en-US"/>
                      </w:rPr>
                      <m:t>log</m:t>
                    </m:r>
                  </m:fName>
                  <m:e>
                    <m:sSub>
                      <m:sSubPr>
                        <m:ctrlPr>
                          <w:rPr>
                            <w:rFonts w:ascii="Cambria Math" w:hAnsi="Cambria Math"/>
                            <w:i/>
                            <w:lang w:val="de-DE"/>
                          </w:rPr>
                        </m:ctrlPr>
                      </m:sSubPr>
                      <m:e>
                        <m:r>
                          <w:rPr>
                            <w:rFonts w:ascii="Cambria Math" w:hAnsi="Cambria Math"/>
                            <w:lang w:val="de-DE"/>
                          </w:rPr>
                          <m:t>k</m:t>
                        </m:r>
                      </m:e>
                      <m:sub>
                        <m:r>
                          <w:rPr>
                            <w:rFonts w:ascii="Cambria Math" w:hAnsi="Cambria Math"/>
                            <w:lang w:val="de-DE"/>
                          </w:rPr>
                          <m:t>ow</m:t>
                        </m:r>
                      </m:sub>
                    </m:sSub>
                  </m:e>
                </m:func>
              </m:e>
            </m:d>
          </m:e>
          <m:sup>
            <m:r>
              <w:rPr>
                <w:rFonts w:ascii="Cambria Math" w:hAnsi="Cambria Math"/>
                <w:lang w:val="en-US"/>
              </w:rPr>
              <m:t>2</m:t>
            </m:r>
          </m:sup>
        </m:sSup>
        <m:r>
          <w:rPr>
            <w:rFonts w:ascii="Cambria Math" w:hAnsi="Cambria Math"/>
            <w:lang w:val="en-US"/>
          </w:rPr>
          <m:t>+0,868</m:t>
        </m:r>
        <m:func>
          <m:funcPr>
            <m:ctrlPr>
              <w:rPr>
                <w:rFonts w:ascii="Cambria Math" w:hAnsi="Cambria Math"/>
                <w:i/>
                <w:lang w:val="de-DE"/>
              </w:rPr>
            </m:ctrlPr>
          </m:funcPr>
          <m:fName>
            <m:r>
              <m:rPr>
                <m:sty m:val="p"/>
              </m:rPr>
              <w:rPr>
                <w:rFonts w:ascii="Cambria Math" w:eastAsia="Calibri" w:hAnsi="Cambria Math"/>
                <w:lang w:val="en-US"/>
              </w:rPr>
              <m:t>log</m:t>
            </m:r>
          </m:fName>
          <m:e>
            <m:r>
              <w:rPr>
                <w:rFonts w:ascii="Cambria Math" w:hAnsi="Cambria Math"/>
                <w:lang w:val="de-DE"/>
              </w:rPr>
              <m:t>MW</m:t>
            </m:r>
          </m:e>
        </m:func>
        <m:r>
          <w:rPr>
            <w:rFonts w:ascii="Cambria Math" w:hAnsi="Cambria Math"/>
            <w:lang w:val="en-US"/>
          </w:rPr>
          <m:t>-2.04</m:t>
        </m:r>
      </m:oMath>
      <w:r w:rsidR="009701F5" w:rsidRPr="00631206">
        <w:rPr>
          <w:rFonts w:ascii="Arial" w:hAnsi="Arial"/>
          <w:lang w:val="en-US"/>
        </w:rPr>
        <w:t>.</w:t>
      </w:r>
    </w:p>
    <w:bookmarkStart w:id="7" w:name="_Ref461374681"/>
    <w:p w:rsidR="009701F5" w:rsidRPr="00631206" w:rsidRDefault="009701F5" w:rsidP="009701F5">
      <w:pPr>
        <w:pStyle w:val="Lgende"/>
      </w:pPr>
      <w:r w:rsidRPr="00631206">
        <w:fldChar w:fldCharType="begin"/>
      </w:r>
      <w:r w:rsidRPr="00631206">
        <w:instrText xml:space="preserve"> SEQ Equation \* ARABIC </w:instrText>
      </w:r>
      <w:r w:rsidRPr="00631206">
        <w:fldChar w:fldCharType="separate"/>
      </w:r>
      <w:r w:rsidRPr="00631206">
        <w:rPr>
          <w:noProof/>
        </w:rPr>
        <w:t>7</w:t>
      </w:r>
      <w:r w:rsidRPr="00631206">
        <w:fldChar w:fldCharType="end"/>
      </w:r>
    </w:p>
    <w:bookmarkEnd w:id="7"/>
    <w:p w:rsidR="009701F5" w:rsidRPr="00631206" w:rsidRDefault="009701F5" w:rsidP="009701F5">
      <w:pPr>
        <w:ind w:right="-32"/>
        <w:rPr>
          <w:lang w:val="en-US"/>
        </w:rPr>
      </w:pPr>
      <w:r w:rsidRPr="00631206">
        <w:rPr>
          <w:lang w:val="en-US"/>
        </w:rPr>
        <w:t xml:space="preserve">The lag time </w:t>
      </w: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lag</m:t>
            </m:r>
          </m:sub>
        </m:sSub>
      </m:oMath>
      <w:r w:rsidRPr="00631206">
        <w:rPr>
          <w:lang w:val="en-US"/>
        </w:rPr>
        <w:t xml:space="preserve"> can be estimated by the formula suggested by Shah </w:t>
      </w:r>
      <w:r w:rsidRPr="00631206">
        <w:rPr>
          <w:lang w:val="en-US"/>
        </w:rPr>
        <w:fldChar w:fldCharType="begin"/>
      </w:r>
      <w:r w:rsidRPr="00631206">
        <w:rPr>
          <w:lang w:val="en-US"/>
        </w:rPr>
        <w:instrText xml:space="preserve"> ADDIN ZOTERO_ITEM CSL_CITATION {"citationID":"LwAZ0eRC","properties":{"formattedCitation":"[4]","plainCitation":"[4]","noteIndex":0},"citationItems":[{"id":519,"uris":["http://zotero.org/users/local/X0yhTP28/items/BCINTY3C"],"uri":["http://zotero.org/users/local/X0yhTP28/items/BCINTY3C"],"itemData":{"id":519,"type":"article-journal","title":"Analysis of percutaneous permeation data: II. Evaluation of the lag time method","container-title":"International Journal of Pharmaceutics","page":"283-290","volume":"109","issue":"3","author":[{"family":"Jaymin Shah","given":""},{"family":"Idris Kaka","given":""},{"family":"Srinivas Tenjarla","given":""},{"family":"S. W.J. Lau","given":""},{"family":"Diana Shu-Lian Chow","given":""}],"issued":{"date-parts":[["1994"]]}}}],"schema":"https://github.com/citation-style-language/schema/raw/master/csl-citation.json"} </w:instrText>
      </w:r>
      <w:r w:rsidRPr="00631206">
        <w:rPr>
          <w:lang w:val="en-US"/>
        </w:rPr>
        <w:fldChar w:fldCharType="separate"/>
      </w:r>
      <w:r w:rsidRPr="00631206">
        <w:t>[</w:t>
      </w:r>
      <w:r w:rsidR="00AF1EE3" w:rsidRPr="00631206">
        <w:t>6</w:t>
      </w:r>
      <w:r w:rsidRPr="00631206">
        <w:t>]</w:t>
      </w:r>
      <w:r w:rsidRPr="00631206">
        <w:rPr>
          <w:lang w:val="en-US"/>
        </w:rPr>
        <w:fldChar w:fldCharType="end"/>
      </w:r>
      <w:r w:rsidRPr="00631206">
        <w:rPr>
          <w:lang w:val="en-US"/>
        </w:rPr>
        <w:t>:</w:t>
      </w:r>
    </w:p>
    <w:p w:rsidR="009701F5" w:rsidRPr="00631206" w:rsidRDefault="00631206" w:rsidP="009701F5">
      <w:pPr>
        <w:spacing w:before="120" w:after="120" w:line="360" w:lineRule="auto"/>
        <w:ind w:right="-32"/>
        <w:contextualSpacing/>
        <w:jc w:val="center"/>
        <w:rPr>
          <w:rFonts w:ascii="Arial" w:hAnsi="Arial"/>
          <w:szCs w:val="28"/>
          <w:lang w:val="en-US"/>
        </w:rPr>
      </w:pPr>
      <m:oMath>
        <m:sSub>
          <m:sSubPr>
            <m:ctrlPr>
              <w:rPr>
                <w:rFonts w:ascii="Cambria Math" w:eastAsia="Calibri" w:hAnsi="Cambria Math" w:cs="Arial"/>
                <w:bCs/>
                <w:i/>
                <w:lang w:val="en-US"/>
              </w:rPr>
            </m:ctrlPr>
          </m:sSubPr>
          <m:e>
            <m:r>
              <w:rPr>
                <w:rFonts w:ascii="Cambria Math" w:eastAsia="Calibri" w:hAnsi="Cambria Math"/>
                <w:szCs w:val="28"/>
                <w:lang w:val="de-DE"/>
              </w:rPr>
              <m:t>t</m:t>
            </m:r>
          </m:e>
          <m:sub>
            <m:r>
              <w:rPr>
                <w:rFonts w:ascii="Cambria Math" w:eastAsia="Calibri" w:hAnsi="Cambria Math"/>
                <w:szCs w:val="28"/>
                <w:lang w:val="de-DE"/>
              </w:rPr>
              <m:t>lag</m:t>
            </m:r>
          </m:sub>
        </m:sSub>
        <m:r>
          <w:rPr>
            <w:rFonts w:ascii="Cambria Math" w:eastAsia="Calibri" w:hAnsi="Cambria Math"/>
            <w:szCs w:val="28"/>
            <w:lang w:val="en-US"/>
          </w:rPr>
          <m:t>=</m:t>
        </m:r>
        <m:f>
          <m:fPr>
            <m:ctrlPr>
              <w:rPr>
                <w:rFonts w:ascii="Cambria Math" w:eastAsia="Calibri" w:hAnsi="Cambria Math" w:cs="Arial"/>
                <w:bCs/>
                <w:i/>
                <w:lang w:val="en-US"/>
              </w:rPr>
            </m:ctrlPr>
          </m:fPr>
          <m:num>
            <m:r>
              <w:rPr>
                <w:rFonts w:ascii="Cambria Math" w:eastAsia="Calibri" w:hAnsi="Cambria Math"/>
                <w:szCs w:val="28"/>
                <w:lang w:val="de-DE"/>
              </w:rPr>
              <m:t>PC</m:t>
            </m:r>
            <m:r>
              <w:rPr>
                <w:rFonts w:ascii="Cambria Math" w:eastAsia="Calibri" w:hAnsi="Cambria Math"/>
                <w:szCs w:val="28"/>
                <w:lang w:val="en-US"/>
              </w:rPr>
              <m:t>*</m:t>
            </m:r>
            <m:r>
              <w:rPr>
                <w:rFonts w:ascii="Cambria Math" w:eastAsia="Calibri" w:hAnsi="Cambria Math"/>
                <w:szCs w:val="28"/>
                <w:lang w:val="de-DE"/>
              </w:rPr>
              <m:t>l</m:t>
            </m:r>
          </m:num>
          <m:den>
            <m:r>
              <w:rPr>
                <w:rFonts w:ascii="Cambria Math" w:eastAsia="Calibri" w:hAnsi="Cambria Math"/>
                <w:szCs w:val="28"/>
                <w:lang w:val="en-US"/>
              </w:rPr>
              <m:t>6*</m:t>
            </m:r>
            <m:sSub>
              <m:sSubPr>
                <m:ctrlPr>
                  <w:rPr>
                    <w:rFonts w:ascii="Cambria Math" w:eastAsia="Calibri" w:hAnsi="Cambria Math" w:cs="Arial"/>
                    <w:bCs/>
                    <w:i/>
                    <w:lang w:val="en-US"/>
                  </w:rPr>
                </m:ctrlPr>
              </m:sSubPr>
              <m:e>
                <m:r>
                  <w:rPr>
                    <w:rFonts w:ascii="Cambria Math" w:eastAsia="Calibri" w:hAnsi="Cambria Math"/>
                    <w:szCs w:val="28"/>
                    <w:lang w:val="de-DE"/>
                  </w:rPr>
                  <m:t>k</m:t>
                </m:r>
              </m:e>
              <m:sub>
                <m:r>
                  <w:rPr>
                    <w:rFonts w:ascii="Cambria Math" w:eastAsia="Calibri" w:hAnsi="Cambria Math"/>
                    <w:szCs w:val="28"/>
                    <w:lang w:val="de-DE"/>
                  </w:rPr>
                  <m:t>p</m:t>
                </m:r>
              </m:sub>
            </m:sSub>
          </m:den>
        </m:f>
      </m:oMath>
      <w:r w:rsidR="009701F5" w:rsidRPr="00631206">
        <w:rPr>
          <w:rFonts w:ascii="Arial" w:hAnsi="Arial"/>
          <w:bCs/>
          <w:sz w:val="20"/>
          <w:lang w:val="en-US"/>
        </w:rPr>
        <w:t>.</w:t>
      </w:r>
    </w:p>
    <w:bookmarkStart w:id="8" w:name="_Ref466890336"/>
    <w:p w:rsidR="009701F5" w:rsidRPr="00631206" w:rsidRDefault="009701F5" w:rsidP="009701F5">
      <w:pPr>
        <w:pStyle w:val="Lgende"/>
      </w:pPr>
      <w:r w:rsidRPr="00631206">
        <w:fldChar w:fldCharType="begin"/>
      </w:r>
      <w:r w:rsidRPr="00631206">
        <w:instrText xml:space="preserve"> SEQ Equation \* ARABIC </w:instrText>
      </w:r>
      <w:r w:rsidRPr="00631206">
        <w:fldChar w:fldCharType="separate"/>
      </w:r>
      <w:r w:rsidRPr="00631206">
        <w:rPr>
          <w:noProof/>
        </w:rPr>
        <w:t>8</w:t>
      </w:r>
      <w:r w:rsidRPr="00631206">
        <w:fldChar w:fldCharType="end"/>
      </w:r>
    </w:p>
    <w:bookmarkEnd w:id="8"/>
    <w:p w:rsidR="009701F5" w:rsidRPr="00631206" w:rsidRDefault="009701F5" w:rsidP="009701F5">
      <w:pPr>
        <w:spacing w:after="160" w:line="259" w:lineRule="auto"/>
        <w:rPr>
          <w:lang w:val="en-US"/>
        </w:rPr>
      </w:pPr>
    </w:p>
    <w:p w:rsidR="009701F5" w:rsidRPr="00631206" w:rsidRDefault="009701F5" w:rsidP="009701F5">
      <w:pPr>
        <w:pStyle w:val="Bibliographie"/>
        <w:tabs>
          <w:tab w:val="clear" w:pos="384"/>
          <w:tab w:val="left" w:pos="504"/>
        </w:tabs>
        <w:ind w:left="504" w:hanging="504"/>
        <w:rPr>
          <w:lang w:val="en-US"/>
        </w:rPr>
      </w:pPr>
      <w:r w:rsidRPr="00631206">
        <w:rPr>
          <w:lang w:val="en-US"/>
        </w:rPr>
        <w:br w:type="page"/>
      </w:r>
    </w:p>
    <w:p w:rsidR="009701F5" w:rsidRPr="00631206" w:rsidRDefault="009701F5" w:rsidP="009701F5">
      <w:pPr>
        <w:pStyle w:val="Titre1"/>
        <w:rPr>
          <w:lang w:val="en-US"/>
        </w:rPr>
      </w:pPr>
      <w:r w:rsidRPr="00631206">
        <w:rPr>
          <w:lang w:val="en-US"/>
        </w:rPr>
        <w:t>Supplementary 3 – Detailed results of non-parametric testing</w:t>
      </w:r>
    </w:p>
    <w:p w:rsidR="009701F5" w:rsidRPr="00631206" w:rsidRDefault="009701F5" w:rsidP="009701F5">
      <w:pPr>
        <w:rPr>
          <w:noProof/>
          <w:lang w:val="en-US"/>
        </w:rPr>
      </w:pPr>
      <w:r w:rsidRPr="00631206">
        <w:rPr>
          <w:noProof/>
          <w:lang w:val="en-US"/>
        </w:rPr>
        <w:t>Non-Parametric tests (Kruskal Wallis and Jonckheere-Terpstra) between categorical variables for the assessment of factors influencing the models’ predictivity. Eta squared gives the amount [%] of the variability in the prediction factor  that was accounted for by each parameter and is calculated by Chi sq./(n-1). R1 and R2 are the mean ranks for each pair.</w:t>
      </w:r>
    </w:p>
    <w:p w:rsidR="009701F5" w:rsidRPr="00631206" w:rsidRDefault="009701F5" w:rsidP="009701F5">
      <w:pPr>
        <w:pStyle w:val="Titre2"/>
        <w:rPr>
          <w:i w:val="0"/>
          <w:iCs w:val="0"/>
          <w:lang w:val="en-US"/>
        </w:rPr>
      </w:pPr>
      <w:r w:rsidRPr="00631206">
        <w:rPr>
          <w:lang w:val="en-US"/>
        </w:rPr>
        <w:t>Potts Guy &amp; TNO</w:t>
      </w:r>
    </w:p>
    <w:p w:rsidR="009701F5" w:rsidRPr="00631206" w:rsidRDefault="009701F5" w:rsidP="009701F5">
      <w:pPr>
        <w:rPr>
          <w:lang w:val="en-US"/>
        </w:rPr>
      </w:pPr>
      <w:r w:rsidRPr="00631206">
        <w:rPr>
          <w:noProof/>
          <w:lang w:val="fr-FR" w:eastAsia="fr-FR"/>
        </w:rPr>
        <w:drawing>
          <wp:inline distT="0" distB="0" distL="0" distR="0" wp14:anchorId="5A89FF96" wp14:editId="7B1EFB00">
            <wp:extent cx="5760085" cy="6338307"/>
            <wp:effectExtent l="0" t="0" r="0" b="571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6338307"/>
                    </a:xfrm>
                    <a:prstGeom prst="rect">
                      <a:avLst/>
                    </a:prstGeom>
                    <a:noFill/>
                    <a:ln>
                      <a:noFill/>
                    </a:ln>
                  </pic:spPr>
                </pic:pic>
              </a:graphicData>
            </a:graphic>
          </wp:inline>
        </w:drawing>
      </w:r>
    </w:p>
    <w:p w:rsidR="009701F5" w:rsidRPr="00631206" w:rsidRDefault="009701F5" w:rsidP="009701F5">
      <w:pPr>
        <w:pStyle w:val="Titre2"/>
        <w:rPr>
          <w:i w:val="0"/>
          <w:iCs w:val="0"/>
          <w:lang w:val="en-US"/>
        </w:rPr>
      </w:pPr>
      <w:proofErr w:type="spellStart"/>
      <w:r w:rsidRPr="00631206">
        <w:rPr>
          <w:lang w:val="en-US"/>
        </w:rPr>
        <w:t>Mitragotri</w:t>
      </w:r>
      <w:proofErr w:type="spellEnd"/>
      <w:r w:rsidRPr="00631206">
        <w:rPr>
          <w:lang w:val="en-US"/>
        </w:rPr>
        <w:t xml:space="preserve"> &amp; TNO</w:t>
      </w:r>
    </w:p>
    <w:p w:rsidR="009701F5" w:rsidRPr="00631206" w:rsidRDefault="009701F5" w:rsidP="009701F5">
      <w:pPr>
        <w:rPr>
          <w:lang w:val="en-US"/>
        </w:rPr>
      </w:pPr>
      <w:r w:rsidRPr="00631206">
        <w:rPr>
          <w:noProof/>
          <w:lang w:val="fr-FR" w:eastAsia="fr-FR"/>
        </w:rPr>
        <w:drawing>
          <wp:inline distT="0" distB="0" distL="0" distR="0" wp14:anchorId="6E902336" wp14:editId="2AA3C455">
            <wp:extent cx="5760085" cy="556644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5566440"/>
                    </a:xfrm>
                    <a:prstGeom prst="rect">
                      <a:avLst/>
                    </a:prstGeom>
                    <a:noFill/>
                    <a:ln>
                      <a:noFill/>
                    </a:ln>
                  </pic:spPr>
                </pic:pic>
              </a:graphicData>
            </a:graphic>
          </wp:inline>
        </w:drawing>
      </w:r>
    </w:p>
    <w:p w:rsidR="009701F5" w:rsidRPr="00631206" w:rsidRDefault="009701F5" w:rsidP="009701F5">
      <w:pPr>
        <w:pStyle w:val="Titre2"/>
        <w:rPr>
          <w:i w:val="0"/>
          <w:iCs w:val="0"/>
          <w:lang w:val="en-US"/>
        </w:rPr>
      </w:pPr>
      <w:r w:rsidRPr="00631206">
        <w:rPr>
          <w:lang w:val="en-US"/>
        </w:rPr>
        <w:t>Cleek Bunge &amp; TNO</w:t>
      </w:r>
    </w:p>
    <w:p w:rsidR="009701F5" w:rsidRPr="00631206" w:rsidRDefault="009701F5" w:rsidP="009701F5">
      <w:pPr>
        <w:rPr>
          <w:lang w:val="en-US"/>
        </w:rPr>
      </w:pPr>
      <w:r w:rsidRPr="00631206">
        <w:rPr>
          <w:noProof/>
          <w:lang w:val="fr-FR" w:eastAsia="fr-FR"/>
        </w:rPr>
        <w:drawing>
          <wp:inline distT="0" distB="0" distL="0" distR="0" wp14:anchorId="67AFB224" wp14:editId="5A51F0EF">
            <wp:extent cx="5760085" cy="5256390"/>
            <wp:effectExtent l="0" t="0" r="0" b="190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5256390"/>
                    </a:xfrm>
                    <a:prstGeom prst="rect">
                      <a:avLst/>
                    </a:prstGeom>
                    <a:noFill/>
                    <a:ln>
                      <a:noFill/>
                    </a:ln>
                  </pic:spPr>
                </pic:pic>
              </a:graphicData>
            </a:graphic>
          </wp:inline>
        </w:drawing>
      </w:r>
    </w:p>
    <w:p w:rsidR="009701F5" w:rsidRPr="00631206" w:rsidRDefault="009701F5" w:rsidP="009701F5">
      <w:pPr>
        <w:pStyle w:val="Titre2"/>
        <w:rPr>
          <w:i w:val="0"/>
          <w:iCs w:val="0"/>
          <w:lang w:val="en-US"/>
        </w:rPr>
      </w:pPr>
      <w:r w:rsidRPr="00631206">
        <w:rPr>
          <w:lang w:val="en-US"/>
        </w:rPr>
        <w:t>COSMOS &amp; TNO</w:t>
      </w:r>
    </w:p>
    <w:p w:rsidR="009701F5" w:rsidRPr="00631206" w:rsidRDefault="009701F5" w:rsidP="009701F5">
      <w:pPr>
        <w:rPr>
          <w:lang w:val="en-US"/>
        </w:rPr>
      </w:pPr>
      <w:r w:rsidRPr="00631206">
        <w:rPr>
          <w:noProof/>
          <w:lang w:val="fr-FR" w:eastAsia="fr-FR"/>
        </w:rPr>
        <w:drawing>
          <wp:inline distT="0" distB="0" distL="0" distR="0" wp14:anchorId="1494E335" wp14:editId="2EDD2EB0">
            <wp:extent cx="5760085" cy="4795771"/>
            <wp:effectExtent l="0" t="0" r="0" b="508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4795771"/>
                    </a:xfrm>
                    <a:prstGeom prst="rect">
                      <a:avLst/>
                    </a:prstGeom>
                    <a:noFill/>
                    <a:ln>
                      <a:noFill/>
                    </a:ln>
                  </pic:spPr>
                </pic:pic>
              </a:graphicData>
            </a:graphic>
          </wp:inline>
        </w:drawing>
      </w:r>
    </w:p>
    <w:p w:rsidR="009701F5" w:rsidRPr="00631206" w:rsidRDefault="009701F5" w:rsidP="009701F5">
      <w:pPr>
        <w:pStyle w:val="Titre2"/>
        <w:rPr>
          <w:i w:val="0"/>
          <w:iCs w:val="0"/>
          <w:lang w:val="en-US"/>
        </w:rPr>
      </w:pPr>
      <w:r w:rsidRPr="00631206">
        <w:rPr>
          <w:lang w:val="en-US"/>
        </w:rPr>
        <w:t xml:space="preserve">Potts Guy &amp; </w:t>
      </w:r>
      <w:proofErr w:type="spellStart"/>
      <w:r w:rsidRPr="00631206">
        <w:rPr>
          <w:lang w:val="en-US"/>
        </w:rPr>
        <w:t>Buist</w:t>
      </w:r>
      <w:proofErr w:type="spellEnd"/>
    </w:p>
    <w:p w:rsidR="009701F5" w:rsidRPr="00631206" w:rsidRDefault="009701F5" w:rsidP="009701F5">
      <w:pPr>
        <w:autoSpaceDE w:val="0"/>
        <w:autoSpaceDN w:val="0"/>
        <w:adjustRightInd w:val="0"/>
        <w:spacing w:line="240" w:lineRule="auto"/>
        <w:ind w:right="-32"/>
        <w:rPr>
          <w:lang w:val="en-US"/>
        </w:rPr>
      </w:pPr>
      <w:r w:rsidRPr="00631206">
        <w:rPr>
          <w:noProof/>
          <w:lang w:val="fr-FR" w:eastAsia="fr-FR"/>
        </w:rPr>
        <w:drawing>
          <wp:inline distT="0" distB="0" distL="0" distR="0" wp14:anchorId="7654E5E2" wp14:editId="32040809">
            <wp:extent cx="5760085" cy="48208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820823"/>
                    </a:xfrm>
                    <a:prstGeom prst="rect">
                      <a:avLst/>
                    </a:prstGeom>
                    <a:noFill/>
                    <a:ln>
                      <a:noFill/>
                    </a:ln>
                  </pic:spPr>
                </pic:pic>
              </a:graphicData>
            </a:graphic>
          </wp:inline>
        </w:drawing>
      </w:r>
    </w:p>
    <w:p w:rsidR="009701F5" w:rsidRPr="00631206" w:rsidRDefault="009701F5" w:rsidP="009701F5">
      <w:pPr>
        <w:ind w:left="-567" w:right="-32"/>
        <w:rPr>
          <w:lang w:val="en-US"/>
        </w:rPr>
      </w:pPr>
    </w:p>
    <w:p w:rsidR="009701F5" w:rsidRPr="00631206" w:rsidRDefault="009701F5" w:rsidP="009701F5">
      <w:pPr>
        <w:pStyle w:val="Titre2"/>
        <w:rPr>
          <w:i w:val="0"/>
          <w:iCs w:val="0"/>
          <w:lang w:val="en-US"/>
        </w:rPr>
      </w:pPr>
      <w:proofErr w:type="spellStart"/>
      <w:r w:rsidRPr="00631206">
        <w:rPr>
          <w:lang w:val="en-US"/>
        </w:rPr>
        <w:t>Mitragotri</w:t>
      </w:r>
      <w:proofErr w:type="spellEnd"/>
      <w:r w:rsidRPr="00631206">
        <w:rPr>
          <w:lang w:val="en-US"/>
        </w:rPr>
        <w:t xml:space="preserve"> &amp; </w:t>
      </w:r>
      <w:proofErr w:type="spellStart"/>
      <w:r w:rsidRPr="00631206">
        <w:rPr>
          <w:lang w:val="en-US"/>
        </w:rPr>
        <w:t>Buist</w:t>
      </w:r>
      <w:proofErr w:type="spellEnd"/>
    </w:p>
    <w:p w:rsidR="009701F5" w:rsidRPr="00631206" w:rsidRDefault="009701F5" w:rsidP="009701F5">
      <w:pPr>
        <w:ind w:right="-32"/>
        <w:rPr>
          <w:lang w:val="en-US"/>
        </w:rPr>
      </w:pPr>
      <w:r w:rsidRPr="00631206">
        <w:rPr>
          <w:noProof/>
          <w:lang w:val="fr-FR" w:eastAsia="fr-FR"/>
        </w:rPr>
        <w:drawing>
          <wp:inline distT="0" distB="0" distL="0" distR="0" wp14:anchorId="5FB521B3" wp14:editId="42DAC777">
            <wp:extent cx="5760085" cy="4820823"/>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820823"/>
                    </a:xfrm>
                    <a:prstGeom prst="rect">
                      <a:avLst/>
                    </a:prstGeom>
                    <a:noFill/>
                    <a:ln>
                      <a:noFill/>
                    </a:ln>
                  </pic:spPr>
                </pic:pic>
              </a:graphicData>
            </a:graphic>
          </wp:inline>
        </w:drawing>
      </w:r>
    </w:p>
    <w:p w:rsidR="009701F5" w:rsidRPr="00631206" w:rsidRDefault="009701F5" w:rsidP="009701F5">
      <w:pPr>
        <w:spacing w:after="200" w:line="276" w:lineRule="auto"/>
        <w:ind w:left="-567" w:right="-32"/>
        <w:rPr>
          <w:lang w:val="en-US"/>
        </w:rPr>
      </w:pPr>
    </w:p>
    <w:p w:rsidR="009701F5" w:rsidRPr="00631206" w:rsidRDefault="009701F5" w:rsidP="009701F5">
      <w:pPr>
        <w:spacing w:after="200" w:line="276" w:lineRule="auto"/>
        <w:ind w:right="-32"/>
        <w:rPr>
          <w:lang w:val="en-US"/>
        </w:rPr>
      </w:pPr>
    </w:p>
    <w:p w:rsidR="009701F5" w:rsidRPr="00631206" w:rsidRDefault="009701F5" w:rsidP="009701F5">
      <w:pPr>
        <w:pStyle w:val="Titre2"/>
        <w:rPr>
          <w:i w:val="0"/>
          <w:iCs w:val="0"/>
          <w:lang w:val="en-US"/>
        </w:rPr>
      </w:pPr>
      <w:r w:rsidRPr="00631206">
        <w:rPr>
          <w:lang w:val="en-US"/>
        </w:rPr>
        <w:t xml:space="preserve">Cleek Bunge &amp; </w:t>
      </w:r>
      <w:proofErr w:type="spellStart"/>
      <w:r w:rsidRPr="00631206">
        <w:rPr>
          <w:lang w:val="en-US"/>
        </w:rPr>
        <w:t>Buist</w:t>
      </w:r>
      <w:proofErr w:type="spellEnd"/>
    </w:p>
    <w:p w:rsidR="009701F5" w:rsidRPr="00631206" w:rsidRDefault="009701F5" w:rsidP="009701F5">
      <w:pPr>
        <w:rPr>
          <w:lang w:val="en-US"/>
        </w:rPr>
      </w:pPr>
      <w:r w:rsidRPr="00631206">
        <w:rPr>
          <w:noProof/>
          <w:lang w:val="fr-FR" w:eastAsia="fr-FR"/>
        </w:rPr>
        <w:drawing>
          <wp:inline distT="0" distB="0" distL="0" distR="0" wp14:anchorId="5E22E83C" wp14:editId="7C3434FD">
            <wp:extent cx="5760085" cy="4680997"/>
            <wp:effectExtent l="0" t="0" r="0" b="571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4680997"/>
                    </a:xfrm>
                    <a:prstGeom prst="rect">
                      <a:avLst/>
                    </a:prstGeom>
                    <a:noFill/>
                    <a:ln>
                      <a:noFill/>
                    </a:ln>
                  </pic:spPr>
                </pic:pic>
              </a:graphicData>
            </a:graphic>
          </wp:inline>
        </w:drawing>
      </w:r>
    </w:p>
    <w:p w:rsidR="009701F5" w:rsidRPr="00631206" w:rsidRDefault="009701F5" w:rsidP="009701F5">
      <w:pPr>
        <w:pStyle w:val="Titre2"/>
        <w:rPr>
          <w:i w:val="0"/>
          <w:iCs w:val="0"/>
          <w:lang w:val="en-US"/>
        </w:rPr>
      </w:pPr>
      <w:r w:rsidRPr="00631206">
        <w:rPr>
          <w:lang w:val="en-US"/>
        </w:rPr>
        <w:t xml:space="preserve">COSMOS &amp; </w:t>
      </w:r>
      <w:proofErr w:type="spellStart"/>
      <w:r w:rsidRPr="00631206">
        <w:rPr>
          <w:lang w:val="en-US"/>
        </w:rPr>
        <w:t>Buist</w:t>
      </w:r>
      <w:proofErr w:type="spellEnd"/>
    </w:p>
    <w:p w:rsidR="009701F5" w:rsidRPr="00631206" w:rsidRDefault="009701F5" w:rsidP="009701F5">
      <w:pPr>
        <w:ind w:right="-32"/>
        <w:rPr>
          <w:lang w:val="en-US"/>
        </w:rPr>
      </w:pPr>
      <w:r w:rsidRPr="00631206">
        <w:rPr>
          <w:noProof/>
          <w:lang w:val="fr-FR" w:eastAsia="fr-FR"/>
        </w:rPr>
        <w:drawing>
          <wp:inline distT="0" distB="0" distL="0" distR="0" wp14:anchorId="79E1BD07" wp14:editId="641D9DC4">
            <wp:extent cx="5760085" cy="4801942"/>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4801942"/>
                    </a:xfrm>
                    <a:prstGeom prst="rect">
                      <a:avLst/>
                    </a:prstGeom>
                    <a:noFill/>
                    <a:ln>
                      <a:noFill/>
                    </a:ln>
                  </pic:spPr>
                </pic:pic>
              </a:graphicData>
            </a:graphic>
          </wp:inline>
        </w:drawing>
      </w:r>
    </w:p>
    <w:p w:rsidR="009701F5" w:rsidRPr="00631206" w:rsidRDefault="009701F5" w:rsidP="009701F5">
      <w:pPr>
        <w:tabs>
          <w:tab w:val="left" w:pos="3544"/>
        </w:tabs>
        <w:spacing w:after="200" w:line="276" w:lineRule="auto"/>
        <w:ind w:left="-567" w:right="-32"/>
        <w:rPr>
          <w:lang w:val="en-US"/>
        </w:rPr>
      </w:pPr>
    </w:p>
    <w:p w:rsidR="009701F5" w:rsidRPr="00631206" w:rsidRDefault="009701F5" w:rsidP="009701F5">
      <w:pPr>
        <w:pStyle w:val="Titre2"/>
        <w:rPr>
          <w:i w:val="0"/>
          <w:iCs w:val="0"/>
          <w:lang w:val="en-US"/>
        </w:rPr>
      </w:pPr>
      <w:r w:rsidRPr="00631206">
        <w:rPr>
          <w:lang w:val="en-US"/>
        </w:rPr>
        <w:t>IH Skin Perm</w:t>
      </w:r>
    </w:p>
    <w:p w:rsidR="009701F5" w:rsidRPr="00631206" w:rsidRDefault="009701F5" w:rsidP="009701F5">
      <w:r w:rsidRPr="00631206">
        <w:rPr>
          <w:noProof/>
          <w:lang w:val="fr-FR" w:eastAsia="fr-FR"/>
        </w:rPr>
        <w:drawing>
          <wp:inline distT="0" distB="0" distL="0" distR="0" wp14:anchorId="5F3A5B84" wp14:editId="5CD5C5B2">
            <wp:extent cx="5760085" cy="4740903"/>
            <wp:effectExtent l="0" t="0" r="0" b="317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4740903"/>
                    </a:xfrm>
                    <a:prstGeom prst="rect">
                      <a:avLst/>
                    </a:prstGeom>
                    <a:noFill/>
                    <a:ln>
                      <a:noFill/>
                    </a:ln>
                  </pic:spPr>
                </pic:pic>
              </a:graphicData>
            </a:graphic>
          </wp:inline>
        </w:drawing>
      </w:r>
    </w:p>
    <w:p w:rsidR="009701F5" w:rsidRPr="00631206" w:rsidRDefault="009701F5" w:rsidP="009701F5">
      <w:pPr>
        <w:spacing w:after="160" w:line="259" w:lineRule="auto"/>
      </w:pPr>
      <w:r w:rsidRPr="00631206">
        <w:br w:type="page"/>
      </w:r>
    </w:p>
    <w:p w:rsidR="009701F5" w:rsidRPr="00631206" w:rsidRDefault="009701F5" w:rsidP="009701F5">
      <w:pPr>
        <w:pStyle w:val="Titre1"/>
        <w:rPr>
          <w:lang w:val="en-US"/>
        </w:rPr>
      </w:pPr>
      <w:r w:rsidRPr="00631206">
        <w:t xml:space="preserve">Supplementary 4 – </w:t>
      </w:r>
      <w:r w:rsidRPr="00631206">
        <w:rPr>
          <w:lang w:val="en-US"/>
        </w:rPr>
        <w:t xml:space="preserve">Sensitivity of </w:t>
      </w:r>
      <w:proofErr w:type="spellStart"/>
      <w:r w:rsidRPr="00631206">
        <w:rPr>
          <w:lang w:val="en-US"/>
        </w:rPr>
        <w:t>Buist</w:t>
      </w:r>
      <w:proofErr w:type="spellEnd"/>
      <w:r w:rsidRPr="00631206">
        <w:rPr>
          <w:lang w:val="en-US"/>
        </w:rPr>
        <w:t xml:space="preserve"> and TNO equations to </w:t>
      </w:r>
      <w:proofErr w:type="spellStart"/>
      <w:proofErr w:type="gramStart"/>
      <w:r w:rsidRPr="00631206">
        <w:rPr>
          <w:lang w:val="en-US"/>
        </w:rPr>
        <w:t>k</w:t>
      </w:r>
      <w:r w:rsidRPr="00631206">
        <w:rPr>
          <w:vertAlign w:val="subscript"/>
          <w:lang w:val="en-US"/>
        </w:rPr>
        <w:t>p</w:t>
      </w:r>
      <w:proofErr w:type="spellEnd"/>
      <w:proofErr w:type="gramEnd"/>
    </w:p>
    <w:p w:rsidR="009701F5" w:rsidRPr="00631206" w:rsidRDefault="009701F5" w:rsidP="009701F5">
      <w:pPr>
        <w:jc w:val="center"/>
        <w:rPr>
          <w:lang w:val="en-US"/>
        </w:rPr>
      </w:pPr>
    </w:p>
    <w:p w:rsidR="009701F5" w:rsidRPr="00631206" w:rsidRDefault="00631206" w:rsidP="009701F5">
      <w:pPr>
        <w:jc w:val="center"/>
        <w:rPr>
          <w:lang w:val="en-US"/>
        </w:rPr>
      </w:pPr>
      <m:oMath>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B</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d0</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d0</m:t>
            </m:r>
          </m:sub>
        </m:sSub>
        <m:r>
          <m:rPr>
            <m:sty m:val="p"/>
          </m:rPr>
          <w:rPr>
            <w:rFonts w:ascii="Cambria Math" w:hAnsi="Cambria Math"/>
            <w:lang w:val="en-US"/>
          </w:rPr>
          <m:t>*f*</m:t>
        </m:r>
        <m:sSup>
          <m:sSupPr>
            <m:ctrlPr>
              <w:rPr>
                <w:rFonts w:ascii="Cambria Math" w:hAnsi="Cambria Math"/>
                <w:lang w:val="en-US"/>
              </w:rPr>
            </m:ctrlPr>
          </m:sSupPr>
          <m:e>
            <m:r>
              <m:rPr>
                <m:sty m:val="p"/>
              </m:rPr>
              <w:rPr>
                <w:rFonts w:ascii="Cambria Math" w:hAnsi="Cambria Math"/>
                <w:lang w:val="en-US"/>
              </w:rPr>
              <m:t>e</m:t>
            </m:r>
          </m:e>
          <m:sup>
            <m:d>
              <m:dPr>
                <m:ctrlPr>
                  <w:rPr>
                    <w:rFonts w:ascii="Cambria Math" w:hAnsi="Cambria Math"/>
                    <w:lang w:val="en-US"/>
                  </w:rPr>
                </m:ctrlPr>
              </m:dPr>
              <m:e>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f*</m:t>
                    </m:r>
                    <m:sSub>
                      <m:sSubPr>
                        <m:ctrlPr>
                          <w:rPr>
                            <w:rFonts w:ascii="Cambria Math" w:hAnsi="Cambria Math"/>
                            <w:lang w:val="en-US"/>
                          </w:rPr>
                        </m:ctrlPr>
                      </m:sSubPr>
                      <m:e>
                        <m:r>
                          <m:rPr>
                            <m:sty m:val="p"/>
                          </m:rPr>
                          <w:rPr>
                            <w:rFonts w:ascii="Cambria Math" w:hAnsi="Cambria Math"/>
                            <w:lang w:val="en-US"/>
                          </w:rPr>
                          <m:t>k</m:t>
                        </m:r>
                      </m:e>
                      <m:sub>
                        <m:r>
                          <m:rPr>
                            <m:sty m:val="p"/>
                          </m:rPr>
                          <w:rPr>
                            <w:rFonts w:ascii="Cambria Math" w:hAnsi="Cambria Math"/>
                            <w:lang w:val="en-US"/>
                          </w:rPr>
                          <m:t>p</m:t>
                        </m:r>
                      </m:sub>
                    </m:sSub>
                    <m:r>
                      <m:rPr>
                        <m:sty m:val="p"/>
                      </m:rPr>
                      <w:rPr>
                        <w:rFonts w:ascii="Cambria Math" w:hAnsi="Cambria Math"/>
                        <w:lang w:val="en-US"/>
                      </w:rPr>
                      <m:t>*A*</m:t>
                    </m:r>
                    <m:sSup>
                      <m:sSupPr>
                        <m:ctrlPr>
                          <w:rPr>
                            <w:rFonts w:ascii="Cambria Math" w:hAnsi="Cambria Math"/>
                            <w:lang w:val="en-US"/>
                          </w:rPr>
                        </m:ctrlPr>
                      </m:sSupPr>
                      <m:e>
                        <m:r>
                          <m:rPr>
                            <m:sty m:val="p"/>
                          </m:rPr>
                          <w:rPr>
                            <w:rFonts w:ascii="Cambria Math" w:hAnsi="Cambria Math"/>
                            <w:lang w:val="en-US"/>
                          </w:rPr>
                          <m:t>t</m:t>
                        </m:r>
                      </m:e>
                      <m:sup>
                        <m:r>
                          <m:rPr>
                            <m:sty m:val="p"/>
                          </m:rPr>
                          <w:rPr>
                            <w:rFonts w:ascii="Cambria Math" w:hAnsi="Cambria Math"/>
                            <w:lang w:val="en-US"/>
                          </w:rPr>
                          <m:t>*</m:t>
                        </m:r>
                      </m:sup>
                    </m:sSup>
                  </m:num>
                  <m:den>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d</m:t>
                        </m:r>
                      </m:sub>
                    </m:sSub>
                  </m:den>
                </m:f>
              </m:e>
            </m:d>
          </m:sup>
        </m:sSup>
      </m:oMath>
      <w:r w:rsidR="009701F5" w:rsidRPr="00631206">
        <w:rPr>
          <w:lang w:val="en-US"/>
        </w:rPr>
        <w:t xml:space="preserve"> </w:t>
      </w:r>
      <w:r w:rsidR="009701F5" w:rsidRPr="00631206">
        <w:rPr>
          <w:noProof/>
          <w:lang w:val="en-US"/>
        </w:rPr>
        <w:t>for Buist</w:t>
      </w:r>
    </w:p>
    <w:p w:rsidR="009701F5" w:rsidRPr="00631206" w:rsidRDefault="00631206" w:rsidP="009701F5">
      <w:pPr>
        <w:jc w:val="center"/>
        <w:rPr>
          <w:lang w:val="en-US"/>
        </w:rPr>
      </w:pPr>
      <m:oMath>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T</m:t>
            </m:r>
          </m:sub>
        </m:sSub>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d0</m:t>
                </m:r>
              </m:sub>
            </m:sSub>
            <m:r>
              <m:rPr>
                <m:sty m:val="p"/>
              </m:rPr>
              <w:rPr>
                <w:rFonts w:ascii="Cambria Math" w:hAnsi="Cambria Math"/>
                <w:lang w:val="en-US"/>
              </w:rPr>
              <m:t>*A*</m:t>
            </m:r>
            <m:sSup>
              <m:sSupPr>
                <m:ctrlPr>
                  <w:rPr>
                    <w:rFonts w:ascii="Cambria Math" w:hAnsi="Cambria Math"/>
                    <w:lang w:val="en-US"/>
                  </w:rPr>
                </m:ctrlPr>
              </m:sSupPr>
              <m:e>
                <m:r>
                  <m:rPr>
                    <m:sty m:val="p"/>
                  </m:rPr>
                  <w:rPr>
                    <w:rFonts w:ascii="Cambria Math" w:hAnsi="Cambria Math"/>
                    <w:lang w:val="en-US"/>
                  </w:rPr>
                  <m:t>t</m:t>
                </m:r>
              </m:e>
              <m:sup>
                <m:r>
                  <m:rPr>
                    <m:sty m:val="p"/>
                  </m:rPr>
                  <w:rPr>
                    <w:rFonts w:ascii="Cambria Math" w:hAnsi="Cambria Math"/>
                    <w:lang w:val="en-US"/>
                  </w:rPr>
                  <m:t>*</m:t>
                </m:r>
              </m:sup>
            </m:s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sty m:val="p"/>
                  </m:rPr>
                  <w:rPr>
                    <w:rFonts w:ascii="Cambria Math" w:hAnsi="Cambria Math"/>
                    <w:lang w:val="en-US"/>
                  </w:rPr>
                  <m:t>p</m:t>
                </m:r>
              </m:sub>
            </m:sSub>
          </m:num>
          <m:den>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d</m:t>
                </m:r>
              </m:sub>
            </m:sSub>
          </m:den>
        </m:f>
      </m:oMath>
      <w:r w:rsidR="009701F5" w:rsidRPr="00631206">
        <w:rPr>
          <w:lang w:val="en-US"/>
        </w:rPr>
        <w:t xml:space="preserve"> </w:t>
      </w:r>
      <w:r w:rsidR="009701F5" w:rsidRPr="00631206">
        <w:rPr>
          <w:noProof/>
          <w:lang w:val="en-US"/>
        </w:rPr>
        <w:t>for TNO</w:t>
      </w:r>
    </w:p>
    <w:p w:rsidR="009701F5" w:rsidRPr="00631206" w:rsidRDefault="009701F5" w:rsidP="009701F5">
      <w:pPr>
        <w:rPr>
          <w:lang w:val="en-US"/>
        </w:rPr>
      </w:pPr>
      <w:r w:rsidRPr="00631206">
        <w:rPr>
          <w:lang w:val="en-US"/>
        </w:rPr>
        <w:t xml:space="preserve">Partial derivation </w:t>
      </w:r>
      <w:r w:rsidRPr="00631206">
        <w:rPr>
          <w:noProof/>
          <w:lang w:val="en-US"/>
        </w:rPr>
        <w:t>with respect to</w:t>
      </w:r>
      <w:r w:rsidRPr="00631206">
        <w:rPr>
          <w:lang w:val="en-US"/>
        </w:rPr>
        <w:t xml:space="preserve"> </w:t>
      </w:r>
      <w:r w:rsidRPr="00631206">
        <w:rPr>
          <w:noProof/>
          <w:lang w:val="en-US"/>
        </w:rPr>
        <w:t>k</w:t>
      </w:r>
      <w:r w:rsidRPr="00631206">
        <w:rPr>
          <w:noProof/>
          <w:vertAlign w:val="subscript"/>
          <w:lang w:val="en-US"/>
        </w:rPr>
        <w:t>p</w:t>
      </w:r>
      <w:r w:rsidRPr="00631206">
        <w:rPr>
          <w:lang w:val="en-US"/>
        </w:rPr>
        <w:t xml:space="preserve"> yields:</w:t>
      </w:r>
    </w:p>
    <w:p w:rsidR="009701F5" w:rsidRPr="00631206" w:rsidRDefault="00631206" w:rsidP="009701F5">
      <w:pPr>
        <w:rPr>
          <w:szCs w:val="22"/>
          <w:lang w:val="en-US"/>
        </w:rPr>
      </w:pPr>
      <m:oMathPara>
        <m:oMath>
          <m:f>
            <m:fPr>
              <m:ctrlPr>
                <w:rPr>
                  <w:rFonts w:ascii="Cambria Math" w:hAnsi="Cambria Math"/>
                  <w:szCs w:val="22"/>
                  <w:lang w:val="en-US"/>
                </w:rPr>
              </m:ctrlPr>
            </m:fPr>
            <m:num>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B</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num>
            <m:den>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den>
          </m:f>
          <m:r>
            <m:rPr>
              <m:sty m:val="p"/>
            </m:rPr>
            <w:rPr>
              <w:rFonts w:ascii="Cambria Math" w:hAnsi="Cambria Math"/>
              <w:szCs w:val="22"/>
              <w:lang w:val="en-US"/>
            </w:rPr>
            <m:t>=</m:t>
          </m:r>
          <m:f>
            <m:fPr>
              <m:ctrlPr>
                <w:rPr>
                  <w:rFonts w:ascii="Cambria Math" w:hAnsi="Cambria Math"/>
                  <w:szCs w:val="22"/>
                  <w:lang w:val="en-US"/>
                </w:rPr>
              </m:ctrlPr>
            </m:fPr>
            <m:num>
              <m:sSub>
                <m:sSubPr>
                  <m:ctrlPr>
                    <w:rPr>
                      <w:rFonts w:ascii="Cambria Math" w:hAnsi="Cambria Math"/>
                      <w:szCs w:val="22"/>
                      <w:lang w:val="en-US"/>
                    </w:rPr>
                  </m:ctrlPr>
                </m:sSubPr>
                <m:e>
                  <m:r>
                    <m:rPr>
                      <m:sty m:val="p"/>
                    </m:rPr>
                    <w:rPr>
                      <w:rFonts w:ascii="Cambria Math" w:hAnsi="Cambria Math"/>
                      <w:szCs w:val="22"/>
                      <w:lang w:val="en-US"/>
                    </w:rPr>
                    <m:t>M</m:t>
                  </m:r>
                </m:e>
                <m:sub>
                  <m:r>
                    <m:rPr>
                      <m:sty m:val="p"/>
                    </m:rPr>
                    <w:rPr>
                      <w:rFonts w:ascii="Cambria Math" w:hAnsi="Cambria Math"/>
                      <w:szCs w:val="22"/>
                      <w:lang w:val="en-US"/>
                    </w:rPr>
                    <m:t>d0</m:t>
                  </m:r>
                </m:sub>
              </m:sSub>
              <m:r>
                <m:rPr>
                  <m:sty m:val="p"/>
                </m:rPr>
                <w:rPr>
                  <w:rFonts w:ascii="Cambria Math" w:hAnsi="Cambria Math"/>
                  <w:szCs w:val="22"/>
                  <w:lang w:val="en-US"/>
                </w:rPr>
                <m:t>*A*</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f</m:t>
                  </m:r>
                </m:e>
                <m:sup>
                  <m:r>
                    <m:rPr>
                      <m:sty m:val="p"/>
                    </m:rPr>
                    <w:rPr>
                      <w:rFonts w:ascii="Cambria Math" w:hAnsi="Cambria Math"/>
                      <w:szCs w:val="22"/>
                      <w:lang w:val="en-US"/>
                    </w:rPr>
                    <m:t>2</m:t>
                  </m:r>
                </m:sup>
              </m:sSup>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e</m:t>
              </m:r>
            </m:e>
            <m:sup>
              <m:f>
                <m:fPr>
                  <m:ctrlPr>
                    <w:rPr>
                      <w:rFonts w:ascii="Cambria Math" w:hAnsi="Cambria Math"/>
                      <w:szCs w:val="22"/>
                      <w:lang w:val="en-US"/>
                    </w:rPr>
                  </m:ctrlPr>
                </m:fPr>
                <m:num>
                  <m:r>
                    <m:rPr>
                      <m:sty m:val="p"/>
                    </m:rPr>
                    <w:rPr>
                      <w:rFonts w:ascii="Cambria Math" w:hAnsi="Cambria Math"/>
                      <w:szCs w:val="22"/>
                      <w:lang w:val="en-US"/>
                    </w:rPr>
                    <m:t>-</m:t>
                  </m:r>
                  <m:r>
                    <m:rPr>
                      <m:sty m:val="p"/>
                    </m:rPr>
                    <w:rPr>
                      <w:rFonts w:ascii="Cambria Math" w:hAnsi="Cambria Math"/>
                      <w:noProof/>
                      <w:szCs w:val="22"/>
                      <w:lang w:val="en-US"/>
                    </w:rPr>
                    <m:t>f*A</m:t>
                  </m:r>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sup>
          </m:sSup>
        </m:oMath>
      </m:oMathPara>
    </w:p>
    <w:p w:rsidR="009701F5" w:rsidRPr="00631206" w:rsidRDefault="00631206" w:rsidP="009701F5">
      <w:pPr>
        <w:rPr>
          <w:szCs w:val="22"/>
          <w:lang w:val="en-US"/>
        </w:rPr>
      </w:pPr>
      <m:oMathPara>
        <m:oMath>
          <m:f>
            <m:fPr>
              <m:ctrlPr>
                <w:rPr>
                  <w:rFonts w:ascii="Cambria Math" w:hAnsi="Cambria Math"/>
                  <w:szCs w:val="22"/>
                  <w:lang w:val="en-US"/>
                </w:rPr>
              </m:ctrlPr>
            </m:fPr>
            <m:num>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T</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num>
            <m:den>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den>
          </m:f>
          <m:r>
            <m:rPr>
              <m:sty m:val="p"/>
            </m:rPr>
            <w:rPr>
              <w:rFonts w:ascii="Cambria Math" w:hAnsi="Cambria Math"/>
              <w:szCs w:val="22"/>
              <w:lang w:val="en-US"/>
            </w:rPr>
            <m:t>=</m:t>
          </m:r>
          <m:f>
            <m:fPr>
              <m:ctrlPr>
                <w:rPr>
                  <w:rFonts w:ascii="Cambria Math" w:hAnsi="Cambria Math"/>
                  <w:szCs w:val="22"/>
                  <w:lang w:val="en-US"/>
                </w:rPr>
              </m:ctrlPr>
            </m:fPr>
            <m:num>
              <m:sSub>
                <m:sSubPr>
                  <m:ctrlPr>
                    <w:rPr>
                      <w:rFonts w:ascii="Cambria Math" w:hAnsi="Cambria Math"/>
                      <w:szCs w:val="22"/>
                      <w:lang w:val="en-US"/>
                    </w:rPr>
                  </m:ctrlPr>
                </m:sSubPr>
                <m:e>
                  <m:r>
                    <m:rPr>
                      <m:sty m:val="p"/>
                    </m:rPr>
                    <w:rPr>
                      <w:rFonts w:ascii="Cambria Math" w:hAnsi="Cambria Math"/>
                      <w:szCs w:val="22"/>
                      <w:lang w:val="en-US"/>
                    </w:rPr>
                    <m:t>M</m:t>
                  </m:r>
                </m:e>
                <m:sub>
                  <m:r>
                    <m:rPr>
                      <m:sty m:val="p"/>
                    </m:rPr>
                    <w:rPr>
                      <w:rFonts w:ascii="Cambria Math" w:hAnsi="Cambria Math"/>
                      <w:szCs w:val="22"/>
                      <w:lang w:val="en-US"/>
                    </w:rPr>
                    <m:t>d0</m:t>
                  </m:r>
                </m:sub>
              </m:sSub>
              <m:r>
                <m:rPr>
                  <m:sty m:val="p"/>
                </m:rPr>
                <w:rPr>
                  <w:rFonts w:ascii="Cambria Math" w:hAnsi="Cambria Math"/>
                  <w:szCs w:val="22"/>
                  <w:lang w:val="en-US"/>
                </w:rPr>
                <m:t>*A*</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oMath>
      </m:oMathPara>
    </w:p>
    <w:p w:rsidR="009701F5" w:rsidRPr="00631206" w:rsidRDefault="009701F5" w:rsidP="009701F5">
      <w:pPr>
        <w:rPr>
          <w:lang w:val="en-US"/>
        </w:rPr>
      </w:pPr>
      <w:r w:rsidRPr="00631206">
        <w:rPr>
          <w:lang w:val="en-US"/>
        </w:rPr>
        <w:t>Comparison of the two equations yields:</w:t>
      </w:r>
    </w:p>
    <w:p w:rsidR="009701F5" w:rsidRPr="00631206" w:rsidRDefault="00631206" w:rsidP="009701F5">
      <w:pPr>
        <w:rPr>
          <w:szCs w:val="22"/>
          <w:lang w:val="en-US"/>
        </w:rPr>
      </w:pPr>
      <m:oMathPara>
        <m:oMath>
          <m:f>
            <m:fPr>
              <m:ctrlPr>
                <w:rPr>
                  <w:rFonts w:ascii="Cambria Math" w:hAnsi="Cambria Math"/>
                  <w:szCs w:val="22"/>
                  <w:lang w:val="en-US"/>
                </w:rPr>
              </m:ctrlPr>
            </m:fPr>
            <m:num>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T</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num>
            <m:den>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B</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den>
          </m:f>
          <m:r>
            <m:rPr>
              <m:sty m:val="p"/>
            </m:rPr>
            <w:rPr>
              <w:rFonts w:ascii="Cambria Math" w:hAnsi="Cambria Math"/>
              <w:szCs w:val="22"/>
              <w:lang w:val="en-US"/>
            </w:rPr>
            <m:t xml:space="preserve">= </m:t>
          </m:r>
          <m:f>
            <m:fPr>
              <m:ctrlPr>
                <w:rPr>
                  <w:rFonts w:ascii="Cambria Math" w:hAnsi="Cambria Math"/>
                  <w:szCs w:val="22"/>
                  <w:lang w:val="en-US"/>
                </w:rPr>
              </m:ctrlPr>
            </m:fPr>
            <m:num>
              <m:r>
                <m:rPr>
                  <m:sty m:val="p"/>
                </m:rPr>
                <w:rPr>
                  <w:rFonts w:ascii="Cambria Math" w:hAnsi="Cambria Math"/>
                  <w:szCs w:val="22"/>
                  <w:lang w:val="en-US"/>
                </w:rPr>
                <m:t>1</m:t>
              </m:r>
            </m:num>
            <m:den>
              <m:sSup>
                <m:sSupPr>
                  <m:ctrlPr>
                    <w:rPr>
                      <w:rFonts w:ascii="Cambria Math" w:hAnsi="Cambria Math"/>
                      <w:szCs w:val="22"/>
                      <w:lang w:val="en-US"/>
                    </w:rPr>
                  </m:ctrlPr>
                </m:sSupPr>
                <m:e>
                  <m:r>
                    <m:rPr>
                      <m:sty m:val="p"/>
                    </m:rPr>
                    <w:rPr>
                      <w:rFonts w:ascii="Cambria Math" w:hAnsi="Cambria Math"/>
                      <w:szCs w:val="22"/>
                      <w:lang w:val="en-US"/>
                    </w:rPr>
                    <m:t>f</m:t>
                  </m:r>
                </m:e>
                <m:sup>
                  <m:r>
                    <m:rPr>
                      <m:sty m:val="p"/>
                    </m:rPr>
                    <w:rPr>
                      <w:rFonts w:ascii="Cambria Math" w:hAnsi="Cambria Math"/>
                      <w:szCs w:val="22"/>
                      <w:lang w:val="en-US"/>
                    </w:rPr>
                    <m:t>2</m:t>
                  </m:r>
                </m:sup>
              </m:sSup>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e</m:t>
                  </m:r>
                </m:e>
                <m:sup>
                  <m:f>
                    <m:fPr>
                      <m:ctrlPr>
                        <w:rPr>
                          <w:rFonts w:ascii="Cambria Math" w:hAnsi="Cambria Math"/>
                          <w:szCs w:val="22"/>
                          <w:lang w:val="en-US"/>
                        </w:rPr>
                      </m:ctrlPr>
                    </m:fPr>
                    <m:num>
                      <m:r>
                        <m:rPr>
                          <m:sty m:val="p"/>
                        </m:rPr>
                        <w:rPr>
                          <w:rFonts w:ascii="Cambria Math" w:hAnsi="Cambria Math"/>
                          <w:szCs w:val="22"/>
                          <w:lang w:val="en-US"/>
                        </w:rPr>
                        <m:t>-</m:t>
                      </m:r>
                      <m:r>
                        <m:rPr>
                          <m:sty m:val="p"/>
                        </m:rPr>
                        <w:rPr>
                          <w:rFonts w:ascii="Cambria Math" w:hAnsi="Cambria Math"/>
                          <w:noProof/>
                          <w:szCs w:val="22"/>
                          <w:lang w:val="en-US"/>
                        </w:rPr>
                        <m:t>f*A</m:t>
                      </m:r>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sup>
              </m:sSup>
            </m:den>
          </m:f>
        </m:oMath>
      </m:oMathPara>
    </w:p>
    <w:p w:rsidR="009701F5" w:rsidRPr="00631206" w:rsidRDefault="009701F5" w:rsidP="009701F5">
      <w:pPr>
        <w:rPr>
          <w:szCs w:val="22"/>
          <w:lang w:val="en-US"/>
        </w:rPr>
      </w:pPr>
      <w:r w:rsidRPr="00631206">
        <w:rPr>
          <w:lang w:val="en-US"/>
        </w:rPr>
        <w:t>The term</w:t>
      </w:r>
      <w:r w:rsidRPr="00631206">
        <w:rPr>
          <w:rFonts w:cs="Arial"/>
          <w:szCs w:val="22"/>
          <w:lang w:val="en-US"/>
        </w:rPr>
        <w:t xml:space="preserve"> </w:t>
      </w:r>
      <m:oMath>
        <m:f>
          <m:fPr>
            <m:ctrlPr>
              <w:rPr>
                <w:rFonts w:ascii="Cambria Math" w:hAnsi="Cambria Math"/>
                <w:szCs w:val="22"/>
                <w:lang w:val="en-US"/>
              </w:rPr>
            </m:ctrlPr>
          </m:fPr>
          <m:num>
            <m:r>
              <m:rPr>
                <m:sty m:val="p"/>
              </m:rPr>
              <w:rPr>
                <w:rFonts w:ascii="Cambria Math" w:hAnsi="Cambria Math"/>
                <w:szCs w:val="22"/>
                <w:lang w:val="en-US"/>
              </w:rPr>
              <m:t>-</m:t>
            </m:r>
            <m:r>
              <m:rPr>
                <m:sty m:val="p"/>
              </m:rPr>
              <w:rPr>
                <w:rFonts w:ascii="Cambria Math" w:hAnsi="Cambria Math"/>
                <w:noProof/>
                <w:szCs w:val="22"/>
                <w:lang w:val="en-US"/>
              </w:rPr>
              <m:t>f*A</m:t>
            </m:r>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oMath>
      <w:r w:rsidRPr="00631206">
        <w:rPr>
          <w:szCs w:val="22"/>
          <w:lang w:val="en-US"/>
        </w:rPr>
        <w:t xml:space="preserve"> </w:t>
      </w:r>
      <w:r w:rsidRPr="00631206">
        <w:rPr>
          <w:noProof/>
          <w:lang w:val="en-US"/>
        </w:rPr>
        <w:t>is</w:t>
      </w:r>
      <w:r w:rsidRPr="00631206">
        <w:rPr>
          <w:lang w:val="en-US"/>
        </w:rPr>
        <w:t xml:space="preserve"> always negative since all parameters can only take positive values. Therefore</w:t>
      </w:r>
      <w:r w:rsidRPr="00631206">
        <w:rPr>
          <w:szCs w:val="22"/>
          <w:lang w:val="en-US"/>
        </w:rPr>
        <w:t xml:space="preserve"> </w:t>
      </w:r>
      <m:oMath>
        <m:sSup>
          <m:sSupPr>
            <m:ctrlPr>
              <w:rPr>
                <w:rFonts w:ascii="Cambria Math" w:hAnsi="Cambria Math"/>
                <w:szCs w:val="22"/>
                <w:lang w:val="en-US"/>
              </w:rPr>
            </m:ctrlPr>
          </m:sSupPr>
          <m:e>
            <m:r>
              <m:rPr>
                <m:sty m:val="p"/>
              </m:rPr>
              <w:rPr>
                <w:rFonts w:ascii="Cambria Math" w:hAnsi="Cambria Math"/>
                <w:szCs w:val="22"/>
                <w:lang w:val="en-US"/>
              </w:rPr>
              <m:t>e</m:t>
            </m:r>
          </m:e>
          <m:sup>
            <m:f>
              <m:fPr>
                <m:ctrlPr>
                  <w:rPr>
                    <w:rFonts w:ascii="Cambria Math" w:hAnsi="Cambria Math"/>
                    <w:szCs w:val="22"/>
                    <w:lang w:val="en-US"/>
                  </w:rPr>
                </m:ctrlPr>
              </m:fPr>
              <m:num>
                <m:r>
                  <m:rPr>
                    <m:sty m:val="p"/>
                  </m:rPr>
                  <w:rPr>
                    <w:rFonts w:ascii="Cambria Math" w:hAnsi="Cambria Math"/>
                    <w:szCs w:val="22"/>
                    <w:lang w:val="en-US"/>
                  </w:rPr>
                  <m:t>-</m:t>
                </m:r>
                <m:r>
                  <m:rPr>
                    <m:sty m:val="p"/>
                  </m:rPr>
                  <w:rPr>
                    <w:rFonts w:ascii="Cambria Math" w:hAnsi="Cambria Math"/>
                    <w:noProof/>
                    <w:szCs w:val="22"/>
                    <w:lang w:val="en-US"/>
                  </w:rPr>
                  <m:t>f*A</m:t>
                </m:r>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sup>
        </m:sSup>
      </m:oMath>
      <w:r w:rsidRPr="00631206">
        <w:rPr>
          <w:szCs w:val="22"/>
          <w:lang w:val="en-US"/>
        </w:rPr>
        <w:t xml:space="preserve"> </w:t>
      </w:r>
      <w:r w:rsidRPr="00631206">
        <w:rPr>
          <w:noProof/>
          <w:szCs w:val="22"/>
          <w:lang w:val="en-US"/>
        </w:rPr>
        <w:t>is</w:t>
      </w:r>
      <w:r w:rsidRPr="00631206">
        <w:rPr>
          <w:szCs w:val="22"/>
          <w:lang w:val="en-US"/>
        </w:rPr>
        <w:t xml:space="preserve"> always &lt;1. </w:t>
      </w:r>
      <m:oMath>
        <m:r>
          <m:rPr>
            <m:sty m:val="p"/>
          </m:rPr>
          <w:rPr>
            <w:rFonts w:ascii="Cambria Math" w:hAnsi="Cambria Math"/>
            <w:szCs w:val="22"/>
            <w:lang w:val="en-US"/>
          </w:rPr>
          <m:t>f</m:t>
        </m:r>
      </m:oMath>
      <w:r w:rsidRPr="00631206">
        <w:rPr>
          <w:szCs w:val="22"/>
          <w:lang w:val="en-US"/>
        </w:rPr>
        <w:t xml:space="preserve"> </w:t>
      </w:r>
      <w:proofErr w:type="gramStart"/>
      <w:r w:rsidRPr="00631206">
        <w:rPr>
          <w:lang w:val="en-US"/>
        </w:rPr>
        <w:t>can</w:t>
      </w:r>
      <w:proofErr w:type="gramEnd"/>
      <w:r w:rsidRPr="00631206">
        <w:rPr>
          <w:lang w:val="en-US"/>
        </w:rPr>
        <w:t xml:space="preserve"> only take values between 0 and 1, so that </w:t>
      </w:r>
      <m:oMath>
        <m:sSup>
          <m:sSupPr>
            <m:ctrlPr>
              <w:rPr>
                <w:rFonts w:ascii="Cambria Math" w:hAnsi="Cambria Math"/>
                <w:lang w:val="en-US"/>
              </w:rPr>
            </m:ctrlPr>
          </m:sSupPr>
          <m:e>
            <m:r>
              <m:rPr>
                <m:sty m:val="p"/>
              </m:rPr>
              <w:rPr>
                <w:rFonts w:ascii="Cambria Math" w:hAnsi="Cambria Math"/>
                <w:lang w:val="en-US"/>
              </w:rPr>
              <m:t>f</m:t>
            </m:r>
          </m:e>
          <m:sup>
            <m:r>
              <m:rPr>
                <m:sty m:val="p"/>
              </m:rPr>
              <w:rPr>
                <w:rFonts w:ascii="Cambria Math" w:hAnsi="Cambria Math"/>
                <w:lang w:val="en-US"/>
              </w:rPr>
              <m:t>2</m:t>
            </m:r>
          </m:sup>
        </m:sSup>
      </m:oMath>
      <w:r w:rsidRPr="00631206">
        <w:rPr>
          <w:lang w:val="en-US"/>
        </w:rPr>
        <w:t xml:space="preserve"> </w:t>
      </w:r>
      <w:r w:rsidRPr="00631206">
        <w:rPr>
          <w:noProof/>
          <w:lang w:val="en-US"/>
        </w:rPr>
        <w:t>is</w:t>
      </w:r>
      <w:r w:rsidRPr="00631206">
        <w:rPr>
          <w:lang w:val="en-US"/>
        </w:rPr>
        <w:t xml:space="preserve"> also always</w:t>
      </w:r>
      <w:r w:rsidRPr="00631206">
        <w:rPr>
          <w:szCs w:val="22"/>
          <w:lang w:val="en-US"/>
        </w:rPr>
        <w:t xml:space="preserve"> &lt;1. It follows that </w:t>
      </w:r>
      <m:oMath>
        <m:sSup>
          <m:sSupPr>
            <m:ctrlPr>
              <w:rPr>
                <w:rFonts w:ascii="Cambria Math" w:hAnsi="Cambria Math"/>
                <w:szCs w:val="22"/>
                <w:lang w:val="en-US"/>
              </w:rPr>
            </m:ctrlPr>
          </m:sSupPr>
          <m:e>
            <m:r>
              <m:rPr>
                <m:sty m:val="p"/>
              </m:rPr>
              <w:rPr>
                <w:rFonts w:ascii="Cambria Math" w:hAnsi="Cambria Math"/>
                <w:szCs w:val="22"/>
                <w:lang w:val="en-US"/>
              </w:rPr>
              <m:t>f</m:t>
            </m:r>
          </m:e>
          <m:sup>
            <m:r>
              <m:rPr>
                <m:sty m:val="p"/>
              </m:rPr>
              <w:rPr>
                <w:rFonts w:ascii="Cambria Math" w:hAnsi="Cambria Math"/>
                <w:szCs w:val="22"/>
                <w:lang w:val="en-US"/>
              </w:rPr>
              <m:t>2</m:t>
            </m:r>
          </m:sup>
        </m:sSup>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e</m:t>
            </m:r>
          </m:e>
          <m:sup>
            <m:f>
              <m:fPr>
                <m:ctrlPr>
                  <w:rPr>
                    <w:rFonts w:ascii="Cambria Math" w:hAnsi="Cambria Math"/>
                    <w:szCs w:val="22"/>
                    <w:lang w:val="en-US"/>
                  </w:rPr>
                </m:ctrlPr>
              </m:fPr>
              <m:num>
                <m:r>
                  <m:rPr>
                    <m:sty m:val="p"/>
                  </m:rPr>
                  <w:rPr>
                    <w:rFonts w:ascii="Cambria Math" w:hAnsi="Cambria Math"/>
                    <w:szCs w:val="22"/>
                    <w:lang w:val="en-US"/>
                  </w:rPr>
                  <m:t>-</m:t>
                </m:r>
                <m:r>
                  <m:rPr>
                    <m:sty m:val="p"/>
                  </m:rPr>
                  <w:rPr>
                    <w:rFonts w:ascii="Cambria Math" w:hAnsi="Cambria Math"/>
                    <w:noProof/>
                    <w:szCs w:val="22"/>
                    <w:lang w:val="en-US"/>
                  </w:rPr>
                  <m:t>f*A</m:t>
                </m:r>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sup>
        </m:sSup>
        <m:r>
          <m:rPr>
            <m:sty m:val="p"/>
          </m:rPr>
          <w:rPr>
            <w:rFonts w:ascii="Cambria Math" w:hAnsi="Cambria Math"/>
            <w:szCs w:val="22"/>
            <w:lang w:val="en-US"/>
          </w:rPr>
          <m:t>&lt;1</m:t>
        </m:r>
      </m:oMath>
      <w:r w:rsidRPr="00631206">
        <w:rPr>
          <w:szCs w:val="22"/>
          <w:lang w:val="en-US"/>
        </w:rPr>
        <w:t xml:space="preserve"> and thus:</w:t>
      </w:r>
    </w:p>
    <w:p w:rsidR="009701F5" w:rsidRPr="00631206" w:rsidRDefault="00631206" w:rsidP="009701F5">
      <w:pPr>
        <w:rPr>
          <w:szCs w:val="22"/>
          <w:lang w:val="en-US"/>
        </w:rPr>
      </w:pPr>
      <m:oMathPara>
        <m:oMath>
          <m:f>
            <m:fPr>
              <m:ctrlPr>
                <w:rPr>
                  <w:rFonts w:ascii="Cambria Math" w:hAnsi="Cambria Math"/>
                  <w:szCs w:val="22"/>
                  <w:lang w:val="en-US"/>
                </w:rPr>
              </m:ctrlPr>
            </m:fPr>
            <m:num>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T</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num>
            <m:den>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B</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den>
          </m:f>
          <m:r>
            <m:rPr>
              <m:sty m:val="p"/>
            </m:rPr>
            <w:rPr>
              <w:rFonts w:ascii="Cambria Math" w:hAnsi="Cambria Math"/>
              <w:szCs w:val="22"/>
              <w:lang w:val="en-US"/>
            </w:rPr>
            <m:t xml:space="preserve">= </m:t>
          </m:r>
          <m:f>
            <m:fPr>
              <m:ctrlPr>
                <w:rPr>
                  <w:rFonts w:ascii="Cambria Math" w:hAnsi="Cambria Math"/>
                  <w:szCs w:val="22"/>
                  <w:lang w:val="en-US"/>
                </w:rPr>
              </m:ctrlPr>
            </m:fPr>
            <m:num>
              <m:r>
                <m:rPr>
                  <m:sty m:val="p"/>
                </m:rPr>
                <w:rPr>
                  <w:rFonts w:ascii="Cambria Math" w:hAnsi="Cambria Math"/>
                  <w:szCs w:val="22"/>
                  <w:lang w:val="en-US"/>
                </w:rPr>
                <m:t>1</m:t>
              </m:r>
            </m:num>
            <m:den>
              <m:sSup>
                <m:sSupPr>
                  <m:ctrlPr>
                    <w:rPr>
                      <w:rFonts w:ascii="Cambria Math" w:hAnsi="Cambria Math"/>
                      <w:szCs w:val="22"/>
                      <w:lang w:val="en-US"/>
                    </w:rPr>
                  </m:ctrlPr>
                </m:sSupPr>
                <m:e>
                  <m:r>
                    <m:rPr>
                      <m:sty m:val="p"/>
                    </m:rPr>
                    <w:rPr>
                      <w:rFonts w:ascii="Cambria Math" w:hAnsi="Cambria Math"/>
                      <w:szCs w:val="22"/>
                      <w:lang w:val="en-US"/>
                    </w:rPr>
                    <m:t>f</m:t>
                  </m:r>
                </m:e>
                <m:sup>
                  <m:r>
                    <m:rPr>
                      <m:sty m:val="p"/>
                    </m:rPr>
                    <w:rPr>
                      <w:rFonts w:ascii="Cambria Math" w:hAnsi="Cambria Math"/>
                      <w:szCs w:val="22"/>
                      <w:lang w:val="en-US"/>
                    </w:rPr>
                    <m:t>2</m:t>
                  </m:r>
                </m:sup>
              </m:sSup>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e</m:t>
                  </m:r>
                </m:e>
                <m:sup>
                  <m:f>
                    <m:fPr>
                      <m:ctrlPr>
                        <w:rPr>
                          <w:rFonts w:ascii="Cambria Math" w:hAnsi="Cambria Math"/>
                          <w:szCs w:val="22"/>
                          <w:lang w:val="en-US"/>
                        </w:rPr>
                      </m:ctrlPr>
                    </m:fPr>
                    <m:num>
                      <m:r>
                        <m:rPr>
                          <m:sty m:val="p"/>
                        </m:rPr>
                        <w:rPr>
                          <w:rFonts w:ascii="Cambria Math" w:hAnsi="Cambria Math"/>
                          <w:szCs w:val="22"/>
                          <w:lang w:val="en-US"/>
                        </w:rPr>
                        <m:t>-</m:t>
                      </m:r>
                      <m:r>
                        <m:rPr>
                          <m:sty m:val="p"/>
                        </m:rPr>
                        <w:rPr>
                          <w:rFonts w:ascii="Cambria Math" w:hAnsi="Cambria Math"/>
                          <w:noProof/>
                          <w:szCs w:val="22"/>
                          <w:lang w:val="en-US"/>
                        </w:rPr>
                        <m:t>f*A</m:t>
                      </m:r>
                      <m:r>
                        <m:rPr>
                          <m:sty m:val="p"/>
                        </m:rPr>
                        <w:rPr>
                          <w:rFonts w:ascii="Cambria Math" w:hAnsi="Cambria Math"/>
                          <w:szCs w:val="22"/>
                          <w:lang w:val="en-US"/>
                        </w:rPr>
                        <m:t>*</m:t>
                      </m:r>
                      <m:sSup>
                        <m:sSupPr>
                          <m:ctrlPr>
                            <w:rPr>
                              <w:rFonts w:ascii="Cambria Math" w:hAnsi="Cambria Math"/>
                              <w:szCs w:val="22"/>
                              <w:lang w:val="en-US"/>
                            </w:rPr>
                          </m:ctrlPr>
                        </m:sSupPr>
                        <m:e>
                          <m:r>
                            <m:rPr>
                              <m:sty m:val="p"/>
                            </m:rPr>
                            <w:rPr>
                              <w:rFonts w:ascii="Cambria Math" w:hAnsi="Cambria Math"/>
                              <w:szCs w:val="22"/>
                              <w:lang w:val="en-US"/>
                            </w:rPr>
                            <m:t>t</m:t>
                          </m:r>
                        </m:e>
                        <m:sup>
                          <m:r>
                            <m:rPr>
                              <m:sty m:val="p"/>
                            </m:rPr>
                            <w:rPr>
                              <w:rFonts w:ascii="Cambria Math" w:hAnsi="Cambria Math"/>
                              <w:szCs w:val="22"/>
                              <w:lang w:val="en-US"/>
                            </w:rPr>
                            <m:t>*</m:t>
                          </m:r>
                        </m:sup>
                      </m:sSup>
                      <m:r>
                        <m:rPr>
                          <m:sty m:val="p"/>
                        </m:rPr>
                        <w:rPr>
                          <w:rFonts w:ascii="Cambria Math" w:hAnsi="Cambria Math"/>
                          <w:szCs w:val="22"/>
                          <w:lang w:val="en-US"/>
                        </w:rPr>
                        <m:t>*</m:t>
                      </m:r>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num>
                    <m:den>
                      <m:sSub>
                        <m:sSubPr>
                          <m:ctrlPr>
                            <w:rPr>
                              <w:rFonts w:ascii="Cambria Math" w:hAnsi="Cambria Math"/>
                              <w:szCs w:val="22"/>
                              <w:lang w:val="en-US"/>
                            </w:rPr>
                          </m:ctrlPr>
                        </m:sSubPr>
                        <m:e>
                          <m:r>
                            <m:rPr>
                              <m:sty m:val="p"/>
                            </m:rPr>
                            <w:rPr>
                              <w:rFonts w:ascii="Cambria Math" w:hAnsi="Cambria Math"/>
                              <w:szCs w:val="22"/>
                              <w:lang w:val="en-US"/>
                            </w:rPr>
                            <m:t>V</m:t>
                          </m:r>
                        </m:e>
                        <m:sub>
                          <m:r>
                            <m:rPr>
                              <m:sty m:val="p"/>
                            </m:rPr>
                            <w:rPr>
                              <w:rFonts w:ascii="Cambria Math" w:hAnsi="Cambria Math"/>
                              <w:szCs w:val="22"/>
                              <w:lang w:val="en-US"/>
                            </w:rPr>
                            <m:t>d</m:t>
                          </m:r>
                        </m:sub>
                      </m:sSub>
                    </m:den>
                  </m:f>
                </m:sup>
              </m:sSup>
            </m:den>
          </m:f>
          <m:r>
            <m:rPr>
              <m:sty m:val="p"/>
            </m:rPr>
            <w:rPr>
              <w:rFonts w:ascii="Cambria Math" w:hAnsi="Cambria Math"/>
              <w:szCs w:val="22"/>
              <w:lang w:val="en-US"/>
            </w:rPr>
            <m:t>&gt;1 ⇒ ∂</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T</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r>
            <m:rPr>
              <m:sty m:val="p"/>
            </m:rPr>
            <w:rPr>
              <w:rFonts w:ascii="Cambria Math" w:hAnsi="Cambria Math"/>
              <w:szCs w:val="22"/>
              <w:lang w:val="en-US"/>
            </w:rPr>
            <m:t>&gt; ∂</m:t>
          </m:r>
          <m:sSub>
            <m:sSubPr>
              <m:ctrlPr>
                <w:rPr>
                  <w:rFonts w:ascii="Cambria Math" w:hAnsi="Cambria Math"/>
                  <w:szCs w:val="22"/>
                  <w:lang w:val="en-US"/>
                </w:rPr>
              </m:ctrlPr>
            </m:sSubPr>
            <m:e>
              <m:r>
                <m:rPr>
                  <m:sty m:val="p"/>
                </m:rPr>
                <w:rPr>
                  <w:rFonts w:ascii="Cambria Math" w:hAnsi="Cambria Math"/>
                  <w:szCs w:val="22"/>
                  <w:lang w:val="en-US"/>
                </w:rPr>
                <m:t>A</m:t>
              </m:r>
            </m:e>
            <m:sub>
              <m:r>
                <m:rPr>
                  <m:sty m:val="p"/>
                </m:rPr>
                <w:rPr>
                  <w:rFonts w:ascii="Cambria Math" w:hAnsi="Cambria Math"/>
                  <w:szCs w:val="22"/>
                  <w:lang w:val="en-US"/>
                </w:rPr>
                <m:t>B</m:t>
              </m:r>
            </m:sub>
          </m:sSub>
          <m:d>
            <m:dPr>
              <m:ctrlPr>
                <w:rPr>
                  <w:rFonts w:ascii="Cambria Math" w:hAnsi="Cambria Math"/>
                  <w:szCs w:val="22"/>
                  <w:lang w:val="en-US"/>
                </w:rPr>
              </m:ctrlPr>
            </m:dPr>
            <m:e>
              <m:sSub>
                <m:sSubPr>
                  <m:ctrlPr>
                    <w:rPr>
                      <w:rFonts w:ascii="Cambria Math" w:hAnsi="Cambria Math"/>
                      <w:szCs w:val="22"/>
                      <w:lang w:val="en-US"/>
                    </w:rPr>
                  </m:ctrlPr>
                </m:sSubPr>
                <m:e>
                  <m:r>
                    <m:rPr>
                      <m:sty m:val="p"/>
                    </m:rPr>
                    <w:rPr>
                      <w:rFonts w:ascii="Cambria Math" w:hAnsi="Cambria Math"/>
                      <w:szCs w:val="22"/>
                      <w:lang w:val="en-US"/>
                    </w:rPr>
                    <m:t>k</m:t>
                  </m:r>
                </m:e>
                <m:sub>
                  <m:r>
                    <m:rPr>
                      <m:sty m:val="p"/>
                    </m:rPr>
                    <w:rPr>
                      <w:rFonts w:ascii="Cambria Math" w:hAnsi="Cambria Math"/>
                      <w:szCs w:val="22"/>
                      <w:lang w:val="en-US"/>
                    </w:rPr>
                    <m:t>p</m:t>
                  </m:r>
                </m:sub>
              </m:sSub>
            </m:e>
          </m:d>
        </m:oMath>
      </m:oMathPara>
    </w:p>
    <w:p w:rsidR="009701F5" w:rsidRPr="00631206" w:rsidRDefault="009701F5" w:rsidP="009701F5">
      <w:pPr>
        <w:spacing w:after="160" w:line="259" w:lineRule="auto"/>
      </w:pPr>
      <w:r w:rsidRPr="00631206">
        <w:br w:type="page"/>
      </w:r>
    </w:p>
    <w:p w:rsidR="009701F5" w:rsidRPr="00631206" w:rsidRDefault="009701F5" w:rsidP="009701F5">
      <w:pPr>
        <w:pStyle w:val="Titre1"/>
        <w:rPr>
          <w:b w:val="0"/>
          <w:bCs w:val="0"/>
          <w:i/>
        </w:rPr>
      </w:pPr>
      <w:r w:rsidRPr="00631206">
        <w:t>References</w:t>
      </w:r>
      <w:r w:rsidRPr="00631206">
        <w:rPr>
          <w:b w:val="0"/>
          <w:i/>
        </w:rPr>
        <w:t xml:space="preserve"> </w:t>
      </w:r>
      <w:r w:rsidRPr="00631206">
        <w:t>to</w:t>
      </w:r>
      <w:r w:rsidRPr="00631206">
        <w:rPr>
          <w:b w:val="0"/>
          <w:i/>
        </w:rPr>
        <w:t xml:space="preserve"> </w:t>
      </w:r>
      <w:r w:rsidRPr="00631206">
        <w:t>supplementary data</w:t>
      </w:r>
    </w:p>
    <w:p w:rsidR="00AF1EE3" w:rsidRPr="00631206" w:rsidRDefault="00AF1EE3" w:rsidP="00AF1EE3">
      <w:pPr>
        <w:spacing w:line="276" w:lineRule="auto"/>
      </w:pPr>
      <w:r w:rsidRPr="00631206">
        <w:t>[1] OECD, Test No. 105: Water Solubility, OECD Guidelines for the Testing of Chemicals, Section 1, OECD Publishing, Paris, 1995.</w:t>
      </w:r>
    </w:p>
    <w:p w:rsidR="00AF1EE3" w:rsidRPr="00631206" w:rsidRDefault="00AF1EE3" w:rsidP="00AF1EE3">
      <w:pPr>
        <w:spacing w:line="276" w:lineRule="auto"/>
      </w:pPr>
      <w:r w:rsidRPr="00631206">
        <w:t xml:space="preserve">[2] European Food Safety Authority (EFSA), H. </w:t>
      </w:r>
      <w:proofErr w:type="spellStart"/>
      <w:r w:rsidRPr="00631206">
        <w:t>Buist</w:t>
      </w:r>
      <w:proofErr w:type="spellEnd"/>
      <w:r w:rsidRPr="00631206">
        <w:t xml:space="preserve">, P. Craig, I. Dewhurst, S. </w:t>
      </w:r>
      <w:proofErr w:type="spellStart"/>
      <w:r w:rsidRPr="00631206">
        <w:t>Hougaard</w:t>
      </w:r>
      <w:proofErr w:type="spellEnd"/>
      <w:r w:rsidRPr="00631206">
        <w:t xml:space="preserve"> </w:t>
      </w:r>
      <w:proofErr w:type="spellStart"/>
      <w:r w:rsidRPr="00631206">
        <w:t>Bennekou</w:t>
      </w:r>
      <w:proofErr w:type="spellEnd"/>
      <w:r w:rsidRPr="00631206">
        <w:t xml:space="preserve">, C. </w:t>
      </w:r>
      <w:proofErr w:type="spellStart"/>
      <w:r w:rsidRPr="00631206">
        <w:t>Kneuer</w:t>
      </w:r>
      <w:proofErr w:type="spellEnd"/>
      <w:r w:rsidRPr="00631206">
        <w:t xml:space="preserve">, K. </w:t>
      </w:r>
      <w:proofErr w:type="spellStart"/>
      <w:r w:rsidRPr="00631206">
        <w:t>Machera</w:t>
      </w:r>
      <w:proofErr w:type="spellEnd"/>
      <w:r w:rsidRPr="00631206">
        <w:t xml:space="preserve">, C. Pieper, D. Court Marques, G. </w:t>
      </w:r>
      <w:proofErr w:type="spellStart"/>
      <w:r w:rsidRPr="00631206">
        <w:t>Guillot</w:t>
      </w:r>
      <w:proofErr w:type="spellEnd"/>
      <w:r w:rsidRPr="00631206">
        <w:t xml:space="preserve">, F. </w:t>
      </w:r>
      <w:proofErr w:type="spellStart"/>
      <w:r w:rsidRPr="00631206">
        <w:t>Ruffo</w:t>
      </w:r>
      <w:proofErr w:type="spellEnd"/>
      <w:r w:rsidRPr="00631206">
        <w:t xml:space="preserve">, and A. </w:t>
      </w:r>
      <w:proofErr w:type="spellStart"/>
      <w:r w:rsidRPr="00631206">
        <w:t>Chiusolo</w:t>
      </w:r>
      <w:proofErr w:type="spellEnd"/>
      <w:r w:rsidRPr="00631206">
        <w:t xml:space="preserve">, Guidance on dermal absorption, EFSA Journal 15(6):4873 (2017), </w:t>
      </w:r>
      <w:proofErr w:type="spellStart"/>
      <w:r w:rsidRPr="00631206">
        <w:t>doi</w:t>
      </w:r>
      <w:proofErr w:type="spellEnd"/>
      <w:r w:rsidRPr="00631206">
        <w:t>: 10.2903/j.efsa.2017.4873</w:t>
      </w:r>
    </w:p>
    <w:p w:rsidR="00AF1EE3" w:rsidRPr="00631206" w:rsidRDefault="00AF1EE3" w:rsidP="00AF1EE3">
      <w:pPr>
        <w:spacing w:line="276" w:lineRule="auto"/>
      </w:pPr>
      <w:r w:rsidRPr="00631206">
        <w:t>[3] European Parliament and European Council, Regulation (EC) No 1272/2008 on classification, labelling and packaging of substances and mixtures, Official Journal of the European Union, 2008.</w:t>
      </w:r>
    </w:p>
    <w:p w:rsidR="00AF1EE3" w:rsidRPr="00631206" w:rsidRDefault="00AF1EE3" w:rsidP="00AF1EE3">
      <w:pPr>
        <w:spacing w:line="276" w:lineRule="auto"/>
      </w:pPr>
      <w:r w:rsidRPr="00631206">
        <w:t xml:space="preserve">[4] H.E. </w:t>
      </w:r>
      <w:proofErr w:type="spellStart"/>
      <w:r w:rsidRPr="00631206">
        <w:t>Buist</w:t>
      </w:r>
      <w:proofErr w:type="spellEnd"/>
      <w:r w:rsidRPr="00631206">
        <w:t xml:space="preserve">, J.A. van </w:t>
      </w:r>
      <w:proofErr w:type="spellStart"/>
      <w:r w:rsidRPr="00631206">
        <w:t>Burgsteden</w:t>
      </w:r>
      <w:proofErr w:type="spellEnd"/>
      <w:r w:rsidRPr="00631206">
        <w:t xml:space="preserve">, A.P. </w:t>
      </w:r>
      <w:proofErr w:type="spellStart"/>
      <w:r w:rsidRPr="00631206">
        <w:t>Freidig</w:t>
      </w:r>
      <w:proofErr w:type="spellEnd"/>
      <w:r w:rsidRPr="00631206">
        <w:t xml:space="preserve">, W.J. Maas, and J.J. van de </w:t>
      </w:r>
      <w:proofErr w:type="spellStart"/>
      <w:r w:rsidRPr="00631206">
        <w:t>Sandt</w:t>
      </w:r>
      <w:proofErr w:type="spellEnd"/>
      <w:r w:rsidRPr="00631206">
        <w:t xml:space="preserve">, New in vitro dermal absorption database and the prediction of dermal absorption under finite conditions for risk assessment purposes, </w:t>
      </w:r>
      <w:proofErr w:type="spellStart"/>
      <w:r w:rsidRPr="00631206">
        <w:t>Regul</w:t>
      </w:r>
      <w:proofErr w:type="spellEnd"/>
      <w:r w:rsidRPr="00631206">
        <w:t xml:space="preserve">. </w:t>
      </w:r>
      <w:proofErr w:type="spellStart"/>
      <w:proofErr w:type="gramStart"/>
      <w:r w:rsidRPr="00631206">
        <w:t>Toxicol</w:t>
      </w:r>
      <w:proofErr w:type="spellEnd"/>
      <w:r w:rsidRPr="00631206">
        <w:t>.</w:t>
      </w:r>
      <w:proofErr w:type="gramEnd"/>
      <w:r w:rsidRPr="00631206">
        <w:t xml:space="preserve"> </w:t>
      </w:r>
      <w:proofErr w:type="spellStart"/>
      <w:proofErr w:type="gramStart"/>
      <w:r w:rsidRPr="00631206">
        <w:t>Pharmacol</w:t>
      </w:r>
      <w:proofErr w:type="spellEnd"/>
      <w:r w:rsidRPr="00631206">
        <w:t>.</w:t>
      </w:r>
      <w:proofErr w:type="gramEnd"/>
      <w:r w:rsidRPr="00631206">
        <w:t xml:space="preserve"> 57 (2010), pp. 200–209, </w:t>
      </w:r>
      <w:proofErr w:type="spellStart"/>
      <w:r w:rsidRPr="00631206">
        <w:t>doi</w:t>
      </w:r>
      <w:proofErr w:type="spellEnd"/>
      <w:r w:rsidRPr="00631206">
        <w:t>: 10.1016/j.yrtph.2010.02.008</w:t>
      </w:r>
    </w:p>
    <w:p w:rsidR="00AF1EE3" w:rsidRPr="00631206" w:rsidRDefault="00AF1EE3" w:rsidP="00AF1EE3">
      <w:pPr>
        <w:spacing w:line="276" w:lineRule="auto"/>
      </w:pPr>
      <w:proofErr w:type="gramStart"/>
      <w:r w:rsidRPr="00631206">
        <w:t xml:space="preserve">[5] X. Hui, Partitioning of chemicals from water into powdered human stratum </w:t>
      </w:r>
      <w:proofErr w:type="spellStart"/>
      <w:r w:rsidRPr="00631206">
        <w:t>corneum</w:t>
      </w:r>
      <w:proofErr w:type="spellEnd"/>
      <w:r w:rsidRPr="00631206">
        <w:t xml:space="preserve"> (callus) - A model study, Vitro </w:t>
      </w:r>
      <w:proofErr w:type="spellStart"/>
      <w:r w:rsidRPr="00631206">
        <w:t>Toxicol</w:t>
      </w:r>
      <w:proofErr w:type="spellEnd"/>
      <w:r w:rsidRPr="00631206">
        <w:t>.</w:t>
      </w:r>
      <w:proofErr w:type="gramEnd"/>
      <w:r w:rsidRPr="00631206">
        <w:t xml:space="preserve"> 8 (1995), pp. 159–167.</w:t>
      </w:r>
    </w:p>
    <w:p w:rsidR="009701F5" w:rsidRDefault="00AF1EE3" w:rsidP="00AF1EE3">
      <w:pPr>
        <w:spacing w:line="276" w:lineRule="auto"/>
      </w:pPr>
      <w:r w:rsidRPr="00631206">
        <w:t xml:space="preserve">[6] J. Shah, I. Kaka, S. </w:t>
      </w:r>
      <w:proofErr w:type="spellStart"/>
      <w:r w:rsidRPr="00631206">
        <w:t>Tenjarla</w:t>
      </w:r>
      <w:proofErr w:type="spellEnd"/>
      <w:r w:rsidRPr="00631206">
        <w:t xml:space="preserve">, S. W.J. Lau, and D. S.-L. Chow, Analysis of percutaneous permeation data: II. </w:t>
      </w:r>
      <w:proofErr w:type="gramStart"/>
      <w:r w:rsidRPr="00631206">
        <w:t>Evaluation of the lag time method, Int. J. Pharm. 109 (1994), pp. 283–290.</w:t>
      </w:r>
      <w:proofErr w:type="gramEnd"/>
    </w:p>
    <w:p w:rsidR="003A17D9" w:rsidRDefault="003A17D9"/>
    <w:sectPr w:rsidR="003A1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5"/>
    <w:rsid w:val="002C2617"/>
    <w:rsid w:val="003A17D9"/>
    <w:rsid w:val="00415906"/>
    <w:rsid w:val="00631206"/>
    <w:rsid w:val="00687BF7"/>
    <w:rsid w:val="00733F89"/>
    <w:rsid w:val="00906BAE"/>
    <w:rsid w:val="009701F5"/>
    <w:rsid w:val="00AF1EE3"/>
    <w:rsid w:val="00D74DA1"/>
    <w:rsid w:val="00ED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9701F5"/>
    <w:pPr>
      <w:spacing w:after="0" w:line="480" w:lineRule="auto"/>
    </w:pPr>
    <w:rPr>
      <w:rFonts w:ascii="Times New Roman" w:eastAsia="Times New Roman" w:hAnsi="Times New Roman" w:cs="Times New Roman"/>
      <w:sz w:val="24"/>
      <w:szCs w:val="24"/>
      <w:lang w:eastAsia="en-GB"/>
    </w:rPr>
  </w:style>
  <w:style w:type="paragraph" w:styleId="Titre1">
    <w:name w:val="heading 1"/>
    <w:basedOn w:val="Normal"/>
    <w:next w:val="Normal"/>
    <w:link w:val="Titre1Car"/>
    <w:qFormat/>
    <w:rsid w:val="009701F5"/>
    <w:pPr>
      <w:keepNext/>
      <w:spacing w:before="360" w:after="60" w:line="360" w:lineRule="auto"/>
      <w:ind w:right="567"/>
      <w:contextualSpacing/>
      <w:outlineLvl w:val="0"/>
    </w:pPr>
    <w:rPr>
      <w:rFonts w:cs="Arial"/>
      <w:b/>
      <w:bCs/>
      <w:kern w:val="32"/>
      <w:szCs w:val="32"/>
    </w:rPr>
  </w:style>
  <w:style w:type="paragraph" w:styleId="Titre2">
    <w:name w:val="heading 2"/>
    <w:basedOn w:val="Normal"/>
    <w:next w:val="Normal"/>
    <w:link w:val="Titre2Car"/>
    <w:qFormat/>
    <w:rsid w:val="009701F5"/>
    <w:pPr>
      <w:keepNext/>
      <w:spacing w:before="360" w:after="60" w:line="360" w:lineRule="auto"/>
      <w:ind w:right="567"/>
      <w:contextualSpacing/>
      <w:outlineLvl w:val="1"/>
    </w:pPr>
    <w:rPr>
      <w:rFonts w:cs="Arial"/>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701F5"/>
    <w:rPr>
      <w:rFonts w:ascii="Times New Roman" w:eastAsia="Times New Roman" w:hAnsi="Times New Roman" w:cs="Arial"/>
      <w:b/>
      <w:bCs/>
      <w:kern w:val="32"/>
      <w:sz w:val="24"/>
      <w:szCs w:val="32"/>
      <w:lang w:eastAsia="en-GB"/>
    </w:rPr>
  </w:style>
  <w:style w:type="character" w:customStyle="1" w:styleId="Titre2Car">
    <w:name w:val="Titre 2 Car"/>
    <w:basedOn w:val="Policepardfaut"/>
    <w:link w:val="Titre2"/>
    <w:rsid w:val="009701F5"/>
    <w:rPr>
      <w:rFonts w:ascii="Times New Roman" w:eastAsia="Times New Roman" w:hAnsi="Times New Roman" w:cs="Arial"/>
      <w:b/>
      <w:bCs/>
      <w:i/>
      <w:iCs/>
      <w:sz w:val="24"/>
      <w:szCs w:val="28"/>
      <w:lang w:eastAsia="en-GB"/>
    </w:rPr>
  </w:style>
  <w:style w:type="paragraph" w:customStyle="1" w:styleId="Numberedlist">
    <w:name w:val="Numbered list"/>
    <w:basedOn w:val="Normal"/>
    <w:next w:val="Normal"/>
    <w:qFormat/>
    <w:rsid w:val="009701F5"/>
    <w:pPr>
      <w:numPr>
        <w:numId w:val="1"/>
      </w:numPr>
      <w:spacing w:before="240" w:after="240"/>
      <w:contextualSpacing/>
    </w:pPr>
  </w:style>
  <w:style w:type="paragraph" w:styleId="Lgende">
    <w:name w:val="caption"/>
    <w:basedOn w:val="Normal"/>
    <w:next w:val="Normal"/>
    <w:autoRedefine/>
    <w:uiPriority w:val="35"/>
    <w:unhideWhenUsed/>
    <w:qFormat/>
    <w:rsid w:val="009701F5"/>
    <w:pPr>
      <w:keepNext/>
      <w:spacing w:before="120" w:after="240" w:line="240" w:lineRule="auto"/>
      <w:ind w:right="-32"/>
      <w:jc w:val="right"/>
    </w:pPr>
    <w:rPr>
      <w:rFonts w:eastAsiaTheme="minorHAnsi" w:cstheme="minorBidi"/>
      <w:b/>
      <w:iCs/>
      <w:color w:val="262626" w:themeColor="text1" w:themeTint="D9"/>
      <w:sz w:val="22"/>
      <w:szCs w:val="22"/>
      <w:lang w:val="en-US" w:eastAsia="en-US"/>
    </w:rPr>
  </w:style>
  <w:style w:type="paragraph" w:styleId="Bibliographie">
    <w:name w:val="Bibliography"/>
    <w:basedOn w:val="Normal"/>
    <w:next w:val="Normal"/>
    <w:unhideWhenUsed/>
    <w:rsid w:val="009701F5"/>
    <w:pPr>
      <w:tabs>
        <w:tab w:val="left" w:pos="384"/>
      </w:tabs>
      <w:spacing w:line="240" w:lineRule="auto"/>
      <w:ind w:left="384" w:hanging="384"/>
    </w:pPr>
  </w:style>
  <w:style w:type="paragraph" w:styleId="Textedebulles">
    <w:name w:val="Balloon Text"/>
    <w:basedOn w:val="Normal"/>
    <w:link w:val="TextedebullesCar"/>
    <w:uiPriority w:val="99"/>
    <w:semiHidden/>
    <w:unhideWhenUsed/>
    <w:rsid w:val="009701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1F5"/>
    <w:rPr>
      <w:rFonts w:ascii="Tahoma" w:eastAsia="Times New Roman" w:hAnsi="Tahoma" w:cs="Tahoma"/>
      <w:sz w:val="16"/>
      <w:szCs w:val="16"/>
      <w:lang w:eastAsia="en-GB"/>
    </w:rPr>
  </w:style>
  <w:style w:type="table" w:styleId="Grilledutableau">
    <w:name w:val="Table Grid"/>
    <w:basedOn w:val="TableauNormal"/>
    <w:uiPriority w:val="59"/>
    <w:rsid w:val="0073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9701F5"/>
    <w:pPr>
      <w:spacing w:after="0" w:line="480" w:lineRule="auto"/>
    </w:pPr>
    <w:rPr>
      <w:rFonts w:ascii="Times New Roman" w:eastAsia="Times New Roman" w:hAnsi="Times New Roman" w:cs="Times New Roman"/>
      <w:sz w:val="24"/>
      <w:szCs w:val="24"/>
      <w:lang w:eastAsia="en-GB"/>
    </w:rPr>
  </w:style>
  <w:style w:type="paragraph" w:styleId="Titre1">
    <w:name w:val="heading 1"/>
    <w:basedOn w:val="Normal"/>
    <w:next w:val="Normal"/>
    <w:link w:val="Titre1Car"/>
    <w:qFormat/>
    <w:rsid w:val="009701F5"/>
    <w:pPr>
      <w:keepNext/>
      <w:spacing w:before="360" w:after="60" w:line="360" w:lineRule="auto"/>
      <w:ind w:right="567"/>
      <w:contextualSpacing/>
      <w:outlineLvl w:val="0"/>
    </w:pPr>
    <w:rPr>
      <w:rFonts w:cs="Arial"/>
      <w:b/>
      <w:bCs/>
      <w:kern w:val="32"/>
      <w:szCs w:val="32"/>
    </w:rPr>
  </w:style>
  <w:style w:type="paragraph" w:styleId="Titre2">
    <w:name w:val="heading 2"/>
    <w:basedOn w:val="Normal"/>
    <w:next w:val="Normal"/>
    <w:link w:val="Titre2Car"/>
    <w:qFormat/>
    <w:rsid w:val="009701F5"/>
    <w:pPr>
      <w:keepNext/>
      <w:spacing w:before="360" w:after="60" w:line="360" w:lineRule="auto"/>
      <w:ind w:right="567"/>
      <w:contextualSpacing/>
      <w:outlineLvl w:val="1"/>
    </w:pPr>
    <w:rPr>
      <w:rFonts w:cs="Arial"/>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701F5"/>
    <w:rPr>
      <w:rFonts w:ascii="Times New Roman" w:eastAsia="Times New Roman" w:hAnsi="Times New Roman" w:cs="Arial"/>
      <w:b/>
      <w:bCs/>
      <w:kern w:val="32"/>
      <w:sz w:val="24"/>
      <w:szCs w:val="32"/>
      <w:lang w:eastAsia="en-GB"/>
    </w:rPr>
  </w:style>
  <w:style w:type="character" w:customStyle="1" w:styleId="Titre2Car">
    <w:name w:val="Titre 2 Car"/>
    <w:basedOn w:val="Policepardfaut"/>
    <w:link w:val="Titre2"/>
    <w:rsid w:val="009701F5"/>
    <w:rPr>
      <w:rFonts w:ascii="Times New Roman" w:eastAsia="Times New Roman" w:hAnsi="Times New Roman" w:cs="Arial"/>
      <w:b/>
      <w:bCs/>
      <w:i/>
      <w:iCs/>
      <w:sz w:val="24"/>
      <w:szCs w:val="28"/>
      <w:lang w:eastAsia="en-GB"/>
    </w:rPr>
  </w:style>
  <w:style w:type="paragraph" w:customStyle="1" w:styleId="Numberedlist">
    <w:name w:val="Numbered list"/>
    <w:basedOn w:val="Normal"/>
    <w:next w:val="Normal"/>
    <w:qFormat/>
    <w:rsid w:val="009701F5"/>
    <w:pPr>
      <w:numPr>
        <w:numId w:val="1"/>
      </w:numPr>
      <w:spacing w:before="240" w:after="240"/>
      <w:contextualSpacing/>
    </w:pPr>
  </w:style>
  <w:style w:type="paragraph" w:styleId="Lgende">
    <w:name w:val="caption"/>
    <w:basedOn w:val="Normal"/>
    <w:next w:val="Normal"/>
    <w:autoRedefine/>
    <w:uiPriority w:val="35"/>
    <w:unhideWhenUsed/>
    <w:qFormat/>
    <w:rsid w:val="009701F5"/>
    <w:pPr>
      <w:keepNext/>
      <w:spacing w:before="120" w:after="240" w:line="240" w:lineRule="auto"/>
      <w:ind w:right="-32"/>
      <w:jc w:val="right"/>
    </w:pPr>
    <w:rPr>
      <w:rFonts w:eastAsiaTheme="minorHAnsi" w:cstheme="minorBidi"/>
      <w:b/>
      <w:iCs/>
      <w:color w:val="262626" w:themeColor="text1" w:themeTint="D9"/>
      <w:sz w:val="22"/>
      <w:szCs w:val="22"/>
      <w:lang w:val="en-US" w:eastAsia="en-US"/>
    </w:rPr>
  </w:style>
  <w:style w:type="paragraph" w:styleId="Bibliographie">
    <w:name w:val="Bibliography"/>
    <w:basedOn w:val="Normal"/>
    <w:next w:val="Normal"/>
    <w:unhideWhenUsed/>
    <w:rsid w:val="009701F5"/>
    <w:pPr>
      <w:tabs>
        <w:tab w:val="left" w:pos="384"/>
      </w:tabs>
      <w:spacing w:line="240" w:lineRule="auto"/>
      <w:ind w:left="384" w:hanging="384"/>
    </w:pPr>
  </w:style>
  <w:style w:type="paragraph" w:styleId="Textedebulles">
    <w:name w:val="Balloon Text"/>
    <w:basedOn w:val="Normal"/>
    <w:link w:val="TextedebullesCar"/>
    <w:uiPriority w:val="99"/>
    <w:semiHidden/>
    <w:unhideWhenUsed/>
    <w:rsid w:val="009701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1F5"/>
    <w:rPr>
      <w:rFonts w:ascii="Tahoma" w:eastAsia="Times New Roman" w:hAnsi="Tahoma" w:cs="Tahoma"/>
      <w:sz w:val="16"/>
      <w:szCs w:val="16"/>
      <w:lang w:eastAsia="en-GB"/>
    </w:rPr>
  </w:style>
  <w:style w:type="table" w:styleId="Grilledutableau">
    <w:name w:val="Table Grid"/>
    <w:basedOn w:val="TableauNormal"/>
    <w:uiPriority w:val="59"/>
    <w:rsid w:val="0073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apidtables.com/convert/temperature/celsius.htm"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hyperlink" Target="http://www.rapidtables.com/convert/temperature/celsius.htm"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2480</Words>
  <Characters>13644</Characters>
  <Application>Microsoft Office Word</Application>
  <DocSecurity>0</DocSecurity>
  <Lines>113</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Bundesinstitut fuer Risikobewertung</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Eleftheriadou</dc:creator>
  <cp:lastModifiedBy>James</cp:lastModifiedBy>
  <cp:revision>3</cp:revision>
  <dcterms:created xsi:type="dcterms:W3CDTF">2019-07-13T13:57:00Z</dcterms:created>
  <dcterms:modified xsi:type="dcterms:W3CDTF">2019-07-13T13:57:00Z</dcterms:modified>
</cp:coreProperties>
</file>