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EA" w:rsidRDefault="00B116EA" w:rsidP="00B116EA">
      <w:r>
        <w:rPr>
          <w:b/>
        </w:rPr>
        <w:t>SUPPORTING INFORMATION</w:t>
      </w:r>
      <w:r>
        <w:rPr>
          <w:rStyle w:val="10"/>
          <w:rFonts w:eastAsia="ＭＳ 明朝"/>
          <w:caps w:val="0"/>
        </w:rPr>
        <w:t xml:space="preserve"> </w:t>
      </w:r>
    </w:p>
    <w:p w:rsidR="00B116EA" w:rsidRDefault="00B116EA" w:rsidP="00B116EA">
      <w:pPr>
        <w:rPr>
          <w:b/>
        </w:rPr>
      </w:pPr>
      <w:r>
        <w:rPr>
          <w:b/>
        </w:rPr>
        <w:t>Exclusion Criteria</w:t>
      </w:r>
    </w:p>
    <w:p w:rsidR="00B116EA" w:rsidRDefault="00B116EA" w:rsidP="00B116EA">
      <w:r>
        <w:t xml:space="preserve">Patients with any of the following criteria were excluded from the study: 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Type 1 diabetes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Proliferative diabetic retinopathy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Treatment with insulin &lt;12 weeks before enrollment 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History of clinically significant renal disease (e.g., </w:t>
      </w:r>
      <w:proofErr w:type="spellStart"/>
      <w:r>
        <w:t>renovascular</w:t>
      </w:r>
      <w:proofErr w:type="spellEnd"/>
      <w:r>
        <w:t xml:space="preserve"> occlusive disease, nephrectomy, or renal transplant), significant dysuria caused by neurogenic bladder or benign prostatic hypertrophy, for example; urinary tract infection or genital infection 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Chronic disease requiring continuous use of systemic corticosteroids, </w:t>
      </w:r>
      <w:proofErr w:type="spellStart"/>
      <w:r>
        <w:t>immunosuppressants</w:t>
      </w:r>
      <w:proofErr w:type="spellEnd"/>
      <w:r>
        <w:t>, or loop diuretics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History of cerebrovascular attack, unstable angina, myocardial infarction, angioplasty, or serious cardiac diseases (New York Heart Association class III–IV) &lt;12 weeks before enrollment 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Serious cardiovascular or cerebrovascular disease that might affect the administration of the study drugs or safety assessments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Uncontrollable psychiatric disorder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Pregnant females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Females wishing to become pregnant or unwilling to use appropriate contraception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Males unwilling to use appropriate contraception 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Severe trauma, severe infection, or perioperative stage 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History of drug addiction or alcohol abuse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lastRenderedPageBreak/>
        <w:t xml:space="preserve">Malignant tumor, benign </w:t>
      </w:r>
      <w:proofErr w:type="spellStart"/>
      <w:r>
        <w:t>pheochromocytoma</w:t>
      </w:r>
      <w:proofErr w:type="spellEnd"/>
      <w:r>
        <w:t xml:space="preserve"> or a history of malignant tumor or benign </w:t>
      </w:r>
      <w:proofErr w:type="spellStart"/>
      <w:r>
        <w:t>pheochromocytoma</w:t>
      </w:r>
      <w:proofErr w:type="spellEnd"/>
      <w:r>
        <w:t xml:space="preserve"> (except patients who had not received treatment for ≥5 years or were unlikely to have recurrence)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Known or suspected hypersensitivity to </w:t>
      </w:r>
      <w:proofErr w:type="spellStart"/>
      <w:r>
        <w:t>ipragliflozin</w:t>
      </w:r>
      <w:proofErr w:type="spellEnd"/>
      <w:r>
        <w:t xml:space="preserve"> or other SGLT2 inhibitors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Prior treatment with </w:t>
      </w:r>
      <w:proofErr w:type="spellStart"/>
      <w:r>
        <w:t>ipragliflozin</w:t>
      </w:r>
      <w:proofErr w:type="spellEnd"/>
      <w:r>
        <w:t>; prior or current participation in another clinical study, post-marketing study or medical device study &lt;12 weeks before enrollment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Inability or unwillingness to adhere to the study protocol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Serum creatinine exceeding the upper limit of normal (ULN) 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 xml:space="preserve">Urinary </w:t>
      </w:r>
      <w:proofErr w:type="spellStart"/>
      <w:r>
        <w:t>microalbumin</w:t>
      </w:r>
      <w:proofErr w:type="spellEnd"/>
      <w:r>
        <w:t>/creatinine ratio &gt;300 mg/g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Estimated glomerular filtration rate (</w:t>
      </w:r>
      <w:proofErr w:type="spellStart"/>
      <w:r>
        <w:t>eGFR</w:t>
      </w:r>
      <w:proofErr w:type="spellEnd"/>
      <w:r>
        <w:t>) &lt; 60 mL/min/1.73 m</w:t>
      </w:r>
      <w:r>
        <w:rPr>
          <w:vertAlign w:val="superscript"/>
        </w:rPr>
        <w:t>2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Aspartate aminotransferase (AST) or alanine aminotransferase (ALT) &gt;3 times the ULN, or total bilirubin level &gt;2 times the ULN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Uncontrollable severe hypertension (systolic blood pressure ≥ 180 mmHg or diastolic blood pressure ≥ 110 mmHg)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Severe gastrointestinal disease or a history of surgery for serious gastrointestinal disease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Presence or history of diabetic ketoacidosis or lactic acidosis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Current hepatitis or a carrier of hepatitis B surface antigen, hepatitis C virus antibody, or known to be positive for human immunodeficiency virus (HIV) -1 and/or HIV-2</w:t>
      </w:r>
    </w:p>
    <w:p w:rsidR="00B116EA" w:rsidRDefault="00B116EA" w:rsidP="00B116EA">
      <w:pPr>
        <w:pStyle w:val="a3"/>
        <w:numPr>
          <w:ilvl w:val="0"/>
          <w:numId w:val="1"/>
        </w:numPr>
      </w:pPr>
      <w:r>
        <w:t>Patients with a clinical condition which, in the opinion of the investigator, would not allow safe conduct of the study</w:t>
      </w:r>
    </w:p>
    <w:p w:rsidR="00B116EA" w:rsidRDefault="00B116EA" w:rsidP="00B116EA"/>
    <w:p w:rsidR="00D709C5" w:rsidRPr="0026094C" w:rsidRDefault="00D709C5" w:rsidP="0026094C">
      <w:pPr>
        <w:spacing w:line="240" w:lineRule="auto"/>
        <w:rPr>
          <w:b/>
        </w:rPr>
      </w:pPr>
      <w:bookmarkStart w:id="0" w:name="_GoBack"/>
      <w:bookmarkEnd w:id="0"/>
    </w:p>
    <w:sectPr w:rsidR="00D709C5" w:rsidRPr="0026094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BB" w:rsidRDefault="002A19BB" w:rsidP="0026094C">
      <w:pPr>
        <w:spacing w:line="240" w:lineRule="auto"/>
      </w:pPr>
      <w:r>
        <w:separator/>
      </w:r>
    </w:p>
  </w:endnote>
  <w:endnote w:type="continuationSeparator" w:id="0">
    <w:p w:rsidR="002A19BB" w:rsidRDefault="002A19BB" w:rsidP="00260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BB" w:rsidRDefault="002A19BB" w:rsidP="0026094C">
      <w:pPr>
        <w:spacing w:line="240" w:lineRule="auto"/>
      </w:pPr>
      <w:r>
        <w:separator/>
      </w:r>
    </w:p>
  </w:footnote>
  <w:footnote w:type="continuationSeparator" w:id="0">
    <w:p w:rsidR="002A19BB" w:rsidRDefault="002A19BB" w:rsidP="00260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1E7"/>
    <w:multiLevelType w:val="hybridMultilevel"/>
    <w:tmpl w:val="529E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EA"/>
    <w:rsid w:val="000D2025"/>
    <w:rsid w:val="0026094C"/>
    <w:rsid w:val="00266A4B"/>
    <w:rsid w:val="002A19BB"/>
    <w:rsid w:val="00B116EA"/>
    <w:rsid w:val="00D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EA"/>
    <w:pPr>
      <w:spacing w:after="0" w:line="480" w:lineRule="auto"/>
    </w:pPr>
    <w:rPr>
      <w:rFonts w:ascii="Arial" w:eastAsia="ＭＳ 明朝" w:hAnsi="Arial" w:cs="Times New Roman"/>
    </w:rPr>
  </w:style>
  <w:style w:type="paragraph" w:styleId="1">
    <w:name w:val="heading 1"/>
    <w:basedOn w:val="a"/>
    <w:next w:val="a"/>
    <w:link w:val="10"/>
    <w:uiPriority w:val="9"/>
    <w:qFormat/>
    <w:rsid w:val="00B116EA"/>
    <w:pPr>
      <w:keepNext/>
      <w:outlineLvl w:val="0"/>
    </w:pPr>
    <w:rPr>
      <w:rFonts w:eastAsia="Times New Roman"/>
      <w:b/>
      <w:bCs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16EA"/>
    <w:rPr>
      <w:rFonts w:ascii="Arial" w:eastAsia="Times New Roman" w:hAnsi="Arial" w:cs="Times New Roman"/>
      <w:b/>
      <w:bCs/>
      <w:caps/>
      <w:sz w:val="24"/>
      <w:szCs w:val="32"/>
    </w:rPr>
  </w:style>
  <w:style w:type="paragraph" w:styleId="a3">
    <w:name w:val="List Paragraph"/>
    <w:basedOn w:val="a"/>
    <w:uiPriority w:val="34"/>
    <w:qFormat/>
    <w:rsid w:val="00B116EA"/>
    <w:pPr>
      <w:ind w:left="720"/>
      <w:contextualSpacing/>
    </w:pPr>
  </w:style>
  <w:style w:type="table" w:styleId="a4">
    <w:name w:val="Table Grid"/>
    <w:basedOn w:val="a1"/>
    <w:uiPriority w:val="59"/>
    <w:rsid w:val="00B116EA"/>
    <w:pPr>
      <w:spacing w:after="0" w:line="240" w:lineRule="auto"/>
    </w:pPr>
    <w:rPr>
      <w:rFonts w:ascii="Calibri" w:eastAsia="ＭＳ 明朝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94C"/>
    <w:pPr>
      <w:tabs>
        <w:tab w:val="center" w:pos="4419"/>
        <w:tab w:val="right" w:pos="8838"/>
      </w:tabs>
      <w:spacing w:line="240" w:lineRule="auto"/>
    </w:pPr>
  </w:style>
  <w:style w:type="character" w:customStyle="1" w:styleId="a6">
    <w:name w:val="ヘッダー (文字)"/>
    <w:basedOn w:val="a0"/>
    <w:link w:val="a5"/>
    <w:uiPriority w:val="99"/>
    <w:rsid w:val="0026094C"/>
    <w:rPr>
      <w:rFonts w:ascii="Arial" w:eastAsia="ＭＳ 明朝" w:hAnsi="Arial" w:cs="Times New Roman"/>
    </w:rPr>
  </w:style>
  <w:style w:type="paragraph" w:styleId="a7">
    <w:name w:val="footer"/>
    <w:basedOn w:val="a"/>
    <w:link w:val="a8"/>
    <w:uiPriority w:val="99"/>
    <w:unhideWhenUsed/>
    <w:rsid w:val="0026094C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フッター (文字)"/>
    <w:basedOn w:val="a0"/>
    <w:link w:val="a7"/>
    <w:uiPriority w:val="99"/>
    <w:rsid w:val="0026094C"/>
    <w:rPr>
      <w:rFonts w:ascii="Arial" w:eastAsia="ＭＳ 明朝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EA"/>
    <w:pPr>
      <w:spacing w:after="0" w:line="480" w:lineRule="auto"/>
    </w:pPr>
    <w:rPr>
      <w:rFonts w:ascii="Arial" w:eastAsia="ＭＳ 明朝" w:hAnsi="Arial" w:cs="Times New Roman"/>
    </w:rPr>
  </w:style>
  <w:style w:type="paragraph" w:styleId="1">
    <w:name w:val="heading 1"/>
    <w:basedOn w:val="a"/>
    <w:next w:val="a"/>
    <w:link w:val="10"/>
    <w:uiPriority w:val="9"/>
    <w:qFormat/>
    <w:rsid w:val="00B116EA"/>
    <w:pPr>
      <w:keepNext/>
      <w:outlineLvl w:val="0"/>
    </w:pPr>
    <w:rPr>
      <w:rFonts w:eastAsia="Times New Roman"/>
      <w:b/>
      <w:bCs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16EA"/>
    <w:rPr>
      <w:rFonts w:ascii="Arial" w:eastAsia="Times New Roman" w:hAnsi="Arial" w:cs="Times New Roman"/>
      <w:b/>
      <w:bCs/>
      <w:caps/>
      <w:sz w:val="24"/>
      <w:szCs w:val="32"/>
    </w:rPr>
  </w:style>
  <w:style w:type="paragraph" w:styleId="a3">
    <w:name w:val="List Paragraph"/>
    <w:basedOn w:val="a"/>
    <w:uiPriority w:val="34"/>
    <w:qFormat/>
    <w:rsid w:val="00B116EA"/>
    <w:pPr>
      <w:ind w:left="720"/>
      <w:contextualSpacing/>
    </w:pPr>
  </w:style>
  <w:style w:type="table" w:styleId="a4">
    <w:name w:val="Table Grid"/>
    <w:basedOn w:val="a1"/>
    <w:uiPriority w:val="59"/>
    <w:rsid w:val="00B116EA"/>
    <w:pPr>
      <w:spacing w:after="0" w:line="240" w:lineRule="auto"/>
    </w:pPr>
    <w:rPr>
      <w:rFonts w:ascii="Calibri" w:eastAsia="ＭＳ 明朝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094C"/>
    <w:pPr>
      <w:tabs>
        <w:tab w:val="center" w:pos="4419"/>
        <w:tab w:val="right" w:pos="8838"/>
      </w:tabs>
      <w:spacing w:line="240" w:lineRule="auto"/>
    </w:pPr>
  </w:style>
  <w:style w:type="character" w:customStyle="1" w:styleId="a6">
    <w:name w:val="ヘッダー (文字)"/>
    <w:basedOn w:val="a0"/>
    <w:link w:val="a5"/>
    <w:uiPriority w:val="99"/>
    <w:rsid w:val="0026094C"/>
    <w:rPr>
      <w:rFonts w:ascii="Arial" w:eastAsia="ＭＳ 明朝" w:hAnsi="Arial" w:cs="Times New Roman"/>
    </w:rPr>
  </w:style>
  <w:style w:type="paragraph" w:styleId="a7">
    <w:name w:val="footer"/>
    <w:basedOn w:val="a"/>
    <w:link w:val="a8"/>
    <w:uiPriority w:val="99"/>
    <w:unhideWhenUsed/>
    <w:rsid w:val="0026094C"/>
    <w:pPr>
      <w:tabs>
        <w:tab w:val="center" w:pos="4419"/>
        <w:tab w:val="right" w:pos="8838"/>
      </w:tabs>
      <w:spacing w:line="240" w:lineRule="auto"/>
    </w:pPr>
  </w:style>
  <w:style w:type="character" w:customStyle="1" w:styleId="a8">
    <w:name w:val="フッター (文字)"/>
    <w:basedOn w:val="a0"/>
    <w:link w:val="a7"/>
    <w:uiPriority w:val="99"/>
    <w:rsid w:val="0026094C"/>
    <w:rPr>
      <w:rFonts w:ascii="Arial" w:eastAsia="ＭＳ 明朝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Mitani, Kimiko</dc:creator>
  <cp:lastModifiedBy>Mitani, Kimiko</cp:lastModifiedBy>
  <cp:revision>4</cp:revision>
  <dcterms:created xsi:type="dcterms:W3CDTF">2015-04-10T05:48:00Z</dcterms:created>
  <dcterms:modified xsi:type="dcterms:W3CDTF">2015-04-16T03:04:00Z</dcterms:modified>
</cp:coreProperties>
</file>