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CC2" w:rsidRDefault="001B5CC2" w:rsidP="001B5CC2">
      <w:pPr>
        <w:jc w:val="center"/>
        <w:rPr>
          <w:b/>
        </w:rPr>
      </w:pPr>
      <w:r w:rsidRPr="001B5CC2">
        <w:rPr>
          <w:b/>
        </w:rPr>
        <w:t>Supplementary Materials: Changing emotional visual and auditory memories: Are modality-matched dual tasks more effective?</w:t>
      </w:r>
    </w:p>
    <w:p w:rsidR="00E02464" w:rsidRPr="001B5CC2" w:rsidRDefault="008A6CAB">
      <w:pPr>
        <w:rPr>
          <w:b/>
        </w:rPr>
      </w:pPr>
      <w:r w:rsidRPr="001B5CC2">
        <w:rPr>
          <w:b/>
        </w:rPr>
        <w:t xml:space="preserve">Supplement 1: </w:t>
      </w:r>
      <w:r w:rsidR="008A35F7" w:rsidRPr="001B5CC2">
        <w:rPr>
          <w:b/>
        </w:rPr>
        <w:t>Detailed description of</w:t>
      </w:r>
      <w:r w:rsidRPr="001B5CC2">
        <w:rPr>
          <w:b/>
        </w:rPr>
        <w:t xml:space="preserve"> the </w:t>
      </w:r>
      <w:r w:rsidR="00BD56C5" w:rsidRPr="00BD56C5">
        <w:rPr>
          <w:b/>
        </w:rPr>
        <w:t>preliminary</w:t>
      </w:r>
      <w:r w:rsidRPr="001B5CC2">
        <w:rPr>
          <w:b/>
        </w:rPr>
        <w:t xml:space="preserve"> study</w:t>
      </w:r>
    </w:p>
    <w:p w:rsidR="008A6CAB" w:rsidRPr="006F09B9" w:rsidRDefault="008A6CAB">
      <w:r>
        <w:t xml:space="preserve">The motivation for conducting a </w:t>
      </w:r>
      <w:r w:rsidR="00BD56C5" w:rsidRPr="00BD56C5">
        <w:t>preliminary</w:t>
      </w:r>
      <w:bookmarkStart w:id="0" w:name="_GoBack"/>
      <w:bookmarkEnd w:id="0"/>
      <w:r>
        <w:t xml:space="preserve"> study was to try and equate the difficulty of the visual and auditory task used in the main experiments. The used tasks were adopted from an earlier study investigating modality-specific interference with emotional future thoughts in public speaking anxiety </w:t>
      </w:r>
      <w:r>
        <w:fldChar w:fldCharType="begin" w:fldLock="1"/>
      </w:r>
      <w:r w:rsidR="006F09B9">
        <w:instrText>ADDIN CSL_CITATION {"citationItems":[{"id":"ITEM-1","itemData":{"DOI":"10.1016/j.jbtep.2015.05.004","ISSN":"00057916","PMID":"26100455","abstract":"Abstract Background and objectives This study sought to reconcile two lines of research. Previous studies have identified a prevalent and causal role of negative imagery in social phobia and public speaking anxiety; others have demonstrated that lateral eye movements during visualisation of imagery reduce its vividness, most likely by loading the visuospatial sketchpad of working memory. It was hypothesised that using eye movements to reduce the intensity of negative imagery associated with public speaking may reduce anxiety resulting from imagining a public speaking scenario compared to an auditory control task. Methods Forty undergraduate students scoring high in anxiety on the Personal Report of Confidence as a Speaker scale took part. A semi-structured interview established an image that represented the participant's public speaking anxiety, which was then visualised during an eye movement task or a matched auditory task. Reactions to imagining a hypothetical but realistic public speaking scenario were measured. Results As hypothesised, representative imagery was established and reduced in vividness more effectively by the eye movement task than the auditory task. The public speaking scenario was then visualised less vividly and generated less anxiety when imagined after performing the eye movement task than after the auditory task. Limitations Self-report measures and a hypothetical scenario rather than actual public speaking were used. Replication is required in larger as well as clinical samples. Conclusions Visuospatial working memory tasks may preferentially reduce anxiety associated with personal images of feared events, and thus provide cognitive resistance which reduces emotional reactions to imagined, and potentially real-life future stressful experiences.","author":[{"dropping-particle":"","family":"Homer","given":"Sophie R.","non-dropping-particle":"","parse-names":false,"suffix":""},{"dropping-particle":"","family":"Deeprose","given":"Catherine","non-dropping-particle":"","parse-names":false,"suffix":""},{"dropping-particle":"","family":"Andrade","given":"Jackie","non-dropping-particle":"","parse-names":false,"suffix":""}],"container-title":"Journal of Behavior Therapy and Experimental Psychiatry","id":"ITEM-1","issued":{"date-parts":[["2016","3"]]},"page":"77-82","publisher":"Elsevier Ltd","title":"Negative mental imagery in public speaking anxiety: Forming cognitive resistance by taxing visuospatial working memory","type":"article-journal","volume":"50"},"uris":["http://www.mendeley.com/documents/?uuid=af7b63c7-4823-408b-ad46-2df0d4a9d2c5"]}],"mendeley":{"formattedCitation":"(Homer, Deeprose, &amp; Andrade, 2016)","plainTextFormattedCitation":"(Homer, Deeprose, &amp; Andrade, 2016)","previouslyFormattedCitation":"(Homer, Deeprose, &amp; Andrade, 2016)"},"properties":{"noteIndex":0},"schema":"https://github.com/citation-style-language/schema/raw/master/csl-citation.json"}</w:instrText>
      </w:r>
      <w:r>
        <w:fldChar w:fldCharType="separate"/>
      </w:r>
      <w:r w:rsidRPr="008A6CAB">
        <w:rPr>
          <w:noProof/>
        </w:rPr>
        <w:t>(Homer, Deeprose, &amp; Andrade, 2016)</w:t>
      </w:r>
      <w:r>
        <w:fldChar w:fldCharType="end"/>
      </w:r>
      <w:r>
        <w:t>. In this study, it was reported that participants rated the visual and auditory task as equally difficult (</w:t>
      </w:r>
      <w:r w:rsidRPr="008A6CAB">
        <w:rPr>
          <w:i/>
        </w:rPr>
        <w:t>t</w:t>
      </w:r>
      <w:r w:rsidRPr="008A6CAB">
        <w:t xml:space="preserve">(11) </w:t>
      </w:r>
      <w:r>
        <w:t>=</w:t>
      </w:r>
      <w:r w:rsidRPr="008A6CAB">
        <w:t xml:space="preserve"> 1.39, </w:t>
      </w:r>
      <w:r w:rsidRPr="008A6CAB">
        <w:rPr>
          <w:i/>
        </w:rPr>
        <w:t>p</w:t>
      </w:r>
      <w:r w:rsidRPr="008A6CAB">
        <w:t xml:space="preserve"> </w:t>
      </w:r>
      <w:r>
        <w:t>=</w:t>
      </w:r>
      <w:r w:rsidRPr="008A6CAB">
        <w:t xml:space="preserve"> .191</w:t>
      </w:r>
      <w:r>
        <w:t xml:space="preserve">). However, </w:t>
      </w:r>
      <w:r w:rsidR="006F09B9">
        <w:t xml:space="preserve">a project by a visiting PhD student (Adam Stewart; Plymouth University) in our lab indicated that these two tasks were in fact not equated when using an objective (rather than </w:t>
      </w:r>
      <w:r w:rsidR="00B749F2">
        <w:t xml:space="preserve">a </w:t>
      </w:r>
      <w:r w:rsidR="006F09B9">
        <w:t xml:space="preserve">self-report) measure of cognitive load, the Random Interval Repetition (RIR) task </w:t>
      </w:r>
      <w:r w:rsidR="006F09B9">
        <w:fldChar w:fldCharType="begin" w:fldLock="1"/>
      </w:r>
      <w:r w:rsidR="006F09B9">
        <w:instrText>ADDIN CSL_CITATION {"citationItems":[{"id":"ITEM-1","itemData":{"DOI":"10.1016/j.brat.2010.11.003","ISBN":"0005-7967","ISSN":"00057967","PMID":"21147478","abstract":"Posttraumatic stress disorder (PTSD) is effectively treated with eye movement desensitization and reprocessing (EMDR) with patients making eye movements during recall of traumatic memories. Many therapists have replaced eye movements with bilateral beeps, but there are no data on the effects of beeps. Experimental studies suggest that eye movements may be beneficial because they tax working memory, especially the central executive component, but the presence/degree of taxation has not been assessed directly. Using discrimination Reaction Time (RT) tasks, we found that eye movements slow down RTs to auditive cues (experiment I), but binaural beeps do not slow down RTs to visual cues (experiment II). In an arguably more sensitive \"Random Interval Repetition\" task using tactile stimulation, working memory taxation of beeps and eye movements were directly compared. RTs slowed down during beeps, but the effects were much stronger for eye movements (experiment III). The same pattern was observed in a memory experiment with healthy volunteers (experiment IV): vividness of negative memories was reduced after both beeps and eye movements, but effects were larger for eye movements. Findings support a working memory account of EMDR and suggest that effects of beeps on negative memories are inferior to those of eye movements. ?? 2010 Elsevier Ltd.","author":[{"dropping-particle":"","family":"Hout","given":"Marcel A.","non-dropping-particle":"van den","parse-names":false,"suffix":""},{"dropping-particle":"","family":"Engelhard","given":"Iris M.","non-dropping-particle":"","parse-names":false,"suffix":""},{"dropping-particle":"","family":"Rijkeboer","given":"Marleen M.","non-dropping-particle":"","parse-names":false,"suffix":""},{"dropping-particle":"","family":"Koekebakker","given":"Jutte","non-dropping-particle":"","parse-names":false,"suffix":""},{"dropping-particle":"","family":"Hornsveld","given":"Hellen","non-dropping-particle":"","parse-names":false,"suffix":""},{"dropping-particle":"","family":"Leer","given":"Arne","non-dropping-particle":"","parse-names":false,"suffix":""},{"dropping-particle":"","family":"Toffolo","given":"Marieke B.J.","non-dropping-particle":"","parse-names":false,"suffix":""},{"dropping-particle":"","family":"Akse","given":"Nienke","non-dropping-particle":"","parse-names":false,"suffix":""}],"container-title":"Behaviour Research and Therapy","id":"ITEM-1","issue":"2","issued":{"date-parts":[["2011","2"]]},"page":"92-98","publisher":"Elsevier Ltd","title":"EMDR: Eye movements su</w:instrText>
      </w:r>
      <w:r w:rsidR="006F09B9" w:rsidRPr="006F09B9">
        <w:rPr>
          <w:lang w:val="nl-NL"/>
        </w:rPr>
        <w:instrText>perior to beeps in taxing working memory and reducing vividness of recollections","type":"article-journal","volume":"49"},"uris":["http://www.mendeley.com/documents/?uuid=36ab0f2d-4367-464d-8519-44d58341eda5"]},{"id":"ITEM-2","itemData":{"DOI":"10.1080/713755748","ISSN":"0272-4987","author":[{"dropping-particle":"","family":"Vandierendonck","given":"André","non-dropping-particle":"","parse-names":false,"suffix":""},{"dropping-particle":"","family":"Vooght","given":"Gino","non-dropping-particle":"De","parse-names":false,"suffix":""},{"dropping-particle":"","family":"Goten","given":"Koen","non-dropping-particle":"Van der","parse-names":false,"suffix":""}],"container-title":"The Quarterly Journal of Experimental Psychology Section A","id":"ITEM-2","issue":"1","issued":{"date-parts":[["1998","2"]]},"page":"197-218","title":"Interfering with the Central Executive by Means of a Random Interval Repetition Task","type":"article-journal","volume":"51"},"uris":["http://www.mendeley.com/documents/?uuid=f08c674a-73c7-4b9b-974b-5a4f495cafea"]}],"mendeley":{"formattedCitation":"(van den Hout et al., 2011; Vandierendonck, De Vooght, &amp; Van der Goten, 1998)","plainTextFormattedCitation":"(van den Hout et al., 2011; Vandierendonck, De Vooght, &amp; Van der Goten, 1998)","previouslyFormattedCitation":"(van den Hout et al., 2011; Vandierendonck, De Vooght, &amp; Van der Goten, 1998)"},"properties":{"noteIndex":0},"schema":"https://github.com/citation-style-language/schema/raw/master/csl-citation.json"}</w:instrText>
      </w:r>
      <w:r w:rsidR="006F09B9">
        <w:fldChar w:fldCharType="separate"/>
      </w:r>
      <w:r w:rsidR="006F09B9" w:rsidRPr="006F09B9">
        <w:rPr>
          <w:noProof/>
          <w:lang w:val="nl-NL"/>
        </w:rPr>
        <w:t>(van den Hout et al., 2011; Vandierendonck, De Vooght, &amp; Van der Goten, 1998)</w:t>
      </w:r>
      <w:r w:rsidR="006F09B9">
        <w:fldChar w:fldCharType="end"/>
      </w:r>
      <w:r w:rsidR="006F09B9" w:rsidRPr="006F09B9">
        <w:rPr>
          <w:lang w:val="nl-NL"/>
        </w:rPr>
        <w:t>.</w:t>
      </w:r>
      <w:r w:rsidR="006F09B9">
        <w:rPr>
          <w:lang w:val="nl-NL"/>
        </w:rPr>
        <w:t xml:space="preserve"> </w:t>
      </w:r>
      <w:r w:rsidR="006F09B9" w:rsidRPr="006F09B9">
        <w:t>In the RIR task, participants are asked to react a</w:t>
      </w:r>
      <w:r w:rsidR="006F09B9">
        <w:t xml:space="preserve">s quickly as possible </w:t>
      </w:r>
      <w:r w:rsidR="00672643">
        <w:t>to a stimulus (e.g., a pure tone) while conducting another task. Reaction times (RTs) towards the stimulus can be used as an index to what extent the task is cognitively demanding. Using the RIR task, it was found that visual task was more cognitively demanding than the auditory task, using the same task parameters as Homer et al. (2016).</w:t>
      </w:r>
    </w:p>
    <w:p w:rsidR="006F09B9" w:rsidRPr="006F09B9" w:rsidRDefault="00672643">
      <w:r>
        <w:t>As such</w:t>
      </w:r>
      <w:r w:rsidR="006F09B9" w:rsidRPr="006F09B9">
        <w:t>, the aim o</w:t>
      </w:r>
      <w:r w:rsidR="006F09B9">
        <w:t xml:space="preserve">f the </w:t>
      </w:r>
      <w:r w:rsidR="00BD56C5">
        <w:t>preliminary</w:t>
      </w:r>
      <w:r w:rsidR="006F09B9">
        <w:t xml:space="preserve"> study </w:t>
      </w:r>
      <w:r>
        <w:t xml:space="preserve">was to </w:t>
      </w:r>
      <w:r w:rsidR="00B749F2">
        <w:t xml:space="preserve">compare different variants of the visual task (i.e., with different stimulus timing parameters; see below) to the auditory task using the RIR task as an </w:t>
      </w:r>
      <w:r w:rsidR="003C24AC">
        <w:t xml:space="preserve">objective </w:t>
      </w:r>
      <w:r w:rsidR="00B749F2">
        <w:t xml:space="preserve">index of </w:t>
      </w:r>
      <w:r w:rsidR="003C24AC">
        <w:t>cognitive load</w:t>
      </w:r>
      <w:r w:rsidR="00B749F2">
        <w:t xml:space="preserve">. Particularly, the speed of stimulus presentation in the visual task was varied because earlier studies have indicated that the speed of eye-movement tasks can modulate its difficulty </w:t>
      </w:r>
      <w:r w:rsidR="00B749F2">
        <w:fldChar w:fldCharType="begin" w:fldLock="1"/>
      </w:r>
      <w:r w:rsidR="0018637E">
        <w:instrText>ADDIN CSL_CITATION {"citationItems":[{"id":"ITEM-1","itemData":{"DOI":"10.3389/fpsyt.2015.00045","ISBN":"1664-0640 (Electronic)\\r1664-0640 (Linking)","ISSN":"1664-0640","PMID":"25904871","abstract":"Eye movement desensitization and reprocessing (EMDR) is an efficacious treatment for post-traumatic stress disorder. In EMDR, patients recall a distressing memory and simultaneously make eye movements (EM). Both tasks are considered to require limited working memory (WM) resources. Because this leaves fewer resources available for memory retrieval, the memory should become less vivid and less emotional during future recall. In EMDR analogue studies, a standardized procedure has been used, in which participants receive the same dual task manipulation of 1 EM cycle per second (1</w:instrText>
      </w:r>
      <w:r w:rsidR="0018637E">
        <w:rPr>
          <w:rFonts w:ascii="Arial" w:hAnsi="Arial" w:cs="Arial"/>
        </w:rPr>
        <w:instrText> </w:instrText>
      </w:r>
      <w:r w:rsidR="0018637E">
        <w:instrText>Hz). From a WM perspective, the WM taxation of the dual task might be titrated to the WM taxation of the memory image. We hypothesized that highly vivid images are more affected by high WM taxation and less vivid images are more affected by low WM taxation. In study 1, 34 participants performed a reaction time task, and rated image vividness, and difficulty of retrieving an image, during five speeds of EM and no EM. Both a high WM taxing frequency (fast EM; 1.2</w:instrText>
      </w:r>
      <w:r w:rsidR="0018637E">
        <w:rPr>
          <w:rFonts w:ascii="Arial" w:hAnsi="Arial" w:cs="Arial"/>
        </w:rPr>
        <w:instrText> </w:instrText>
      </w:r>
      <w:r w:rsidR="0018637E">
        <w:instrText>Hz) and a low WM taxing frequency (slow EM; 0.8</w:instrText>
      </w:r>
      <w:r w:rsidR="0018637E">
        <w:rPr>
          <w:rFonts w:ascii="Arial" w:hAnsi="Arial" w:cs="Arial"/>
        </w:rPr>
        <w:instrText> </w:instrText>
      </w:r>
      <w:r w:rsidR="0018637E">
        <w:instrText>Hz) were selected. In study 2, 72 participants recalled three highly vivid aversive autobiographical memory images (n =</w:instrText>
      </w:r>
      <w:r w:rsidR="0018637E">
        <w:rPr>
          <w:rFonts w:ascii="Arial" w:hAnsi="Arial" w:cs="Arial"/>
        </w:rPr>
        <w:instrText> </w:instrText>
      </w:r>
      <w:r w:rsidR="0018637E">
        <w:instrText>36) or three less vivid images (n =</w:instrText>
      </w:r>
      <w:r w:rsidR="0018637E">
        <w:rPr>
          <w:rFonts w:ascii="Arial" w:hAnsi="Arial" w:cs="Arial"/>
        </w:rPr>
        <w:instrText> </w:instrText>
      </w:r>
      <w:r w:rsidR="0018637E">
        <w:instrText>36) under each of three conditions: recall</w:instrText>
      </w:r>
      <w:r w:rsidR="0018637E">
        <w:rPr>
          <w:rFonts w:ascii="Arial" w:hAnsi="Arial" w:cs="Arial"/>
        </w:rPr>
        <w:instrText> </w:instrText>
      </w:r>
      <w:r w:rsidR="0018637E">
        <w:instrText>+</w:instrText>
      </w:r>
      <w:r w:rsidR="0018637E">
        <w:rPr>
          <w:rFonts w:ascii="Arial" w:hAnsi="Arial" w:cs="Arial"/>
        </w:rPr>
        <w:instrText> </w:instrText>
      </w:r>
      <w:r w:rsidR="0018637E">
        <w:instrText>fast EM, recall</w:instrText>
      </w:r>
      <w:r w:rsidR="0018637E">
        <w:rPr>
          <w:rFonts w:ascii="Arial" w:hAnsi="Arial" w:cs="Arial"/>
        </w:rPr>
        <w:instrText> </w:instrText>
      </w:r>
      <w:r w:rsidR="0018637E">
        <w:instrText>+</w:instrText>
      </w:r>
      <w:r w:rsidR="0018637E">
        <w:rPr>
          <w:rFonts w:ascii="Arial" w:hAnsi="Arial" w:cs="Arial"/>
        </w:rPr>
        <w:instrText> </w:instrText>
      </w:r>
      <w:r w:rsidR="0018637E">
        <w:instrText>slow EM, or recall only. Multi-level modeling revealed a consistent pattern for all outcome measures: recall</w:instrText>
      </w:r>
      <w:r w:rsidR="0018637E">
        <w:rPr>
          <w:rFonts w:ascii="Arial" w:hAnsi="Arial" w:cs="Arial"/>
        </w:rPr>
        <w:instrText> </w:instrText>
      </w:r>
      <w:r w:rsidR="0018637E">
        <w:instrText>+</w:instrText>
      </w:r>
      <w:r w:rsidR="0018637E">
        <w:rPr>
          <w:rFonts w:ascii="Arial" w:hAnsi="Arial" w:cs="Arial"/>
        </w:rPr>
        <w:instrText> </w:instrText>
      </w:r>
      <w:r w:rsidR="0018637E">
        <w:instrText>fast EM led to less emotional, less vivid and more difficult to retrieve images than recall</w:instrText>
      </w:r>
      <w:r w:rsidR="0018637E">
        <w:rPr>
          <w:rFonts w:ascii="Arial" w:hAnsi="Arial" w:cs="Arial"/>
        </w:rPr>
        <w:instrText> </w:instrText>
      </w:r>
      <w:r w:rsidR="0018637E">
        <w:instrText>+</w:instrText>
      </w:r>
      <w:r w:rsidR="0018637E">
        <w:rPr>
          <w:rFonts w:ascii="Arial" w:hAnsi="Arial" w:cs="Arial"/>
        </w:rPr>
        <w:instrText> </w:instrText>
      </w:r>
      <w:r w:rsidR="0018637E">
        <w:instrText>slow EM and recall only, and the effects of recall</w:instrText>
      </w:r>
      <w:r w:rsidR="0018637E">
        <w:rPr>
          <w:rFonts w:ascii="Arial" w:hAnsi="Arial" w:cs="Arial"/>
        </w:rPr>
        <w:instrText> </w:instrText>
      </w:r>
      <w:r w:rsidR="0018637E">
        <w:instrText>+</w:instrText>
      </w:r>
      <w:r w:rsidR="0018637E">
        <w:rPr>
          <w:rFonts w:ascii="Arial" w:hAnsi="Arial" w:cs="Arial"/>
        </w:rPr>
        <w:instrText> </w:instrText>
      </w:r>
      <w:r w:rsidR="0018637E">
        <w:instrText>slow EM felt consistently in between the effects of recall</w:instrText>
      </w:r>
      <w:r w:rsidR="0018637E">
        <w:rPr>
          <w:rFonts w:ascii="Arial" w:hAnsi="Arial" w:cs="Arial"/>
        </w:rPr>
        <w:instrText> </w:instrText>
      </w:r>
      <w:r w:rsidR="0018637E">
        <w:instrText>+</w:instrText>
      </w:r>
      <w:r w:rsidR="0018637E">
        <w:rPr>
          <w:rFonts w:ascii="Arial" w:hAnsi="Arial" w:cs="Arial"/>
        </w:rPr>
        <w:instrText> </w:instrText>
      </w:r>
      <w:r w:rsidR="0018637E">
        <w:instrText>fast EM and recall only, but only differed significantly from recall</w:instrText>
      </w:r>
      <w:r w:rsidR="0018637E">
        <w:rPr>
          <w:rFonts w:ascii="Arial" w:hAnsi="Arial" w:cs="Arial"/>
        </w:rPr>
        <w:instrText> </w:instrText>
      </w:r>
      <w:r w:rsidR="0018637E">
        <w:instrText>+</w:instrText>
      </w:r>
      <w:r w:rsidR="0018637E">
        <w:rPr>
          <w:rFonts w:ascii="Arial" w:hAnsi="Arial" w:cs="Arial"/>
        </w:rPr>
        <w:instrText> </w:instrText>
      </w:r>
      <w:r w:rsidR="0018637E">
        <w:instrText>fast EM. Crucially, image vividness did not interact with condition on the decrease of emotionality over time, which was inconsistent with the prediction. Implications for understanding the mechanisms of action in memory modification and directions for future research are discussed.","author":[{"dropping-particle":"","family":"Veen","given":"Suzanne Chantal","non-dropping-particle":"van","parse-names":false,"suffix":""},{"dropping-particle":"","family":"Schie","given":"Kevin","non-dropping-particle":"van","parse-names":false,"suffix":""},{"dropping-particle":"V","family":"Wijngaards-de Meij","given":"Leoniek D N","non-dropping-particle":"","parse-names":false,"suffix":""},{"dropping-particle":"","family":"Littel","given":"Marianne","non-dropping-particle":"","parse-names":false,"suffix":""},{"dropping-particle":"","family":"Engelhard","given":"Iris M","non-dropping-particle":"","parse-names":false,"suffix":""},{"dropping-particle":"","family":"Hout","given":"Marcel A","non-dropping-particle":"van den","parse-names":false,"suffix":""}],"container-title":"Frontiers in psychiatry","id":"ITEM-1","issue":"April","issued":{"date-parts":[["2015"]]},"page":"45","title":"Speed Matters: Relationship between Speed of Eye Movements and Modification of Aversive Autobiographical Memories.","type":"article-journal","volume":"6"},"uris":["http://www.mendeley.com/documents/?uuid=fe1b1522-f15c-4589-a2e3-f5470b3eb997"]},{"id":"ITEM-2","itemData":{"DOI":"10.1891/1933-3196.2.4.247","ISBN":"1933-3196","ISSN":"19333196","abstract":"clinical EMDR","author":[{"dropping-particle":"","family":"Maxfield","given":"Louise","non-dropping-particle":"","parse-names":false,"suffix":""},{"dropping-particle":"","family":"Melnyk","given":"William T.","non-dropping-particle":"","parse-names":false,"suffix":""},{"dropping-particle":"","family":"Hayman","given":"Gordon C. A.","non-dropping-particle":"","parse-names":false,"suffix":""}],"container-title":"Journal of EMDR Practice and Research","id":"ITEM-2","issue":"4","issued":{"date-parts":[["2008","11"]]},"page":"247-261","title":"A Working Memory Explanation for the Effects of Eye Movements in EMDR","type":"article-journal","volume":"2"},"uris":["http://www.mendeley.com/documents/?uuid=48084d43-5bf9-48f9-a520-b0cb2b7f96db"]}],"mendeley":{"formattedCitation":"(Maxfield, Melnyk, &amp; Hayman, 2008; van Veen et al., 2015)","plainTextFormattedCitation":"(Maxfield, Melnyk, &amp; Hayman, 2008; van Veen et al., 2015)","previouslyFormattedCitation":"(Maxfield, Melnyk, &amp; Hayman, 2008; van Veen et al., 2015)"},"properties":{"noteIndex":0},"schema":"https://github.com/citation-style-language/schema/raw/master/csl-citation.json"}</w:instrText>
      </w:r>
      <w:r w:rsidR="00B749F2">
        <w:fldChar w:fldCharType="separate"/>
      </w:r>
      <w:r w:rsidR="00B749F2" w:rsidRPr="00B749F2">
        <w:rPr>
          <w:noProof/>
        </w:rPr>
        <w:t>(Maxfield, Melnyk, &amp; Hayman, 2008; van Veen et al., 2015)</w:t>
      </w:r>
      <w:r w:rsidR="00B749F2">
        <w:fldChar w:fldCharType="end"/>
      </w:r>
      <w:r w:rsidR="00B749F2">
        <w:t>.</w:t>
      </w:r>
      <w:r w:rsidR="00FD0CA1">
        <w:t xml:space="preserve"> We chose to vary the speed of the visual task, rather than the auditory task, because we feared that changing the speed of the sound files in the auditory task would distort the perceptibility of the spoken letters. Hence, we decreased the speed of the visual task by Homer et al. (2016) in three conditions by 10%, 25%, and 50% (i.e., by increasing the letter presentation time and inter-trial interval; see Methods).</w:t>
      </w:r>
    </w:p>
    <w:p w:rsidR="008A6CAB" w:rsidRPr="00DE57C0" w:rsidRDefault="008A6CAB" w:rsidP="006F09B9">
      <w:pPr>
        <w:jc w:val="center"/>
        <w:rPr>
          <w:b/>
        </w:rPr>
      </w:pPr>
      <w:r w:rsidRPr="00DE57C0">
        <w:rPr>
          <w:b/>
        </w:rPr>
        <w:t>Methods</w:t>
      </w:r>
    </w:p>
    <w:p w:rsidR="008A6CAB" w:rsidRPr="001B5CC2" w:rsidRDefault="008A6CAB">
      <w:pPr>
        <w:rPr>
          <w:b/>
        </w:rPr>
      </w:pPr>
      <w:r w:rsidRPr="001B5CC2">
        <w:rPr>
          <w:b/>
        </w:rPr>
        <w:t>Participants</w:t>
      </w:r>
    </w:p>
    <w:p w:rsidR="00B749F2" w:rsidRPr="00B749F2" w:rsidRDefault="00B749F2">
      <w:r w:rsidRPr="00B749F2">
        <w:t xml:space="preserve">Twenty-four healthy </w:t>
      </w:r>
      <w:r>
        <w:t xml:space="preserve">students from Utrecht University participated in this </w:t>
      </w:r>
      <w:r w:rsidR="00BD56C5">
        <w:t>preliminary</w:t>
      </w:r>
      <w:r>
        <w:t xml:space="preserve"> study. No information on gender or age was collected, because this was deemed irrelevant for the task at hand. The sample size was based on the </w:t>
      </w:r>
      <w:proofErr w:type="spellStart"/>
      <w:r>
        <w:t>contrabalancing</w:t>
      </w:r>
      <w:proofErr w:type="spellEnd"/>
      <w:r>
        <w:t xml:space="preserve"> scheme for this </w:t>
      </w:r>
      <w:r w:rsidR="00BD56C5">
        <w:t>preliminary</w:t>
      </w:r>
      <w:r>
        <w:t xml:space="preserve"> experiment, accounting for all possible order</w:t>
      </w:r>
      <w:r w:rsidR="001F5561">
        <w:t>s of the four different tasks (see below). Furthermore, a sample size of 24 provided good statistical power (&gt; .80) to detect medium and large effect sizes (Cohen’s f &gt; .25) for a fully within-subjects design and the alpha-level set at .05.</w:t>
      </w:r>
    </w:p>
    <w:p w:rsidR="008A6CAB" w:rsidRPr="00DE57C0" w:rsidRDefault="008A6CAB">
      <w:pPr>
        <w:rPr>
          <w:b/>
        </w:rPr>
      </w:pPr>
      <w:r w:rsidRPr="00DE57C0">
        <w:rPr>
          <w:b/>
        </w:rPr>
        <w:t>Materials</w:t>
      </w:r>
    </w:p>
    <w:p w:rsidR="001F5561" w:rsidRDefault="001F5561">
      <w:r>
        <w:t xml:space="preserve">The </w:t>
      </w:r>
      <w:r w:rsidR="00A90DED">
        <w:t>experiment was built using Presentation software (</w:t>
      </w:r>
      <w:hyperlink r:id="rId6" w:history="1">
        <w:r w:rsidR="00A90DED" w:rsidRPr="00117F80">
          <w:rPr>
            <w:rStyle w:val="Hyperlink"/>
          </w:rPr>
          <w:t>www.neurobs.com</w:t>
        </w:r>
      </w:hyperlink>
      <w:r w:rsidR="00A90DED">
        <w:t xml:space="preserve">). Two lab computers </w:t>
      </w:r>
      <w:r w:rsidR="00CC6682">
        <w:t xml:space="preserve">(Dell </w:t>
      </w:r>
      <w:proofErr w:type="spellStart"/>
      <w:r w:rsidR="00CC6682">
        <w:t>Optiplex</w:t>
      </w:r>
      <w:proofErr w:type="spellEnd"/>
      <w:r w:rsidR="00CC6682">
        <w:t xml:space="preserve"> 7040) </w:t>
      </w:r>
      <w:r w:rsidR="00A90DED">
        <w:t>controlled stimulus timing, one for the RIR task and one for administering the control, visual, and auditory task</w:t>
      </w:r>
      <w:r w:rsidR="008A35F7">
        <w:t>s</w:t>
      </w:r>
      <w:r w:rsidR="00A90DED">
        <w:t>.</w:t>
      </w:r>
    </w:p>
    <w:p w:rsidR="00A90DED" w:rsidRPr="00B749F2" w:rsidRDefault="00A90DED">
      <w:r>
        <w:t xml:space="preserve">For the RIR task, we made use of a mild electric stimulation to the fingers as the neutral stimulus to which participants had to react. The intensity of the electrical stimulation was determined together with the participants in order to make sure its intensity was clearly perceptible, but not uncomfortable. Electrical stimulation was administered using a </w:t>
      </w:r>
      <w:proofErr w:type="spellStart"/>
      <w:r>
        <w:t>Coulbourn</w:t>
      </w:r>
      <w:proofErr w:type="spellEnd"/>
      <w:r>
        <w:t xml:space="preserve"> Aversive Finger Stimulator. Participants had to react to the administration of the electrical stimulation by clearly saying the Dutch word “</w:t>
      </w:r>
      <w:r w:rsidR="0018637E">
        <w:t>j</w:t>
      </w:r>
      <w:r>
        <w:t>a” (English: “</w:t>
      </w:r>
      <w:r w:rsidR="0018637E">
        <w:t>y</w:t>
      </w:r>
      <w:r>
        <w:t>es”) in the microphone of a Sennheiser headset.</w:t>
      </w:r>
    </w:p>
    <w:p w:rsidR="008A6CAB" w:rsidRPr="00DE57C0" w:rsidRDefault="008A6CAB">
      <w:pPr>
        <w:rPr>
          <w:b/>
        </w:rPr>
      </w:pPr>
      <w:r w:rsidRPr="00DE57C0">
        <w:rPr>
          <w:b/>
        </w:rPr>
        <w:t>Procedure</w:t>
      </w:r>
    </w:p>
    <w:p w:rsidR="00672643" w:rsidRPr="00A90DED" w:rsidRDefault="00672643" w:rsidP="00672643">
      <w:pPr>
        <w:ind w:firstLine="567"/>
      </w:pPr>
      <w:r w:rsidRPr="00DE57C0">
        <w:rPr>
          <w:b/>
        </w:rPr>
        <w:lastRenderedPageBreak/>
        <w:t>RIR task.</w:t>
      </w:r>
      <w:r w:rsidR="0018637E">
        <w:t xml:space="preserve"> As described above, the RIR task made use of</w:t>
      </w:r>
      <w:r w:rsidR="00554C3A">
        <w:t xml:space="preserve"> a mild</w:t>
      </w:r>
      <w:r w:rsidR="0018637E">
        <w:t xml:space="preserve"> electrical stimul</w:t>
      </w:r>
      <w:r w:rsidR="00554C3A">
        <w:t>us</w:t>
      </w:r>
      <w:r w:rsidR="0018637E">
        <w:t>. This stimulus was administered during the control, visual, and auditory task</w:t>
      </w:r>
      <w:r w:rsidR="00FD0CA1">
        <w:t xml:space="preserve"> (see below)</w:t>
      </w:r>
      <w:r w:rsidR="0018637E">
        <w:t xml:space="preserve">. </w:t>
      </w:r>
      <w:r w:rsidR="00BE410C">
        <w:t>It</w:t>
      </w:r>
      <w:r w:rsidR="0018637E">
        <w:t xml:space="preserve"> was presented for 50 </w:t>
      </w:r>
      <w:proofErr w:type="spellStart"/>
      <w:r w:rsidR="0018637E">
        <w:t>ms</w:t>
      </w:r>
      <w:proofErr w:type="spellEnd"/>
      <w:r w:rsidR="0018637E">
        <w:t xml:space="preserve"> with an inter</w:t>
      </w:r>
      <w:r w:rsidR="005E2114">
        <w:t>-</w:t>
      </w:r>
      <w:r w:rsidR="0018637E">
        <w:t>trial</w:t>
      </w:r>
      <w:r w:rsidR="005E2114">
        <w:t xml:space="preserve"> interval (ITI)</w:t>
      </w:r>
      <w:r w:rsidR="0018637E">
        <w:t xml:space="preserve"> of either 950 or 1550 </w:t>
      </w:r>
      <w:proofErr w:type="spellStart"/>
      <w:r w:rsidR="0018637E">
        <w:t>ms</w:t>
      </w:r>
      <w:proofErr w:type="spellEnd"/>
      <w:r w:rsidR="0018637E">
        <w:t xml:space="preserve"> (randomly determined). Participants were instructed to clearly say “ja” whenever they felt the electrical stimul</w:t>
      </w:r>
      <w:r w:rsidR="00BE410C">
        <w:t>us</w:t>
      </w:r>
      <w:r w:rsidR="0018637E">
        <w:t xml:space="preserve"> on their fingers. RT was logged using the voice key plug-in of Presentation.</w:t>
      </w:r>
    </w:p>
    <w:p w:rsidR="00672643" w:rsidRPr="00A90DED" w:rsidRDefault="00672643" w:rsidP="00672643">
      <w:pPr>
        <w:ind w:firstLine="567"/>
      </w:pPr>
      <w:r w:rsidRPr="00DE57C0">
        <w:rPr>
          <w:b/>
        </w:rPr>
        <w:t>Visual task.</w:t>
      </w:r>
      <w:r w:rsidR="008A35F7">
        <w:t xml:space="preserve"> The visual task in described in detail in the main manuscript. In brief, participants were required to identify a target stimulus (e.g., ‘q’) in between distractors (e.g., ‘p’). Letters were presented alternatingly on the left and right side of the computer screen. Participants were asked to identify the target letter by keeping their head still and only moving their eyes. In the three different version of the visual task, we varied the speed of stimulus presentation of the visual task. In the fast version, letters were presented for </w:t>
      </w:r>
      <w:r w:rsidR="00F568E7">
        <w:t xml:space="preserve">220 </w:t>
      </w:r>
      <w:proofErr w:type="spellStart"/>
      <w:r w:rsidR="00F568E7">
        <w:t>ms</w:t>
      </w:r>
      <w:proofErr w:type="spellEnd"/>
      <w:r w:rsidR="00F568E7">
        <w:t xml:space="preserve"> and with a 330 </w:t>
      </w:r>
      <w:proofErr w:type="spellStart"/>
      <w:r w:rsidR="00F568E7">
        <w:t>ms</w:t>
      </w:r>
      <w:proofErr w:type="spellEnd"/>
      <w:r w:rsidR="00F568E7">
        <w:t xml:space="preserve"> ITI between the letters. In the medium version, letters were presented for 250 </w:t>
      </w:r>
      <w:proofErr w:type="spellStart"/>
      <w:r w:rsidR="00F568E7">
        <w:t>ms</w:t>
      </w:r>
      <w:proofErr w:type="spellEnd"/>
      <w:r w:rsidR="00F568E7">
        <w:t xml:space="preserve"> and with a 375 </w:t>
      </w:r>
      <w:proofErr w:type="spellStart"/>
      <w:r w:rsidR="00F568E7">
        <w:t>ms</w:t>
      </w:r>
      <w:proofErr w:type="spellEnd"/>
      <w:r w:rsidR="00F568E7">
        <w:t xml:space="preserve"> ITI. Finally, in the slow version, letters were presented for 300 </w:t>
      </w:r>
      <w:proofErr w:type="spellStart"/>
      <w:r w:rsidR="00F568E7">
        <w:t>ms</w:t>
      </w:r>
      <w:proofErr w:type="spellEnd"/>
      <w:r w:rsidR="00F568E7">
        <w:t xml:space="preserve"> and with a 450 </w:t>
      </w:r>
      <w:proofErr w:type="spellStart"/>
      <w:r w:rsidR="00F568E7">
        <w:t>ms</w:t>
      </w:r>
      <w:proofErr w:type="spellEnd"/>
      <w:r w:rsidR="00F568E7">
        <w:t xml:space="preserve"> ITI. </w:t>
      </w:r>
    </w:p>
    <w:p w:rsidR="00672643" w:rsidRDefault="00672643" w:rsidP="00672643">
      <w:pPr>
        <w:ind w:firstLine="567"/>
      </w:pPr>
      <w:r w:rsidRPr="00DE57C0">
        <w:rPr>
          <w:b/>
        </w:rPr>
        <w:t>Auditory task.</w:t>
      </w:r>
      <w:r w:rsidR="00F568E7" w:rsidRPr="00DE57C0">
        <w:rPr>
          <w:b/>
        </w:rPr>
        <w:t xml:space="preserve"> </w:t>
      </w:r>
      <w:r w:rsidR="00F568E7">
        <w:t xml:space="preserve">The auditory task is described in detail in the main manuscript. In brief, participants heard letters through headphones and had to identify a target (e.g., ‘d’) presented in between distractors (e.g., ‘p’). Letters were presented for 588 </w:t>
      </w:r>
      <w:proofErr w:type="spellStart"/>
      <w:r w:rsidR="00F568E7">
        <w:t>ms.</w:t>
      </w:r>
      <w:proofErr w:type="spellEnd"/>
    </w:p>
    <w:p w:rsidR="004B55AD" w:rsidRPr="0018637E" w:rsidRDefault="004B55AD" w:rsidP="00672643">
      <w:pPr>
        <w:ind w:firstLine="567"/>
      </w:pPr>
      <w:r w:rsidRPr="00DE57C0">
        <w:rPr>
          <w:b/>
        </w:rPr>
        <w:t xml:space="preserve">Control task. </w:t>
      </w:r>
      <w:r w:rsidR="00FF5045">
        <w:t xml:space="preserve">As a baseline, we also included a control condition. In the control condition, participants merely had to watch a black screen for the same duration as the visual and auditory tasks (4 times 24 s). </w:t>
      </w:r>
    </w:p>
    <w:p w:rsidR="008A6CAB" w:rsidRPr="00DE57C0" w:rsidRDefault="008A6CAB" w:rsidP="006F09B9">
      <w:pPr>
        <w:jc w:val="center"/>
        <w:rPr>
          <w:b/>
        </w:rPr>
      </w:pPr>
      <w:r w:rsidRPr="00DE57C0">
        <w:rPr>
          <w:b/>
        </w:rPr>
        <w:t>Results</w:t>
      </w:r>
    </w:p>
    <w:p w:rsidR="00514037" w:rsidRDefault="0018637E" w:rsidP="0018637E">
      <w:pPr>
        <w:rPr>
          <w:b/>
        </w:rPr>
      </w:pPr>
      <w:r w:rsidRPr="00514037">
        <w:rPr>
          <w:b/>
        </w:rPr>
        <w:t>Data preprocessing</w:t>
      </w:r>
    </w:p>
    <w:p w:rsidR="0018637E" w:rsidRPr="0018637E" w:rsidRDefault="0018637E" w:rsidP="0018637E">
      <w:r>
        <w:t xml:space="preserve">Trials without a response or with responses below 200 </w:t>
      </w:r>
      <w:proofErr w:type="spellStart"/>
      <w:r>
        <w:t>ms</w:t>
      </w:r>
      <w:proofErr w:type="spellEnd"/>
      <w:r>
        <w:t xml:space="preserve"> or above 1500 </w:t>
      </w:r>
      <w:proofErr w:type="spellStart"/>
      <w:r>
        <w:t>ms</w:t>
      </w:r>
      <w:proofErr w:type="spellEnd"/>
      <w:r>
        <w:t xml:space="preserve"> </w:t>
      </w:r>
      <w:r w:rsidR="008371E9">
        <w:t xml:space="preserve">for the RIR task </w:t>
      </w:r>
      <w:r>
        <w:t>were removed f</w:t>
      </w:r>
      <w:r w:rsidR="008371E9">
        <w:t>ro</w:t>
      </w:r>
      <w:r>
        <w:t xml:space="preserve">m the data, as is common for this type of RT tasks </w:t>
      </w:r>
      <w:r>
        <w:fldChar w:fldCharType="begin" w:fldLock="1"/>
      </w:r>
      <w:r w:rsidR="00170607">
        <w:instrText>ADDIN CSL_CITATION {"citationItems":[{"id":"ITEM-1","itemData":{"DOI":"10.1007/BF03395630","ISSN":"0033-2933","author":[{"dropping-particle":"","family":"Whelan","given":"Robert","non-dropping-particle":"","parse-names":false,"suffix":""}],"container-title":"The Psychological Record","id":"ITEM-1","issue":"3","issued":{"date-parts":[["2008","7","23"]]},"page":"475-482","title":"Effective Analysis of Reaction Time Data","type":"article-journal","volume":"58"},"uris":["http://www.mendeley.com/documents/?uuid=64accf63-7b63-48c3-998d-25760a7e64ff"]}],"mendeley":{"formattedCitation":"(Whelan, 2008)","plainTextFormattedCitation":"(Whelan, 2008)","previouslyFormattedCitation":"(Whelan, 2008)"},"properties":{"noteIndex":0},"schema":"https://github.com/citation-style-language/schema/raw/master/csl-citation.json"}</w:instrText>
      </w:r>
      <w:r>
        <w:fldChar w:fldCharType="separate"/>
      </w:r>
      <w:r w:rsidRPr="0018637E">
        <w:rPr>
          <w:noProof/>
        </w:rPr>
        <w:t>(Whelan, 2008)</w:t>
      </w:r>
      <w:r>
        <w:fldChar w:fldCharType="end"/>
      </w:r>
      <w:r>
        <w:t>.</w:t>
      </w:r>
      <w:r w:rsidR="002B7EB8">
        <w:t xml:space="preserve"> Data of 6 participants </w:t>
      </w:r>
      <w:r w:rsidR="00BE410C">
        <w:t>were</w:t>
      </w:r>
      <w:r w:rsidR="002B7EB8">
        <w:t xml:space="preserve"> excluded because they had more than 80% missing </w:t>
      </w:r>
      <w:r w:rsidR="00BE410C">
        <w:t>responses</w:t>
      </w:r>
      <w:r w:rsidR="00256411">
        <w:t xml:space="preserve">. This high proportion of missing responses is due to </w:t>
      </w:r>
      <w:r w:rsidR="002B7EB8">
        <w:t xml:space="preserve">the use of the voice key methodology, which tends to result in </w:t>
      </w:r>
      <w:r w:rsidR="00BE410C">
        <w:t>a high proportion of</w:t>
      </w:r>
      <w:r w:rsidR="002B7EB8">
        <w:t xml:space="preserve"> missing responses</w:t>
      </w:r>
      <w:r w:rsidR="00256411">
        <w:t xml:space="preserve"> (i.e., the voice key is required to have a fairly high threshold for detecting responses, otherwise the data will be influenced by a large proportion of false positive</w:t>
      </w:r>
      <w:r w:rsidR="00D01607">
        <w:t xml:space="preserve"> responses</w:t>
      </w:r>
      <w:r w:rsidR="00256411">
        <w:t>)</w:t>
      </w:r>
      <w:r w:rsidR="002B7EB8">
        <w:t>.</w:t>
      </w:r>
    </w:p>
    <w:p w:rsidR="00514037" w:rsidRPr="00514037" w:rsidRDefault="0018637E" w:rsidP="0018637E">
      <w:pPr>
        <w:rPr>
          <w:b/>
        </w:rPr>
      </w:pPr>
      <w:r w:rsidRPr="00514037">
        <w:rPr>
          <w:b/>
        </w:rPr>
        <w:t>Statistical tests</w:t>
      </w:r>
    </w:p>
    <w:p w:rsidR="0018637E" w:rsidRDefault="008A35F7" w:rsidP="0018637E">
      <w:r>
        <w:t xml:space="preserve">RTs were analyzed using a repeated measures ANOVA with task (control, auditory, </w:t>
      </w:r>
      <w:proofErr w:type="spellStart"/>
      <w:r>
        <w:t>visual_</w:t>
      </w:r>
      <w:r w:rsidR="00256411">
        <w:t>fast</w:t>
      </w:r>
      <w:proofErr w:type="spellEnd"/>
      <w:r>
        <w:t xml:space="preserve">, </w:t>
      </w:r>
      <w:proofErr w:type="spellStart"/>
      <w:r>
        <w:t>visual_medium</w:t>
      </w:r>
      <w:proofErr w:type="spellEnd"/>
      <w:r>
        <w:t xml:space="preserve">, and </w:t>
      </w:r>
      <w:proofErr w:type="spellStart"/>
      <w:r>
        <w:t>visual_</w:t>
      </w:r>
      <w:r w:rsidR="00256411">
        <w:t>slow</w:t>
      </w:r>
      <w:proofErr w:type="spellEnd"/>
      <w:r>
        <w:t>) as a within-subject factor.</w:t>
      </w:r>
      <w:r w:rsidR="00FF5045">
        <w:t xml:space="preserve"> This analysis indicated a significant effect of the factor task, </w:t>
      </w:r>
      <w:r w:rsidR="002B7EB8">
        <w:rPr>
          <w:i/>
        </w:rPr>
        <w:t>F</w:t>
      </w:r>
      <w:r w:rsidR="002B7EB8">
        <w:t xml:space="preserve">(4, 68) = 29.72, </w:t>
      </w:r>
      <w:r w:rsidR="002B7EB8">
        <w:rPr>
          <w:i/>
        </w:rPr>
        <w:t>p</w:t>
      </w:r>
      <w:r w:rsidR="002B7EB8">
        <w:t xml:space="preserve"> &lt; .001, </w:t>
      </w:r>
      <w:r w:rsidR="00FB579D">
        <w:t>partial eta</w:t>
      </w:r>
      <w:r w:rsidR="00FB579D" w:rsidRPr="00FB579D">
        <w:rPr>
          <w:vertAlign w:val="superscript"/>
        </w:rPr>
        <w:t>2</w:t>
      </w:r>
      <w:r w:rsidR="00FB579D">
        <w:t xml:space="preserve"> = .64. Follow-up paired t-tests indicated that both the auditory task and all versions of the </w:t>
      </w:r>
      <w:r w:rsidR="00256411">
        <w:t>visual task</w:t>
      </w:r>
      <w:r w:rsidR="00FB579D">
        <w:t xml:space="preserve"> differed significantly from the control task, t-values &gt; 5.8, p-values &lt; .001. Surprisingly, however, </w:t>
      </w:r>
      <w:r w:rsidR="00256411">
        <w:t>RTs during the</w:t>
      </w:r>
      <w:r w:rsidR="00FB579D">
        <w:t xml:space="preserve"> auditory task</w:t>
      </w:r>
      <w:r w:rsidR="00256411">
        <w:t xml:space="preserve"> also differed significantly with RTs during the different versions of the visual task</w:t>
      </w:r>
      <w:r w:rsidR="00FB579D">
        <w:t xml:space="preserve">, t-values &gt; 2.8, p-values &lt; .013. Finally, </w:t>
      </w:r>
      <w:r w:rsidR="00256411">
        <w:t>RTs for the different versions of the visual task did not</w:t>
      </w:r>
      <w:r w:rsidR="00FB579D">
        <w:t xml:space="preserve"> significantly </w:t>
      </w:r>
      <w:r w:rsidR="00256411">
        <w:t xml:space="preserve">differ </w:t>
      </w:r>
      <w:r w:rsidR="00FB579D">
        <w:t>from each other, t-values &lt; 0.5, p-values &gt; .629</w:t>
      </w:r>
      <w:r w:rsidR="00256411">
        <w:t xml:space="preserve"> (see Figure </w:t>
      </w:r>
      <w:r w:rsidR="00BE410C">
        <w:t>S</w:t>
      </w:r>
      <w:r w:rsidR="00256411">
        <w:t>1</w:t>
      </w:r>
      <w:r w:rsidR="00FD0CA1">
        <w:t>; and see the main text of the manuscript for the exact means and SDs for each condition</w:t>
      </w:r>
      <w:r w:rsidR="00256411">
        <w:t>).</w:t>
      </w:r>
    </w:p>
    <w:p w:rsidR="001D6F33" w:rsidRDefault="001D6F33" w:rsidP="0018637E"/>
    <w:p w:rsidR="001D6F33" w:rsidRDefault="001D6F33" w:rsidP="0018637E">
      <w:r>
        <w:rPr>
          <w:noProof/>
        </w:rPr>
        <w:lastRenderedPageBreak/>
        <w:drawing>
          <wp:inline distT="0" distB="0" distL="0" distR="0" wp14:anchorId="00BFC8CC" wp14:editId="5886E950">
            <wp:extent cx="4724400" cy="2781300"/>
            <wp:effectExtent l="0" t="0" r="0" b="0"/>
            <wp:docPr id="1" name="Chart 1">
              <a:extLst xmlns:a="http://schemas.openxmlformats.org/drawingml/2006/main">
                <a:ext uri="{FF2B5EF4-FFF2-40B4-BE49-F238E27FC236}">
                  <a16:creationId xmlns:a16="http://schemas.microsoft.com/office/drawing/2014/main" id="{4F33871E-5C92-4712-8039-764953036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D6F33" w:rsidRDefault="001D6F33" w:rsidP="0018637E">
      <w:r>
        <w:t xml:space="preserve">Figure </w:t>
      </w:r>
      <w:r w:rsidR="00BE410C">
        <w:t>S</w:t>
      </w:r>
      <w:r>
        <w:t xml:space="preserve">1. Random interval repetition task reaction times for each of the different tasks included in the </w:t>
      </w:r>
      <w:r w:rsidR="00BD56C5">
        <w:t>preliminary</w:t>
      </w:r>
      <w:r>
        <w:t xml:space="preserve"> study. </w:t>
      </w:r>
    </w:p>
    <w:p w:rsidR="008A6CAB" w:rsidRDefault="008A6CAB" w:rsidP="006F09B9">
      <w:pPr>
        <w:jc w:val="center"/>
        <w:rPr>
          <w:b/>
        </w:rPr>
      </w:pPr>
      <w:r w:rsidRPr="00DE57C0">
        <w:rPr>
          <w:b/>
        </w:rPr>
        <w:t>Discussion</w:t>
      </w:r>
    </w:p>
    <w:p w:rsidR="00DE57C0" w:rsidRDefault="00DE57C0" w:rsidP="00DE57C0">
      <w:r>
        <w:t xml:space="preserve">As expected, RTs in the RIR task were slower for the auditory and visual tasks, compared to the control task. However, unexpectedly, each version of the visual tasks resulted in slower RTs compared to the auditory task, </w:t>
      </w:r>
      <w:r w:rsidR="00170607">
        <w:t>which indicates</w:t>
      </w:r>
      <w:r>
        <w:t xml:space="preserve"> that each </w:t>
      </w:r>
      <w:r w:rsidR="00170607">
        <w:t>version</w:t>
      </w:r>
      <w:r>
        <w:t xml:space="preserve"> of the visual task was more difficult than the auditory task. </w:t>
      </w:r>
      <w:r w:rsidR="00170607">
        <w:t xml:space="preserve">Furthermore, there were no significant differences between the different versions of the visual task. This is somewhat surprising, </w:t>
      </w:r>
      <w:r w:rsidR="00BE410C">
        <w:t>because</w:t>
      </w:r>
      <w:r w:rsidR="00170607">
        <w:t xml:space="preserve"> previous studies have shown that increasing the speed of eye-movement tasks makes these tasks more difficult and more cognitively demanding </w:t>
      </w:r>
      <w:r w:rsidR="00170607">
        <w:fldChar w:fldCharType="begin" w:fldLock="1"/>
      </w:r>
      <w:r w:rsidR="00256411">
        <w:instrText>ADDIN CSL_CITATION {"citationItems":[{"id":"ITEM-1","itemData":{"DOI":"10.1891/1933-3196.2.4.247","ISBN":"1933-3196","ISSN":"19333196","abstract":"clinical EMDR","author":[{"dropping-particle":"","family":"Maxfield","given":"Louise","non-dropping-particle":"","parse-names":false,"suffix":""},{"dropping-particle":"","family":"Melnyk","given":"William T.","non-dropping-particle":"","parse-names":false,"suffix":""},{"dropping-particle":"","family":"Hayman","given":"Gordon C. A.","non-dropping-particle":"","parse-names":false,"suffix":""}],"container-title":"Journal of EMDR Practice and Research","id":"ITEM-1","issue":"4","issued":{"date-parts":[["2008","11"]]},"page":"247-261","title":"A Working Memory Explanation for the Effects of Eye Movements in EMDR","type":"article-journal","volume":"2"},"uris":["http://www.mendeley.com/documents/?uuid=48084d43-5bf9-48f9-a520-b0cb2b7f96db"]},{"id":"ITEM-2","itemData":{"DOI":"10.3389/fpsyt.2015.00045","ISBN":"1664-0640 (Electronic)\\r1664-0640 (Linking)","ISSN":"1664-0640","PMID":"25904871","abstract":"Eye movement desensitization and reprocessing (EMDR) is an efficacious treatment for post-traumatic stress disorder. In EMDR, patients recall a distressing memory and simultaneously make eye movements (EM). Both tasks are considered to require limited working memory (WM) resources. Because this leaves fewer resources available for memory retrieval, the memory should become less vivid and less emotional during future recall. In EMDR analogue studies, a standardized procedure has been used, in which participants receive the same dual task manipulation of 1 EM cycle per second (1</w:instrText>
      </w:r>
      <w:r w:rsidR="00256411">
        <w:rPr>
          <w:rFonts w:ascii="Arial" w:hAnsi="Arial" w:cs="Arial"/>
        </w:rPr>
        <w:instrText> </w:instrText>
      </w:r>
      <w:r w:rsidR="00256411">
        <w:instrText>Hz). From a WM perspective, the WM taxation of the dual task might be titrated to the WM taxation of the memory image. We hypothesized that highly vivid images are more affected by high WM taxation and less vivid images are more affected by low WM taxation. In study 1, 34 participants performed a reaction time task, and rated image vividness, and difficulty of retrieving an image, during five speeds of EM and no EM. Both a high WM taxing frequency (fast EM; 1.2</w:instrText>
      </w:r>
      <w:r w:rsidR="00256411">
        <w:rPr>
          <w:rFonts w:ascii="Arial" w:hAnsi="Arial" w:cs="Arial"/>
        </w:rPr>
        <w:instrText> </w:instrText>
      </w:r>
      <w:r w:rsidR="00256411">
        <w:instrText>Hz) and a low WM taxing frequency (slow EM; 0.8</w:instrText>
      </w:r>
      <w:r w:rsidR="00256411">
        <w:rPr>
          <w:rFonts w:ascii="Arial" w:hAnsi="Arial" w:cs="Arial"/>
        </w:rPr>
        <w:instrText> </w:instrText>
      </w:r>
      <w:r w:rsidR="00256411">
        <w:instrText>Hz) were selected. In study 2, 72 participants recalled three highly vivid aversive autobiographical memory images (n =</w:instrText>
      </w:r>
      <w:r w:rsidR="00256411">
        <w:rPr>
          <w:rFonts w:ascii="Arial" w:hAnsi="Arial" w:cs="Arial"/>
        </w:rPr>
        <w:instrText> </w:instrText>
      </w:r>
      <w:r w:rsidR="00256411">
        <w:instrText>36) or three less vivid images (n =</w:instrText>
      </w:r>
      <w:r w:rsidR="00256411">
        <w:rPr>
          <w:rFonts w:ascii="Arial" w:hAnsi="Arial" w:cs="Arial"/>
        </w:rPr>
        <w:instrText> </w:instrText>
      </w:r>
      <w:r w:rsidR="00256411">
        <w:instrText>36) under each of three conditions: recall</w:instrText>
      </w:r>
      <w:r w:rsidR="00256411">
        <w:rPr>
          <w:rFonts w:ascii="Arial" w:hAnsi="Arial" w:cs="Arial"/>
        </w:rPr>
        <w:instrText> </w:instrText>
      </w:r>
      <w:r w:rsidR="00256411">
        <w:instrText>+</w:instrText>
      </w:r>
      <w:r w:rsidR="00256411">
        <w:rPr>
          <w:rFonts w:ascii="Arial" w:hAnsi="Arial" w:cs="Arial"/>
        </w:rPr>
        <w:instrText> </w:instrText>
      </w:r>
      <w:r w:rsidR="00256411">
        <w:instrText>fast EM, recall</w:instrText>
      </w:r>
      <w:r w:rsidR="00256411">
        <w:rPr>
          <w:rFonts w:ascii="Arial" w:hAnsi="Arial" w:cs="Arial"/>
        </w:rPr>
        <w:instrText> </w:instrText>
      </w:r>
      <w:r w:rsidR="00256411">
        <w:instrText>+</w:instrText>
      </w:r>
      <w:r w:rsidR="00256411">
        <w:rPr>
          <w:rFonts w:ascii="Arial" w:hAnsi="Arial" w:cs="Arial"/>
        </w:rPr>
        <w:instrText> </w:instrText>
      </w:r>
      <w:r w:rsidR="00256411">
        <w:instrText>slow EM, or recall only. Multi-level modeling revealed a consistent pattern for all outcome measures: recall</w:instrText>
      </w:r>
      <w:r w:rsidR="00256411">
        <w:rPr>
          <w:rFonts w:ascii="Arial" w:hAnsi="Arial" w:cs="Arial"/>
        </w:rPr>
        <w:instrText> </w:instrText>
      </w:r>
      <w:r w:rsidR="00256411">
        <w:instrText>+</w:instrText>
      </w:r>
      <w:r w:rsidR="00256411">
        <w:rPr>
          <w:rFonts w:ascii="Arial" w:hAnsi="Arial" w:cs="Arial"/>
        </w:rPr>
        <w:instrText> </w:instrText>
      </w:r>
      <w:r w:rsidR="00256411">
        <w:instrText>fast EM led to less emotional, less vivid and more difficult to retrieve images than recall</w:instrText>
      </w:r>
      <w:r w:rsidR="00256411">
        <w:rPr>
          <w:rFonts w:ascii="Arial" w:hAnsi="Arial" w:cs="Arial"/>
        </w:rPr>
        <w:instrText> </w:instrText>
      </w:r>
      <w:r w:rsidR="00256411">
        <w:instrText>+</w:instrText>
      </w:r>
      <w:r w:rsidR="00256411">
        <w:rPr>
          <w:rFonts w:ascii="Arial" w:hAnsi="Arial" w:cs="Arial"/>
        </w:rPr>
        <w:instrText> </w:instrText>
      </w:r>
      <w:r w:rsidR="00256411">
        <w:instrText>slow EM and recall only, and the effects of recall</w:instrText>
      </w:r>
      <w:r w:rsidR="00256411">
        <w:rPr>
          <w:rFonts w:ascii="Arial" w:hAnsi="Arial" w:cs="Arial"/>
        </w:rPr>
        <w:instrText> </w:instrText>
      </w:r>
      <w:r w:rsidR="00256411">
        <w:instrText>+</w:instrText>
      </w:r>
      <w:r w:rsidR="00256411">
        <w:rPr>
          <w:rFonts w:ascii="Arial" w:hAnsi="Arial" w:cs="Arial"/>
        </w:rPr>
        <w:instrText> </w:instrText>
      </w:r>
      <w:r w:rsidR="00256411">
        <w:instrText>slow EM felt consistently in between the effects of recall</w:instrText>
      </w:r>
      <w:r w:rsidR="00256411">
        <w:rPr>
          <w:rFonts w:ascii="Arial" w:hAnsi="Arial" w:cs="Arial"/>
        </w:rPr>
        <w:instrText> </w:instrText>
      </w:r>
      <w:r w:rsidR="00256411">
        <w:instrText>+</w:instrText>
      </w:r>
      <w:r w:rsidR="00256411">
        <w:rPr>
          <w:rFonts w:ascii="Arial" w:hAnsi="Arial" w:cs="Arial"/>
        </w:rPr>
        <w:instrText> </w:instrText>
      </w:r>
      <w:r w:rsidR="00256411">
        <w:instrText>fast EM and recall only, but only differed significantly from recall</w:instrText>
      </w:r>
      <w:r w:rsidR="00256411">
        <w:rPr>
          <w:rFonts w:ascii="Arial" w:hAnsi="Arial" w:cs="Arial"/>
        </w:rPr>
        <w:instrText> </w:instrText>
      </w:r>
      <w:r w:rsidR="00256411">
        <w:instrText>+</w:instrText>
      </w:r>
      <w:r w:rsidR="00256411">
        <w:rPr>
          <w:rFonts w:ascii="Arial" w:hAnsi="Arial" w:cs="Arial"/>
        </w:rPr>
        <w:instrText> </w:instrText>
      </w:r>
      <w:r w:rsidR="00256411">
        <w:instrText>fast EM. Crucially, image vividness did not interact with condition on the decrease of emotionality over time, which was inconsistent with the prediction. Implications for understanding the mechanisms of action in memory modification and directions for future research are discussed.","author":[{"dropping-particle":"","family":"Veen","given":"Suzanne Chantal","non-dropping-particle":"van","parse-names":false,"suffix":""},{"dropping-particle":"","family":"Schie","given":"Kevin","non-dropping-particle":"van","parse-names":false,"suffix":""},{"dropping-particle":"V","family":"Wijngaards-de Meij","given":"Leoniek D N","non-dropping-particle":"","parse-names":false,"suffix":""},{"dropping-particle":"","family":"Littel","given":"Marianne","non-dropping-particle":"","parse-names":false,"suffix":""},{"dropping-particle":"","family":"Engelhard","given":"Iris M","non-dropping-particle":"","parse-names":false,"suffix":""},{"dropping-particle":"","family":"Hout","given":"Marcel A","non-dropping-particle":"van den","parse-names":false,"suffix":""}],"container-title":"Frontiers in psychiatry","id":"ITEM-2","issue":"April","issued":{"date-parts":[["2015"]]},"page":"45","title":"Speed Matters: Relationship between Speed of Eye Movements and Modification of Aversive Autobiographical Memories.","type":"article-journal","volume":"6"},"uris":["http://www.mendeley.com/documents/?uuid=fe1b1522-f15c-4589-a2e3-f5470b3eb997"]}],"mendeley":{"formattedCitation":"(Maxfield et al., 2008; van Veen et al., 2015)","plainTextFormattedCitation":"(Maxfield et al., 2008; van Veen et al., 2015)","previouslyFormattedCitation":"(Maxfield et al., 2008; van Veen et al., 2015)"},"properties":{"noteIndex":0},"schema":"https://github.com/citation-style-language/schema/raw/master/csl-citation.json"}</w:instrText>
      </w:r>
      <w:r w:rsidR="00170607">
        <w:fldChar w:fldCharType="separate"/>
      </w:r>
      <w:r w:rsidR="00170607" w:rsidRPr="00170607">
        <w:rPr>
          <w:noProof/>
        </w:rPr>
        <w:t>(Maxfield et al., 2008; van Veen et al., 2015)</w:t>
      </w:r>
      <w:r w:rsidR="00170607">
        <w:fldChar w:fldCharType="end"/>
      </w:r>
      <w:r w:rsidR="00170607">
        <w:t xml:space="preserve">. One possible explanation is that the differences between the different versions of the visual task were not </w:t>
      </w:r>
      <w:r w:rsidR="00BE410C">
        <w:t>extreme</w:t>
      </w:r>
      <w:r w:rsidR="00170607">
        <w:t xml:space="preserve"> enough to obtain clear difference</w:t>
      </w:r>
      <w:r w:rsidR="00FD0CA1">
        <w:t>s</w:t>
      </w:r>
      <w:r w:rsidR="00170607">
        <w:t xml:space="preserve"> in cognitive load. Other studies may want to vary the parameters of the visual task more extremely.</w:t>
      </w:r>
    </w:p>
    <w:p w:rsidR="00170607" w:rsidRPr="00DE57C0" w:rsidRDefault="00170607" w:rsidP="00DE57C0">
      <w:r>
        <w:t xml:space="preserve">The large difference observed between the auditory and visual tasks may be explained by differences in how attention is cued. Whereas the visual task requires endogenous cueing (i.e., making eye movement to focus on the letters), the auditory task only requires exogenous cueing (i.e., attending the spoken letters). </w:t>
      </w:r>
      <w:r w:rsidR="00256411">
        <w:t xml:space="preserve">Given </w:t>
      </w:r>
      <w:r w:rsidR="00A15C01">
        <w:t>these</w:t>
      </w:r>
      <w:r w:rsidR="00256411">
        <w:t xml:space="preserve"> different types of attentional cueing, it may be difficult to equate the cognitive load of these two tasks </w:t>
      </w:r>
      <w:r w:rsidR="00256411">
        <w:fldChar w:fldCharType="begin" w:fldLock="1"/>
      </w:r>
      <w:r w:rsidR="00256411">
        <w:instrText>ADDIN CSL_CITATION {"citationItems":[{"id":"ITEM-1","itemData":{"DOI":"10.1080/00335558008248231","ISSN":"0033-555X","author":[{"dropping-particle":"","family":"Posner","given":"Michael I","non-dropping-particle":"","parse-names":false,"suffix":""}],"container-title":"Quarterly Journal of Experimental Psychology","id":"ITEM-1","issue":"1","issued":{"date-parts":[["1980","2","29"]]},"page":"3-25","title":"Orienting of attention","type":"article-journal","volume":"32"},"uris":["http://www.mendeley.com/documents/?uuid=523f9088-7fad-4087-987a-062236c37a18"]}],"mendeley":{"formattedCitation":"(Posner, 1980)","plainTextFormattedCitation":"(Posner, 1980)"},"properties":{"noteIndex":0},"schema":"https://github.com/citation-style-language/schema/raw/master/csl-citation.json"}</w:instrText>
      </w:r>
      <w:r w:rsidR="00256411">
        <w:fldChar w:fldCharType="separate"/>
      </w:r>
      <w:r w:rsidR="00256411" w:rsidRPr="00256411">
        <w:rPr>
          <w:noProof/>
        </w:rPr>
        <w:t>(Posner, 1980)</w:t>
      </w:r>
      <w:r w:rsidR="00256411">
        <w:fldChar w:fldCharType="end"/>
      </w:r>
      <w:r w:rsidR="00153E57">
        <w:t>, unless extreme stimulus parameters are used (i.e., extremely fast presentation of letters in the auditory task or extremely slow presentation of letters in the visual task)</w:t>
      </w:r>
      <w:r w:rsidR="00256411">
        <w:t>.</w:t>
      </w:r>
      <w:r w:rsidR="00514037">
        <w:t xml:space="preserve"> </w:t>
      </w:r>
      <w:r w:rsidR="00153E57">
        <w:t xml:space="preserve">Because such extreme adaptations may fundamentally change the tasks and limit their </w:t>
      </w:r>
      <w:r w:rsidR="00FD0CA1">
        <w:t xml:space="preserve">(clinical) </w:t>
      </w:r>
      <w:r w:rsidR="00153E57">
        <w:t xml:space="preserve">applicability, </w:t>
      </w:r>
      <w:r w:rsidR="00514037">
        <w:t xml:space="preserve">we decided to </w:t>
      </w:r>
      <w:r w:rsidR="00153E57">
        <w:t>go ahead with</w:t>
      </w:r>
      <w:r w:rsidR="00514037">
        <w:t xml:space="preserve"> the main experiment using the </w:t>
      </w:r>
      <w:r w:rsidR="00153E57">
        <w:t xml:space="preserve">current version of the </w:t>
      </w:r>
      <w:r w:rsidR="00514037">
        <w:t>auditory task and the slowest version of the visual task</w:t>
      </w:r>
      <w:r w:rsidR="00B946A2">
        <w:t xml:space="preserve"> (with the reasoning that the slowest version of visual task is, at least theoretically, most comparable in cognitive load to the auditory task)</w:t>
      </w:r>
      <w:r w:rsidR="00514037">
        <w:t xml:space="preserve">. </w:t>
      </w:r>
      <w:r w:rsidR="00BE410C">
        <w:t>Note that</w:t>
      </w:r>
      <w:r w:rsidR="00B946A2">
        <w:t xml:space="preserve">, despite not finding the parameters that equate the difficulty of the two tasks, the results of </w:t>
      </w:r>
      <w:r w:rsidR="00BE410C">
        <w:t xml:space="preserve">this </w:t>
      </w:r>
      <w:r w:rsidR="00BD56C5">
        <w:t>preliminary</w:t>
      </w:r>
      <w:r w:rsidR="00BE410C">
        <w:t xml:space="preserve"> study provided useful information in that </w:t>
      </w:r>
      <w:r w:rsidR="00B946A2">
        <w:t>they</w:t>
      </w:r>
      <w:r w:rsidR="00BE410C">
        <w:t xml:space="preserve"> showed that the visual task is more cognitively demanding than the auditory task, which is useful for the interpretation of the results </w:t>
      </w:r>
      <w:r w:rsidR="00B946A2">
        <w:t>of</w:t>
      </w:r>
      <w:r w:rsidR="00BE410C">
        <w:t xml:space="preserve"> the main experiments.</w:t>
      </w:r>
    </w:p>
    <w:p w:rsidR="00FD0CA1" w:rsidRDefault="00FD0CA1">
      <w:pPr>
        <w:rPr>
          <w:b/>
        </w:rPr>
      </w:pPr>
      <w:r>
        <w:rPr>
          <w:b/>
        </w:rPr>
        <w:br w:type="page"/>
      </w:r>
    </w:p>
    <w:p w:rsidR="006F09B9" w:rsidRPr="00DE57C0" w:rsidRDefault="006F09B9" w:rsidP="006F09B9">
      <w:pPr>
        <w:jc w:val="center"/>
        <w:rPr>
          <w:b/>
        </w:rPr>
      </w:pPr>
      <w:r w:rsidRPr="00DE57C0">
        <w:rPr>
          <w:b/>
        </w:rPr>
        <w:lastRenderedPageBreak/>
        <w:t>References</w:t>
      </w:r>
    </w:p>
    <w:p w:rsidR="00256411" w:rsidRPr="00256411" w:rsidRDefault="006F09B9" w:rsidP="00256411">
      <w:pPr>
        <w:widowControl w:val="0"/>
        <w:autoSpaceDE w:val="0"/>
        <w:autoSpaceDN w:val="0"/>
        <w:adjustRightInd w:val="0"/>
        <w:spacing w:line="240" w:lineRule="auto"/>
        <w:ind w:left="480" w:hanging="480"/>
        <w:rPr>
          <w:rFonts w:ascii="Verdana" w:hAnsi="Verdana" w:cs="Times New Roman"/>
          <w:noProof/>
          <w:szCs w:val="24"/>
        </w:rPr>
      </w:pPr>
      <w:r>
        <w:rPr>
          <w:lang w:val="nl-NL"/>
        </w:rPr>
        <w:fldChar w:fldCharType="begin" w:fldLock="1"/>
      </w:r>
      <w:r w:rsidRPr="001B5CC2">
        <w:instrText xml:space="preserve">ADDIN Mendeley Bibliography CSL_BIBLIOGRAPHY </w:instrText>
      </w:r>
      <w:r>
        <w:rPr>
          <w:lang w:val="nl-NL"/>
        </w:rPr>
        <w:fldChar w:fldCharType="separate"/>
      </w:r>
      <w:r w:rsidR="00256411" w:rsidRPr="00256411">
        <w:rPr>
          <w:rFonts w:ascii="Verdana" w:hAnsi="Verdana" w:cs="Times New Roman"/>
          <w:noProof/>
          <w:szCs w:val="24"/>
        </w:rPr>
        <w:t xml:space="preserve">Homer, S. R., Deeprose, C., &amp; Andrade, J. (2016). Negative mental imagery in public speaking anxiety: Forming cognitive resistance by taxing visuospatial working memory. </w:t>
      </w:r>
      <w:r w:rsidR="00256411" w:rsidRPr="00256411">
        <w:rPr>
          <w:rFonts w:ascii="Verdana" w:hAnsi="Verdana" w:cs="Times New Roman"/>
          <w:i/>
          <w:iCs/>
          <w:noProof/>
          <w:szCs w:val="24"/>
        </w:rPr>
        <w:t>Journal of Behavior Therapy and Experimental Psychiatry</w:t>
      </w:r>
      <w:r w:rsidR="00256411" w:rsidRPr="00256411">
        <w:rPr>
          <w:rFonts w:ascii="Verdana" w:hAnsi="Verdana" w:cs="Times New Roman"/>
          <w:noProof/>
          <w:szCs w:val="24"/>
        </w:rPr>
        <w:t xml:space="preserve">, </w:t>
      </w:r>
      <w:r w:rsidR="00256411" w:rsidRPr="00256411">
        <w:rPr>
          <w:rFonts w:ascii="Verdana" w:hAnsi="Verdana" w:cs="Times New Roman"/>
          <w:i/>
          <w:iCs/>
          <w:noProof/>
          <w:szCs w:val="24"/>
        </w:rPr>
        <w:t>50</w:t>
      </w:r>
      <w:r w:rsidR="00256411" w:rsidRPr="00256411">
        <w:rPr>
          <w:rFonts w:ascii="Verdana" w:hAnsi="Verdana" w:cs="Times New Roman"/>
          <w:noProof/>
          <w:szCs w:val="24"/>
        </w:rPr>
        <w:t>, 77–82. https://doi.org/10.1016/j.jbtep.2015.05.004</w:t>
      </w:r>
    </w:p>
    <w:p w:rsidR="00256411" w:rsidRPr="00256411" w:rsidRDefault="00256411" w:rsidP="00256411">
      <w:pPr>
        <w:widowControl w:val="0"/>
        <w:autoSpaceDE w:val="0"/>
        <w:autoSpaceDN w:val="0"/>
        <w:adjustRightInd w:val="0"/>
        <w:spacing w:line="240" w:lineRule="auto"/>
        <w:ind w:left="480" w:hanging="480"/>
        <w:rPr>
          <w:rFonts w:ascii="Verdana" w:hAnsi="Verdana" w:cs="Times New Roman"/>
          <w:noProof/>
          <w:szCs w:val="24"/>
        </w:rPr>
      </w:pPr>
      <w:r w:rsidRPr="00256411">
        <w:rPr>
          <w:rFonts w:ascii="Verdana" w:hAnsi="Verdana" w:cs="Times New Roman"/>
          <w:noProof/>
          <w:szCs w:val="24"/>
        </w:rPr>
        <w:t xml:space="preserve">Maxfield, L., Melnyk, W. T., &amp; Hayman, G. C. A. (2008). A Working Memory Explanation for the Effects of Eye Movements in EMDR. </w:t>
      </w:r>
      <w:r w:rsidRPr="00256411">
        <w:rPr>
          <w:rFonts w:ascii="Verdana" w:hAnsi="Verdana" w:cs="Times New Roman"/>
          <w:i/>
          <w:iCs/>
          <w:noProof/>
          <w:szCs w:val="24"/>
        </w:rPr>
        <w:t>Journal of EMDR Practice and Research</w:t>
      </w:r>
      <w:r w:rsidRPr="00256411">
        <w:rPr>
          <w:rFonts w:ascii="Verdana" w:hAnsi="Verdana" w:cs="Times New Roman"/>
          <w:noProof/>
          <w:szCs w:val="24"/>
        </w:rPr>
        <w:t xml:space="preserve">, </w:t>
      </w:r>
      <w:r w:rsidRPr="00256411">
        <w:rPr>
          <w:rFonts w:ascii="Verdana" w:hAnsi="Verdana" w:cs="Times New Roman"/>
          <w:i/>
          <w:iCs/>
          <w:noProof/>
          <w:szCs w:val="24"/>
        </w:rPr>
        <w:t>2</w:t>
      </w:r>
      <w:r w:rsidRPr="00256411">
        <w:rPr>
          <w:rFonts w:ascii="Verdana" w:hAnsi="Verdana" w:cs="Times New Roman"/>
          <w:noProof/>
          <w:szCs w:val="24"/>
        </w:rPr>
        <w:t>(4), 247–261. https://doi.org/10.1891/1933-3196.2.4.247</w:t>
      </w:r>
    </w:p>
    <w:p w:rsidR="00256411" w:rsidRPr="00256411" w:rsidRDefault="00256411" w:rsidP="00256411">
      <w:pPr>
        <w:widowControl w:val="0"/>
        <w:autoSpaceDE w:val="0"/>
        <w:autoSpaceDN w:val="0"/>
        <w:adjustRightInd w:val="0"/>
        <w:spacing w:line="240" w:lineRule="auto"/>
        <w:ind w:left="480" w:hanging="480"/>
        <w:rPr>
          <w:rFonts w:ascii="Verdana" w:hAnsi="Verdana" w:cs="Times New Roman"/>
          <w:noProof/>
          <w:szCs w:val="24"/>
        </w:rPr>
      </w:pPr>
      <w:r w:rsidRPr="00256411">
        <w:rPr>
          <w:rFonts w:ascii="Verdana" w:hAnsi="Verdana" w:cs="Times New Roman"/>
          <w:noProof/>
          <w:szCs w:val="24"/>
        </w:rPr>
        <w:t xml:space="preserve">Posner, M. I. (1980). Orienting of attention. </w:t>
      </w:r>
      <w:r w:rsidRPr="00256411">
        <w:rPr>
          <w:rFonts w:ascii="Verdana" w:hAnsi="Verdana" w:cs="Times New Roman"/>
          <w:i/>
          <w:iCs/>
          <w:noProof/>
          <w:szCs w:val="24"/>
        </w:rPr>
        <w:t>Quarterly Journal of Experimental Psychology</w:t>
      </w:r>
      <w:r w:rsidRPr="00256411">
        <w:rPr>
          <w:rFonts w:ascii="Verdana" w:hAnsi="Verdana" w:cs="Times New Roman"/>
          <w:noProof/>
          <w:szCs w:val="24"/>
        </w:rPr>
        <w:t xml:space="preserve">, </w:t>
      </w:r>
      <w:r w:rsidRPr="00256411">
        <w:rPr>
          <w:rFonts w:ascii="Verdana" w:hAnsi="Verdana" w:cs="Times New Roman"/>
          <w:i/>
          <w:iCs/>
          <w:noProof/>
          <w:szCs w:val="24"/>
        </w:rPr>
        <w:t>32</w:t>
      </w:r>
      <w:r w:rsidRPr="00256411">
        <w:rPr>
          <w:rFonts w:ascii="Verdana" w:hAnsi="Verdana" w:cs="Times New Roman"/>
          <w:noProof/>
          <w:szCs w:val="24"/>
        </w:rPr>
        <w:t>(1), 3–25. https://doi.org/10.1080/00335558008248231</w:t>
      </w:r>
    </w:p>
    <w:p w:rsidR="00256411" w:rsidRPr="001B5CC2" w:rsidRDefault="00256411" w:rsidP="00256411">
      <w:pPr>
        <w:widowControl w:val="0"/>
        <w:autoSpaceDE w:val="0"/>
        <w:autoSpaceDN w:val="0"/>
        <w:adjustRightInd w:val="0"/>
        <w:spacing w:line="240" w:lineRule="auto"/>
        <w:ind w:left="480" w:hanging="480"/>
        <w:rPr>
          <w:rFonts w:ascii="Verdana" w:hAnsi="Verdana" w:cs="Times New Roman"/>
          <w:noProof/>
          <w:szCs w:val="24"/>
          <w:lang w:val="nl-NL"/>
        </w:rPr>
      </w:pPr>
      <w:r w:rsidRPr="001B5CC2">
        <w:rPr>
          <w:rFonts w:ascii="Verdana" w:hAnsi="Verdana" w:cs="Times New Roman"/>
          <w:noProof/>
          <w:szCs w:val="24"/>
          <w:lang w:val="nl-NL"/>
        </w:rPr>
        <w:t xml:space="preserve">van den Hout, M. A., Engelhard, I. M., Rijkeboer, M. M., Koekebakker, J., Hornsveld, H., Leer, A., … </w:t>
      </w:r>
      <w:r w:rsidRPr="00256411">
        <w:rPr>
          <w:rFonts w:ascii="Verdana" w:hAnsi="Verdana" w:cs="Times New Roman"/>
          <w:noProof/>
          <w:szCs w:val="24"/>
        </w:rPr>
        <w:t xml:space="preserve">Akse, N. (2011). EMDR: Eye movements superior to beeps in taxing working memory and reducing vividness of recollections. </w:t>
      </w:r>
      <w:r w:rsidRPr="001B5CC2">
        <w:rPr>
          <w:rFonts w:ascii="Verdana" w:hAnsi="Verdana" w:cs="Times New Roman"/>
          <w:i/>
          <w:iCs/>
          <w:noProof/>
          <w:szCs w:val="24"/>
          <w:lang w:val="nl-NL"/>
        </w:rPr>
        <w:t>Behaviour Research and Therapy</w:t>
      </w:r>
      <w:r w:rsidRPr="001B5CC2">
        <w:rPr>
          <w:rFonts w:ascii="Verdana" w:hAnsi="Verdana" w:cs="Times New Roman"/>
          <w:noProof/>
          <w:szCs w:val="24"/>
          <w:lang w:val="nl-NL"/>
        </w:rPr>
        <w:t xml:space="preserve">, </w:t>
      </w:r>
      <w:r w:rsidRPr="001B5CC2">
        <w:rPr>
          <w:rFonts w:ascii="Verdana" w:hAnsi="Verdana" w:cs="Times New Roman"/>
          <w:i/>
          <w:iCs/>
          <w:noProof/>
          <w:szCs w:val="24"/>
          <w:lang w:val="nl-NL"/>
        </w:rPr>
        <w:t>49</w:t>
      </w:r>
      <w:r w:rsidRPr="001B5CC2">
        <w:rPr>
          <w:rFonts w:ascii="Verdana" w:hAnsi="Verdana" w:cs="Times New Roman"/>
          <w:noProof/>
          <w:szCs w:val="24"/>
          <w:lang w:val="nl-NL"/>
        </w:rPr>
        <w:t>(2), 92–98. https://doi.org/10.1016/j.brat.2010.11.003</w:t>
      </w:r>
    </w:p>
    <w:p w:rsidR="00256411" w:rsidRPr="00256411" w:rsidRDefault="00256411" w:rsidP="00256411">
      <w:pPr>
        <w:widowControl w:val="0"/>
        <w:autoSpaceDE w:val="0"/>
        <w:autoSpaceDN w:val="0"/>
        <w:adjustRightInd w:val="0"/>
        <w:spacing w:line="240" w:lineRule="auto"/>
        <w:ind w:left="480" w:hanging="480"/>
        <w:rPr>
          <w:rFonts w:ascii="Verdana" w:hAnsi="Verdana" w:cs="Times New Roman"/>
          <w:noProof/>
          <w:szCs w:val="24"/>
        </w:rPr>
      </w:pPr>
      <w:r w:rsidRPr="001B5CC2">
        <w:rPr>
          <w:rFonts w:ascii="Verdana" w:hAnsi="Verdana" w:cs="Times New Roman"/>
          <w:noProof/>
          <w:szCs w:val="24"/>
          <w:lang w:val="nl-NL"/>
        </w:rPr>
        <w:t xml:space="preserve">van Veen, S. C., van Schie, K., Wijngaards-de Meij, L. D. N. V, Littel, M., Engelhard, I. M., &amp; van den Hout, M. A. (2015). </w:t>
      </w:r>
      <w:r w:rsidRPr="00256411">
        <w:rPr>
          <w:rFonts w:ascii="Verdana" w:hAnsi="Verdana" w:cs="Times New Roman"/>
          <w:noProof/>
          <w:szCs w:val="24"/>
        </w:rPr>
        <w:t xml:space="preserve">Speed Matters: Relationship between Speed of Eye Movements and Modification of Aversive Autobiographical Memories. </w:t>
      </w:r>
      <w:r w:rsidRPr="00256411">
        <w:rPr>
          <w:rFonts w:ascii="Verdana" w:hAnsi="Verdana" w:cs="Times New Roman"/>
          <w:i/>
          <w:iCs/>
          <w:noProof/>
          <w:szCs w:val="24"/>
        </w:rPr>
        <w:t>Frontiers in Psychiatry</w:t>
      </w:r>
      <w:r w:rsidRPr="00256411">
        <w:rPr>
          <w:rFonts w:ascii="Verdana" w:hAnsi="Verdana" w:cs="Times New Roman"/>
          <w:noProof/>
          <w:szCs w:val="24"/>
        </w:rPr>
        <w:t xml:space="preserve">, </w:t>
      </w:r>
      <w:r w:rsidRPr="00256411">
        <w:rPr>
          <w:rFonts w:ascii="Verdana" w:hAnsi="Verdana" w:cs="Times New Roman"/>
          <w:i/>
          <w:iCs/>
          <w:noProof/>
          <w:szCs w:val="24"/>
        </w:rPr>
        <w:t>6</w:t>
      </w:r>
      <w:r w:rsidRPr="00256411">
        <w:rPr>
          <w:rFonts w:ascii="Verdana" w:hAnsi="Verdana" w:cs="Times New Roman"/>
          <w:noProof/>
          <w:szCs w:val="24"/>
        </w:rPr>
        <w:t>(April), 45. https://doi.org/10.3389/fpsyt.2015.00045</w:t>
      </w:r>
    </w:p>
    <w:p w:rsidR="00256411" w:rsidRPr="00256411" w:rsidRDefault="00256411" w:rsidP="00256411">
      <w:pPr>
        <w:widowControl w:val="0"/>
        <w:autoSpaceDE w:val="0"/>
        <w:autoSpaceDN w:val="0"/>
        <w:adjustRightInd w:val="0"/>
        <w:spacing w:line="240" w:lineRule="auto"/>
        <w:ind w:left="480" w:hanging="480"/>
        <w:rPr>
          <w:rFonts w:ascii="Verdana" w:hAnsi="Verdana" w:cs="Times New Roman"/>
          <w:noProof/>
          <w:szCs w:val="24"/>
        </w:rPr>
      </w:pPr>
      <w:r w:rsidRPr="00256411">
        <w:rPr>
          <w:rFonts w:ascii="Verdana" w:hAnsi="Verdana" w:cs="Times New Roman"/>
          <w:noProof/>
          <w:szCs w:val="24"/>
        </w:rPr>
        <w:t xml:space="preserve">Vandierendonck, A., De Vooght, G., &amp; Van der Goten, K. (1998). Interfering with the Central Executive by Means of a Random Interval Repetition Task. </w:t>
      </w:r>
      <w:r w:rsidRPr="00256411">
        <w:rPr>
          <w:rFonts w:ascii="Verdana" w:hAnsi="Verdana" w:cs="Times New Roman"/>
          <w:i/>
          <w:iCs/>
          <w:noProof/>
          <w:szCs w:val="24"/>
        </w:rPr>
        <w:t>The Quarterly Journal of Experimental Psychology Section A</w:t>
      </w:r>
      <w:r w:rsidRPr="00256411">
        <w:rPr>
          <w:rFonts w:ascii="Verdana" w:hAnsi="Verdana" w:cs="Times New Roman"/>
          <w:noProof/>
          <w:szCs w:val="24"/>
        </w:rPr>
        <w:t xml:space="preserve">, </w:t>
      </w:r>
      <w:r w:rsidRPr="00256411">
        <w:rPr>
          <w:rFonts w:ascii="Verdana" w:hAnsi="Verdana" w:cs="Times New Roman"/>
          <w:i/>
          <w:iCs/>
          <w:noProof/>
          <w:szCs w:val="24"/>
        </w:rPr>
        <w:t>51</w:t>
      </w:r>
      <w:r w:rsidRPr="00256411">
        <w:rPr>
          <w:rFonts w:ascii="Verdana" w:hAnsi="Verdana" w:cs="Times New Roman"/>
          <w:noProof/>
          <w:szCs w:val="24"/>
        </w:rPr>
        <w:t>(1), 197–218. https://doi.org/10.1080/713755748</w:t>
      </w:r>
    </w:p>
    <w:p w:rsidR="00256411" w:rsidRPr="00256411" w:rsidRDefault="00256411" w:rsidP="00256411">
      <w:pPr>
        <w:widowControl w:val="0"/>
        <w:autoSpaceDE w:val="0"/>
        <w:autoSpaceDN w:val="0"/>
        <w:adjustRightInd w:val="0"/>
        <w:spacing w:line="240" w:lineRule="auto"/>
        <w:ind w:left="480" w:hanging="480"/>
        <w:rPr>
          <w:rFonts w:ascii="Verdana" w:hAnsi="Verdana"/>
          <w:noProof/>
        </w:rPr>
      </w:pPr>
      <w:r w:rsidRPr="00256411">
        <w:rPr>
          <w:rFonts w:ascii="Verdana" w:hAnsi="Verdana" w:cs="Times New Roman"/>
          <w:noProof/>
          <w:szCs w:val="24"/>
        </w:rPr>
        <w:t xml:space="preserve">Whelan, R. (2008). Effective Analysis of Reaction Time Data. </w:t>
      </w:r>
      <w:r w:rsidRPr="00256411">
        <w:rPr>
          <w:rFonts w:ascii="Verdana" w:hAnsi="Verdana" w:cs="Times New Roman"/>
          <w:i/>
          <w:iCs/>
          <w:noProof/>
          <w:szCs w:val="24"/>
        </w:rPr>
        <w:t>The Psychological Record</w:t>
      </w:r>
      <w:r w:rsidRPr="00256411">
        <w:rPr>
          <w:rFonts w:ascii="Verdana" w:hAnsi="Verdana" w:cs="Times New Roman"/>
          <w:noProof/>
          <w:szCs w:val="24"/>
        </w:rPr>
        <w:t xml:space="preserve">, </w:t>
      </w:r>
      <w:r w:rsidRPr="00256411">
        <w:rPr>
          <w:rFonts w:ascii="Verdana" w:hAnsi="Verdana" w:cs="Times New Roman"/>
          <w:i/>
          <w:iCs/>
          <w:noProof/>
          <w:szCs w:val="24"/>
        </w:rPr>
        <w:t>58</w:t>
      </w:r>
      <w:r w:rsidRPr="00256411">
        <w:rPr>
          <w:rFonts w:ascii="Verdana" w:hAnsi="Verdana" w:cs="Times New Roman"/>
          <w:noProof/>
          <w:szCs w:val="24"/>
        </w:rPr>
        <w:t>(3), 475–482. https://doi.org/10.1007/BF03395630</w:t>
      </w:r>
    </w:p>
    <w:p w:rsidR="001B5CC2" w:rsidRPr="001B5CC2" w:rsidRDefault="006F09B9">
      <w:r>
        <w:rPr>
          <w:lang w:val="nl-NL"/>
        </w:rPr>
        <w:fldChar w:fldCharType="end"/>
      </w:r>
    </w:p>
    <w:p w:rsidR="001B5CC2" w:rsidRPr="001B5CC2" w:rsidRDefault="001B5CC2">
      <w:r w:rsidRPr="001B5CC2">
        <w:br w:type="page"/>
      </w:r>
    </w:p>
    <w:p w:rsidR="006F09B9" w:rsidRDefault="001B5CC2">
      <w:pPr>
        <w:rPr>
          <w:b/>
        </w:rPr>
      </w:pPr>
      <w:r w:rsidRPr="001B5CC2">
        <w:rPr>
          <w:b/>
        </w:rPr>
        <w:lastRenderedPageBreak/>
        <w:t xml:space="preserve">Supplement 2: </w:t>
      </w:r>
      <w:r>
        <w:rPr>
          <w:b/>
        </w:rPr>
        <w:t>M</w:t>
      </w:r>
      <w:r w:rsidRPr="001B5CC2">
        <w:rPr>
          <w:b/>
        </w:rPr>
        <w:t>eans and standard deviations of the emotionality ratings, vividness ratings, and memory retrieval easiness ratings for the combined results of Experiment 1 and 2.</w:t>
      </w:r>
    </w:p>
    <w:tbl>
      <w:tblPr>
        <w:tblW w:w="8145" w:type="dxa"/>
        <w:tblCellMar>
          <w:top w:w="15" w:type="dxa"/>
          <w:left w:w="15" w:type="dxa"/>
          <w:bottom w:w="15" w:type="dxa"/>
          <w:right w:w="15" w:type="dxa"/>
        </w:tblCellMar>
        <w:tblLook w:val="04A0" w:firstRow="1" w:lastRow="0" w:firstColumn="1" w:lastColumn="0" w:noHBand="0" w:noVBand="1"/>
      </w:tblPr>
      <w:tblGrid>
        <w:gridCol w:w="805"/>
        <w:gridCol w:w="65"/>
        <w:gridCol w:w="1623"/>
        <w:gridCol w:w="65"/>
        <w:gridCol w:w="2370"/>
        <w:gridCol w:w="65"/>
        <w:gridCol w:w="1031"/>
        <w:gridCol w:w="65"/>
        <w:gridCol w:w="1031"/>
        <w:gridCol w:w="65"/>
        <w:gridCol w:w="863"/>
        <w:gridCol w:w="97"/>
      </w:tblGrid>
      <w:tr w:rsidR="001B5CC2" w:rsidRPr="001B5CC2" w:rsidTr="00CB2DB7">
        <w:trPr>
          <w:gridAfter w:val="1"/>
          <w:wAfter w:w="97" w:type="dxa"/>
          <w:trHeight w:val="307"/>
          <w:tblHeader/>
        </w:trPr>
        <w:tc>
          <w:tcPr>
            <w:tcW w:w="0" w:type="auto"/>
            <w:gridSpan w:val="11"/>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Table S1 </w:t>
            </w:r>
          </w:p>
          <w:p w:rsidR="001B5CC2" w:rsidRPr="001B5CC2" w:rsidRDefault="001B5CC2" w:rsidP="001B5CC2">
            <w:pPr>
              <w:spacing w:after="0" w:line="240" w:lineRule="auto"/>
              <w:rPr>
                <w:rFonts w:ascii="Times New Roman" w:eastAsia="Times New Roman" w:hAnsi="Times New Roman" w:cs="Times New Roman"/>
                <w:bCs/>
                <w:i/>
                <w:sz w:val="24"/>
                <w:szCs w:val="24"/>
                <w:lang w:eastAsia="nl-NL"/>
              </w:rPr>
            </w:pPr>
            <w:r w:rsidRPr="001B5CC2">
              <w:rPr>
                <w:rFonts w:ascii="Times New Roman" w:eastAsia="Times New Roman" w:hAnsi="Times New Roman" w:cs="Times New Roman"/>
                <w:bCs/>
                <w:i/>
                <w:sz w:val="24"/>
                <w:szCs w:val="24"/>
                <w:lang w:eastAsia="nl-NL"/>
              </w:rPr>
              <w:t xml:space="preserve">Memory emotionality ratings for the combined results of Experiment 1 and 2. </w:t>
            </w:r>
          </w:p>
        </w:tc>
      </w:tr>
      <w:tr w:rsidR="001B5CC2" w:rsidRPr="001B5CC2" w:rsidTr="00CB2DB7">
        <w:trPr>
          <w:gridAfter w:val="1"/>
          <w:wAfter w:w="97" w:type="dxa"/>
          <w:trHeight w:val="323"/>
          <w:tblHeader/>
        </w:trPr>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proofErr w:type="spellStart"/>
            <w:r w:rsidRPr="001B5CC2">
              <w:rPr>
                <w:rFonts w:ascii="Times New Roman" w:eastAsia="Times New Roman" w:hAnsi="Times New Roman" w:cs="Times New Roman"/>
                <w:bCs/>
                <w:sz w:val="24"/>
                <w:szCs w:val="24"/>
                <w:lang w:eastAsia="nl-NL"/>
              </w:rPr>
              <w:t>PrePost</w:t>
            </w:r>
            <w:proofErr w:type="spellEnd"/>
            <w:r w:rsidRPr="001B5CC2">
              <w:rPr>
                <w:rFonts w:ascii="Times New Roman" w:eastAsia="Times New Roman" w:hAnsi="Times New Roman" w:cs="Times New Roman"/>
                <w:bCs/>
                <w:sz w:val="24"/>
                <w:szCs w:val="24"/>
                <w:lang w:eastAsia="nl-NL"/>
              </w:rPr>
              <w:t xml:space="preserve">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Memory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Task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Mean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SD </w:t>
            </w:r>
          </w:p>
        </w:tc>
        <w:tc>
          <w:tcPr>
            <w:tcW w:w="0" w:type="auto"/>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N </w:t>
            </w: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Pre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Auditory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Auditory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70.70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22.27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Visuo-spatial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74.58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18.20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Control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72.54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21.11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65.89</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22.83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64.51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23.17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Control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65.18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21.64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Post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54.52</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24.47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63.54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20.86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Control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58.71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24.03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56.60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25.68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55.88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25.30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Control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55.52</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23.44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gridAfter w:val="1"/>
          <w:wAfter w:w="97" w:type="dxa"/>
        </w:trPr>
        <w:tc>
          <w:tcPr>
            <w:tcW w:w="0" w:type="auto"/>
            <w:gridSpan w:val="11"/>
            <w:tcBorders>
              <w:top w:val="nil"/>
              <w:left w:val="nil"/>
              <w:bottom w:val="single" w:sz="12" w:space="0" w:color="000000"/>
              <w:right w:val="nil"/>
            </w:tcBorders>
            <w:vAlign w:val="center"/>
            <w:hideMark/>
          </w:tcPr>
          <w:p w:rsidR="001B5CC2" w:rsidRPr="001B5CC2" w:rsidRDefault="001B5CC2" w:rsidP="001B5CC2">
            <w:pPr>
              <w:spacing w:after="0" w:line="240" w:lineRule="auto"/>
              <w:jc w:val="right"/>
              <w:rPr>
                <w:rFonts w:ascii="Times New Roman" w:eastAsia="Times New Roman" w:hAnsi="Times New Roman" w:cs="Times New Roman"/>
                <w:sz w:val="24"/>
                <w:szCs w:val="24"/>
                <w:lang w:val="nl-NL" w:eastAsia="nl-NL"/>
              </w:rPr>
            </w:pPr>
          </w:p>
        </w:tc>
      </w:tr>
    </w:tbl>
    <w:p w:rsidR="001B5CC2" w:rsidRDefault="001B5CC2">
      <w:pPr>
        <w:rPr>
          <w:b/>
        </w:rPr>
      </w:pPr>
    </w:p>
    <w:p w:rsidR="001B5CC2" w:rsidRDefault="001B5CC2">
      <w:pPr>
        <w:rPr>
          <w:b/>
        </w:rPr>
      </w:pPr>
    </w:p>
    <w:tbl>
      <w:tblPr>
        <w:tblW w:w="8145" w:type="dxa"/>
        <w:tblCellMar>
          <w:top w:w="15" w:type="dxa"/>
          <w:left w:w="15" w:type="dxa"/>
          <w:bottom w:w="15" w:type="dxa"/>
          <w:right w:w="15" w:type="dxa"/>
        </w:tblCellMar>
        <w:tblLook w:val="04A0" w:firstRow="1" w:lastRow="0" w:firstColumn="1" w:lastColumn="0" w:noHBand="0" w:noVBand="1"/>
      </w:tblPr>
      <w:tblGrid>
        <w:gridCol w:w="809"/>
        <w:gridCol w:w="65"/>
        <w:gridCol w:w="1631"/>
        <w:gridCol w:w="65"/>
        <w:gridCol w:w="2383"/>
        <w:gridCol w:w="65"/>
        <w:gridCol w:w="1037"/>
        <w:gridCol w:w="65"/>
        <w:gridCol w:w="1037"/>
        <w:gridCol w:w="65"/>
        <w:gridCol w:w="826"/>
        <w:gridCol w:w="97"/>
      </w:tblGrid>
      <w:tr w:rsidR="001B5CC2" w:rsidRPr="001B5CC2" w:rsidTr="00CB2DB7">
        <w:trPr>
          <w:gridAfter w:val="1"/>
          <w:wAfter w:w="97" w:type="dxa"/>
          <w:trHeight w:val="307"/>
          <w:tblHeader/>
        </w:trPr>
        <w:tc>
          <w:tcPr>
            <w:tcW w:w="0" w:type="auto"/>
            <w:gridSpan w:val="11"/>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Table S2 </w:t>
            </w:r>
          </w:p>
          <w:p w:rsidR="001B5CC2" w:rsidRPr="001B5CC2" w:rsidRDefault="001B5CC2" w:rsidP="001B5CC2">
            <w:pPr>
              <w:spacing w:after="0" w:line="240" w:lineRule="auto"/>
              <w:rPr>
                <w:rFonts w:ascii="Times New Roman" w:eastAsia="Times New Roman" w:hAnsi="Times New Roman" w:cs="Times New Roman"/>
                <w:bCs/>
                <w:i/>
                <w:sz w:val="24"/>
                <w:szCs w:val="24"/>
                <w:lang w:eastAsia="nl-NL"/>
              </w:rPr>
            </w:pPr>
            <w:r w:rsidRPr="001B5CC2">
              <w:rPr>
                <w:rFonts w:ascii="Times New Roman" w:eastAsia="Times New Roman" w:hAnsi="Times New Roman" w:cs="Times New Roman"/>
                <w:bCs/>
                <w:i/>
                <w:sz w:val="24"/>
                <w:szCs w:val="24"/>
                <w:lang w:eastAsia="nl-NL"/>
              </w:rPr>
              <w:t xml:space="preserve">Memory vividness ratings for the combined results of Experiment 1 and 2. </w:t>
            </w:r>
          </w:p>
        </w:tc>
      </w:tr>
      <w:tr w:rsidR="001B5CC2" w:rsidRPr="001B5CC2" w:rsidTr="00CB2DB7">
        <w:trPr>
          <w:gridAfter w:val="1"/>
          <w:wAfter w:w="97" w:type="dxa"/>
          <w:trHeight w:val="323"/>
          <w:tblHeader/>
        </w:trPr>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proofErr w:type="spellStart"/>
            <w:r w:rsidRPr="001B5CC2">
              <w:rPr>
                <w:rFonts w:ascii="Times New Roman" w:eastAsia="Times New Roman" w:hAnsi="Times New Roman" w:cs="Times New Roman"/>
                <w:bCs/>
                <w:sz w:val="24"/>
                <w:szCs w:val="24"/>
                <w:lang w:eastAsia="nl-NL"/>
              </w:rPr>
              <w:t>PrePost</w:t>
            </w:r>
            <w:proofErr w:type="spellEnd"/>
            <w:r w:rsidRPr="001B5CC2">
              <w:rPr>
                <w:rFonts w:ascii="Times New Roman" w:eastAsia="Times New Roman" w:hAnsi="Times New Roman" w:cs="Times New Roman"/>
                <w:bCs/>
                <w:sz w:val="24"/>
                <w:szCs w:val="24"/>
                <w:lang w:eastAsia="nl-NL"/>
              </w:rPr>
              <w:t xml:space="preserve">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Memory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Task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Mean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SD </w:t>
            </w:r>
          </w:p>
        </w:tc>
        <w:tc>
          <w:tcPr>
            <w:tcW w:w="0" w:type="auto"/>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N </w:t>
            </w: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Pre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Auditory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Auditory</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78.26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16.21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Visuo-spatial</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80.89</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16.04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Control</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79.75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18.68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78.65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16.71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79.11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17.35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Control</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77.99</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18.13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Post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53.57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23.91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66.13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21.02</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Control</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60.10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23.13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23"/>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65.45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22.24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Visuo-spatial</w:t>
            </w:r>
            <w:proofErr w:type="spellEnd"/>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64.44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21.59</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trHeight w:val="307"/>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Control</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64.54</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22.15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519" w:type="dxa"/>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97" w:type="dxa"/>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r>
      <w:tr w:rsidR="001B5CC2" w:rsidRPr="001B5CC2" w:rsidTr="00CB2DB7">
        <w:trPr>
          <w:gridAfter w:val="1"/>
          <w:wAfter w:w="97" w:type="dxa"/>
        </w:trPr>
        <w:tc>
          <w:tcPr>
            <w:tcW w:w="0" w:type="auto"/>
            <w:gridSpan w:val="11"/>
            <w:tcBorders>
              <w:top w:val="nil"/>
              <w:left w:val="nil"/>
              <w:bottom w:val="single" w:sz="12" w:space="0" w:color="000000"/>
              <w:right w:val="nil"/>
            </w:tcBorders>
            <w:vAlign w:val="center"/>
            <w:hideMark/>
          </w:tcPr>
          <w:p w:rsidR="001B5CC2" w:rsidRPr="001B5CC2" w:rsidRDefault="001B5CC2" w:rsidP="001B5CC2">
            <w:pPr>
              <w:spacing w:after="0" w:line="240" w:lineRule="auto"/>
              <w:jc w:val="right"/>
              <w:rPr>
                <w:rFonts w:ascii="Times New Roman" w:eastAsia="Times New Roman" w:hAnsi="Times New Roman" w:cs="Times New Roman"/>
                <w:sz w:val="24"/>
                <w:szCs w:val="24"/>
                <w:lang w:val="nl-NL" w:eastAsia="nl-NL"/>
              </w:rPr>
            </w:pPr>
          </w:p>
        </w:tc>
      </w:tr>
    </w:tbl>
    <w:p w:rsidR="001B5CC2" w:rsidRDefault="001B5CC2">
      <w:pPr>
        <w:rPr>
          <w:b/>
        </w:rPr>
      </w:pPr>
    </w:p>
    <w:p w:rsidR="001B5CC2" w:rsidRDefault="001B5CC2">
      <w:pPr>
        <w:rPr>
          <w:b/>
        </w:rPr>
      </w:pPr>
    </w:p>
    <w:tbl>
      <w:tblPr>
        <w:tblW w:w="5614" w:type="dxa"/>
        <w:tblCellMar>
          <w:top w:w="15" w:type="dxa"/>
          <w:left w:w="15" w:type="dxa"/>
          <w:bottom w:w="15" w:type="dxa"/>
          <w:right w:w="15" w:type="dxa"/>
        </w:tblCellMar>
        <w:tblLook w:val="04A0" w:firstRow="1" w:lastRow="0" w:firstColumn="1" w:lastColumn="0" w:noHBand="0" w:noVBand="1"/>
      </w:tblPr>
      <w:tblGrid>
        <w:gridCol w:w="1800"/>
        <w:gridCol w:w="56"/>
        <w:gridCol w:w="1376"/>
        <w:gridCol w:w="55"/>
        <w:gridCol w:w="874"/>
        <w:gridCol w:w="55"/>
        <w:gridCol w:w="874"/>
        <w:gridCol w:w="55"/>
        <w:gridCol w:w="414"/>
        <w:gridCol w:w="55"/>
      </w:tblGrid>
      <w:tr w:rsidR="001B5CC2" w:rsidRPr="001B5CC2" w:rsidTr="00CB2DB7">
        <w:trPr>
          <w:trHeight w:val="374"/>
          <w:tblHeader/>
        </w:trPr>
        <w:tc>
          <w:tcPr>
            <w:tcW w:w="0" w:type="auto"/>
            <w:gridSpan w:val="10"/>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lastRenderedPageBreak/>
              <w:t>Table S3</w:t>
            </w:r>
          </w:p>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i/>
                <w:sz w:val="24"/>
                <w:szCs w:val="24"/>
                <w:lang w:eastAsia="nl-NL"/>
              </w:rPr>
              <w:t>Memory retrieval easiness ratings for the combined results of Experiment 1 and 2.</w:t>
            </w:r>
            <w:r w:rsidRPr="001B5CC2">
              <w:rPr>
                <w:rFonts w:ascii="Times New Roman" w:eastAsia="Times New Roman" w:hAnsi="Times New Roman" w:cs="Times New Roman"/>
                <w:bCs/>
                <w:sz w:val="24"/>
                <w:szCs w:val="24"/>
                <w:lang w:eastAsia="nl-NL"/>
              </w:rPr>
              <w:t xml:space="preserve"> </w:t>
            </w:r>
          </w:p>
        </w:tc>
      </w:tr>
      <w:tr w:rsidR="001B5CC2" w:rsidRPr="001B5CC2" w:rsidTr="00CB2DB7">
        <w:trPr>
          <w:trHeight w:val="355"/>
          <w:tblHeader/>
        </w:trPr>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Task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Memory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Mean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SD </w:t>
            </w:r>
          </w:p>
        </w:tc>
        <w:tc>
          <w:tcPr>
            <w:tcW w:w="0" w:type="auto"/>
            <w:gridSpan w:val="2"/>
            <w:tcBorders>
              <w:top w:val="nil"/>
              <w:left w:val="nil"/>
              <w:bottom w:val="single" w:sz="6" w:space="0" w:color="000000"/>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bCs/>
                <w:sz w:val="24"/>
                <w:szCs w:val="24"/>
                <w:lang w:eastAsia="nl-NL"/>
              </w:rPr>
            </w:pPr>
            <w:r w:rsidRPr="001B5CC2">
              <w:rPr>
                <w:rFonts w:ascii="Times New Roman" w:eastAsia="Times New Roman" w:hAnsi="Times New Roman" w:cs="Times New Roman"/>
                <w:bCs/>
                <w:sz w:val="24"/>
                <w:szCs w:val="24"/>
                <w:lang w:eastAsia="nl-NL"/>
              </w:rPr>
              <w:t xml:space="preserve">N </w:t>
            </w:r>
          </w:p>
        </w:tc>
      </w:tr>
      <w:tr w:rsidR="001B5CC2" w:rsidRPr="001B5CC2" w:rsidTr="00CB2DB7">
        <w:trPr>
          <w:trHeight w:val="355"/>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Visuo-spatial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49.65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21.83</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r>
      <w:tr w:rsidR="001B5CC2" w:rsidRPr="001B5CC2" w:rsidTr="00CB2DB7">
        <w:trPr>
          <w:trHeight w:val="374"/>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Auditory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61.58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23.05</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eastAsia="nl-NL"/>
              </w:rPr>
            </w:pPr>
          </w:p>
        </w:tc>
      </w:tr>
      <w:tr w:rsidR="001B5CC2" w:rsidRPr="001B5CC2" w:rsidTr="00CB2DB7">
        <w:trPr>
          <w:trHeight w:val="355"/>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Auditory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r w:rsidRPr="001B5CC2">
              <w:rPr>
                <w:rFonts w:ascii="Times New Roman" w:eastAsia="Times New Roman" w:hAnsi="Times New Roman" w:cs="Times New Roman"/>
                <w:sz w:val="24"/>
                <w:szCs w:val="24"/>
                <w:lang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eastAsia="nl-NL"/>
              </w:rPr>
              <w:t>5</w:t>
            </w:r>
            <w:r w:rsidRPr="001B5CC2">
              <w:rPr>
                <w:rFonts w:ascii="Times New Roman" w:eastAsia="Times New Roman" w:hAnsi="Times New Roman" w:cs="Times New Roman"/>
                <w:sz w:val="24"/>
                <w:szCs w:val="24"/>
                <w:lang w:val="nl-NL" w:eastAsia="nl-NL"/>
              </w:rPr>
              <w:t>8.97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23.17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r>
      <w:tr w:rsidR="001B5CC2" w:rsidRPr="001B5CC2" w:rsidTr="00CB2DB7">
        <w:trPr>
          <w:trHeight w:val="355"/>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45.10</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23.37</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r>
      <w:tr w:rsidR="001B5CC2" w:rsidRPr="001B5CC2" w:rsidTr="00CB2DB7">
        <w:trPr>
          <w:trHeight w:val="374"/>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Control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Visual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73.86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19.81</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r>
      <w:tr w:rsidR="001B5CC2" w:rsidRPr="001B5CC2" w:rsidTr="00CB2DB7">
        <w:trPr>
          <w:trHeight w:val="355"/>
        </w:trPr>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roofErr w:type="spellStart"/>
            <w:r w:rsidRPr="001B5CC2">
              <w:rPr>
                <w:rFonts w:ascii="Times New Roman" w:eastAsia="Times New Roman" w:hAnsi="Times New Roman" w:cs="Times New Roman"/>
                <w:sz w:val="24"/>
                <w:szCs w:val="24"/>
                <w:lang w:val="nl-NL" w:eastAsia="nl-NL"/>
              </w:rPr>
              <w:t>Auditory</w:t>
            </w:r>
            <w:proofErr w:type="spellEnd"/>
            <w:r w:rsidRPr="001B5CC2">
              <w:rPr>
                <w:rFonts w:ascii="Times New Roman" w:eastAsia="Times New Roman" w:hAnsi="Times New Roman" w:cs="Times New Roman"/>
                <w:sz w:val="24"/>
                <w:szCs w:val="24"/>
                <w:lang w:val="nl-NL" w:eastAsia="nl-NL"/>
              </w:rPr>
              <w:t xml:space="preserve"> </w:t>
            </w:r>
          </w:p>
        </w:tc>
        <w:tc>
          <w:tcPr>
            <w:tcW w:w="0" w:type="auto"/>
            <w:tcBorders>
              <w:top w:val="nil"/>
              <w:left w:val="nil"/>
              <w:bottom w:val="nil"/>
              <w:right w:val="nil"/>
            </w:tcBorders>
            <w:vAlign w:val="center"/>
            <w:hideMark/>
          </w:tcPr>
          <w:p w:rsidR="001B5CC2" w:rsidRPr="001B5CC2" w:rsidRDefault="001B5CC2" w:rsidP="001B5CC2">
            <w:pPr>
              <w:spacing w:after="0" w:line="240" w:lineRule="auto"/>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75.38</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19.92</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r w:rsidRPr="001B5CC2">
              <w:rPr>
                <w:rFonts w:ascii="Times New Roman" w:eastAsia="Times New Roman" w:hAnsi="Times New Roman" w:cs="Times New Roman"/>
                <w:sz w:val="24"/>
                <w:szCs w:val="24"/>
                <w:lang w:val="nl-NL" w:eastAsia="nl-NL"/>
              </w:rPr>
              <w:t>96</w:t>
            </w:r>
          </w:p>
        </w:tc>
        <w:tc>
          <w:tcPr>
            <w:tcW w:w="0" w:type="auto"/>
            <w:tcBorders>
              <w:top w:val="nil"/>
              <w:left w:val="nil"/>
              <w:bottom w:val="nil"/>
              <w:right w:val="nil"/>
            </w:tcBorders>
            <w:vAlign w:val="center"/>
            <w:hideMark/>
          </w:tcPr>
          <w:p w:rsidR="001B5CC2" w:rsidRPr="001B5CC2" w:rsidRDefault="001B5CC2" w:rsidP="001B5CC2">
            <w:pPr>
              <w:spacing w:after="0" w:line="240" w:lineRule="auto"/>
              <w:jc w:val="center"/>
              <w:rPr>
                <w:rFonts w:ascii="Times New Roman" w:eastAsia="Times New Roman" w:hAnsi="Times New Roman" w:cs="Times New Roman"/>
                <w:sz w:val="24"/>
                <w:szCs w:val="24"/>
                <w:lang w:val="nl-NL" w:eastAsia="nl-NL"/>
              </w:rPr>
            </w:pPr>
          </w:p>
        </w:tc>
      </w:tr>
      <w:tr w:rsidR="001B5CC2" w:rsidRPr="001B5CC2" w:rsidTr="00CB2DB7">
        <w:tc>
          <w:tcPr>
            <w:tcW w:w="0" w:type="auto"/>
            <w:gridSpan w:val="10"/>
            <w:tcBorders>
              <w:top w:val="nil"/>
              <w:left w:val="nil"/>
              <w:bottom w:val="single" w:sz="12" w:space="0" w:color="000000"/>
              <w:right w:val="nil"/>
            </w:tcBorders>
            <w:vAlign w:val="center"/>
            <w:hideMark/>
          </w:tcPr>
          <w:p w:rsidR="001B5CC2" w:rsidRPr="001B5CC2" w:rsidRDefault="001B5CC2" w:rsidP="001B5CC2">
            <w:pPr>
              <w:spacing w:after="0" w:line="240" w:lineRule="auto"/>
              <w:jc w:val="right"/>
              <w:rPr>
                <w:rFonts w:ascii="Times New Roman" w:eastAsia="Times New Roman" w:hAnsi="Times New Roman" w:cs="Times New Roman"/>
                <w:sz w:val="24"/>
                <w:szCs w:val="24"/>
                <w:lang w:val="nl-NL" w:eastAsia="nl-NL"/>
              </w:rPr>
            </w:pPr>
          </w:p>
        </w:tc>
      </w:tr>
    </w:tbl>
    <w:p w:rsidR="001B5CC2" w:rsidRPr="001B5CC2" w:rsidRDefault="001B5CC2">
      <w:pPr>
        <w:rPr>
          <w:b/>
        </w:rPr>
      </w:pPr>
    </w:p>
    <w:sectPr w:rsidR="001B5CC2" w:rsidRPr="001B5C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AF9"/>
    <w:multiLevelType w:val="multilevel"/>
    <w:tmpl w:val="28E67E3C"/>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AB"/>
    <w:rsid w:val="000058CA"/>
    <w:rsid w:val="00153E57"/>
    <w:rsid w:val="00170607"/>
    <w:rsid w:val="0018637E"/>
    <w:rsid w:val="001B5CC2"/>
    <w:rsid w:val="001D6F33"/>
    <w:rsid w:val="001F5561"/>
    <w:rsid w:val="00256411"/>
    <w:rsid w:val="002B7EB8"/>
    <w:rsid w:val="003C0064"/>
    <w:rsid w:val="003C24AC"/>
    <w:rsid w:val="004B55AD"/>
    <w:rsid w:val="00514037"/>
    <w:rsid w:val="00554C3A"/>
    <w:rsid w:val="005E2114"/>
    <w:rsid w:val="00672643"/>
    <w:rsid w:val="006F09B9"/>
    <w:rsid w:val="00776B23"/>
    <w:rsid w:val="008371E9"/>
    <w:rsid w:val="008A35F7"/>
    <w:rsid w:val="008A6CAB"/>
    <w:rsid w:val="008C01DA"/>
    <w:rsid w:val="00964DC8"/>
    <w:rsid w:val="009A619A"/>
    <w:rsid w:val="009B3B97"/>
    <w:rsid w:val="00A15C01"/>
    <w:rsid w:val="00A90DED"/>
    <w:rsid w:val="00B43DD1"/>
    <w:rsid w:val="00B749F2"/>
    <w:rsid w:val="00B80DB4"/>
    <w:rsid w:val="00B946A2"/>
    <w:rsid w:val="00BD56C5"/>
    <w:rsid w:val="00BE410C"/>
    <w:rsid w:val="00CC6682"/>
    <w:rsid w:val="00D01607"/>
    <w:rsid w:val="00DE57C0"/>
    <w:rsid w:val="00DF16CF"/>
    <w:rsid w:val="00F568E7"/>
    <w:rsid w:val="00FB579D"/>
    <w:rsid w:val="00FD0CA1"/>
    <w:rsid w:val="00FF50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6225"/>
  <w15:chartTrackingRefBased/>
  <w15:docId w15:val="{F5412735-6F5C-4751-8DCF-87FE5E9C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0DB4"/>
    <w:rPr>
      <w:sz w:val="18"/>
      <w:lang w:val="en-US"/>
    </w:rPr>
  </w:style>
  <w:style w:type="paragraph" w:styleId="Heading1">
    <w:name w:val="heading 1"/>
    <w:basedOn w:val="Normal"/>
    <w:next w:val="Normal"/>
    <w:link w:val="Heading1Char"/>
    <w:uiPriority w:val="1"/>
    <w:qFormat/>
    <w:rsid w:val="00B80DB4"/>
    <w:pPr>
      <w:keepNext/>
      <w:numPr>
        <w:numId w:val="14"/>
      </w:numPr>
      <w:tabs>
        <w:tab w:val="left" w:pos="680"/>
        <w:tab w:val="left" w:pos="7371"/>
      </w:tabs>
      <w:spacing w:after="120" w:line="240" w:lineRule="atLeast"/>
      <w:outlineLvl w:val="0"/>
    </w:pPr>
    <w:rPr>
      <w:rFonts w:asciiTheme="majorHAnsi" w:eastAsia="Times" w:hAnsiTheme="majorHAnsi" w:cs="Times New Roman"/>
      <w:b/>
      <w:kern w:val="28"/>
      <w:sz w:val="26"/>
      <w:szCs w:val="20"/>
      <w:lang w:val="nl-NL" w:eastAsia="nl-NL"/>
    </w:rPr>
  </w:style>
  <w:style w:type="paragraph" w:styleId="Heading2">
    <w:name w:val="heading 2"/>
    <w:basedOn w:val="Normal"/>
    <w:next w:val="Normal"/>
    <w:link w:val="Heading2Char"/>
    <w:uiPriority w:val="1"/>
    <w:qFormat/>
    <w:rsid w:val="00B80DB4"/>
    <w:pPr>
      <w:keepNext/>
      <w:numPr>
        <w:ilvl w:val="1"/>
        <w:numId w:val="14"/>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0DB4"/>
    <w:rPr>
      <w:rFonts w:asciiTheme="majorHAnsi" w:eastAsia="Times" w:hAnsiTheme="majorHAnsi" w:cs="Times New Roman"/>
      <w:b/>
      <w:kern w:val="28"/>
      <w:sz w:val="26"/>
      <w:szCs w:val="20"/>
      <w:lang w:eastAsia="nl-NL"/>
    </w:rPr>
  </w:style>
  <w:style w:type="character" w:customStyle="1" w:styleId="Heading2Char">
    <w:name w:val="Heading 2 Char"/>
    <w:basedOn w:val="DefaultParagraphFont"/>
    <w:link w:val="Heading2"/>
    <w:uiPriority w:val="1"/>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rsid w:val="00B80DB4"/>
    <w:rPr>
      <w:rFonts w:asciiTheme="majorHAnsi" w:eastAsia="Times" w:hAnsiTheme="majorHAnsi" w:cs="Times New Roman"/>
      <w:b/>
      <w:sz w:val="16"/>
      <w:szCs w:val="20"/>
      <w:lang w:eastAsia="nl-NL"/>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5"/>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character" w:customStyle="1" w:styleId="SubtitleChar">
    <w:name w:val="Subtitle Char"/>
    <w:basedOn w:val="DefaultParagraphFont"/>
    <w:link w:val="Subtitle"/>
    <w:uiPriority w:val="3"/>
    <w:rsid w:val="00B80DB4"/>
    <w:rPr>
      <w:rFonts w:asciiTheme="majorHAnsi" w:eastAsia="Times" w:hAnsiTheme="majorHAnsi" w:cs="Times New Roman"/>
      <w:b/>
      <w:sz w:val="18"/>
      <w:szCs w:val="20"/>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character" w:customStyle="1" w:styleId="TitleChar">
    <w:name w:val="Title Char"/>
    <w:basedOn w:val="DefaultParagraphFont"/>
    <w:link w:val="Title"/>
    <w:uiPriority w:val="2"/>
    <w:rsid w:val="00B80DB4"/>
    <w:rPr>
      <w:rFonts w:asciiTheme="majorHAnsi" w:eastAsia="Times" w:hAnsiTheme="majorHAnsi" w:cs="Times New Roman"/>
      <w:b/>
      <w:sz w:val="26"/>
      <w:szCs w:val="20"/>
    </w:rPr>
  </w:style>
  <w:style w:type="character" w:styleId="Hyperlink">
    <w:name w:val="Hyperlink"/>
    <w:basedOn w:val="DefaultParagraphFont"/>
    <w:uiPriority w:val="99"/>
    <w:unhideWhenUsed/>
    <w:rsid w:val="00A90DED"/>
    <w:rPr>
      <w:color w:val="0000FF" w:themeColor="hyperlink"/>
      <w:u w:val="single"/>
    </w:rPr>
  </w:style>
  <w:style w:type="character" w:styleId="UnresolvedMention">
    <w:name w:val="Unresolved Mention"/>
    <w:basedOn w:val="DefaultParagraphFont"/>
    <w:uiPriority w:val="99"/>
    <w:semiHidden/>
    <w:unhideWhenUsed/>
    <w:rsid w:val="00A90DED"/>
    <w:rPr>
      <w:color w:val="605E5C"/>
      <w:shd w:val="clear" w:color="auto" w:fill="E1DFDD"/>
    </w:rPr>
  </w:style>
  <w:style w:type="paragraph" w:styleId="BalloonText">
    <w:name w:val="Balloon Text"/>
    <w:basedOn w:val="Normal"/>
    <w:link w:val="BalloonTextChar"/>
    <w:uiPriority w:val="99"/>
    <w:semiHidden/>
    <w:unhideWhenUsed/>
    <w:rsid w:val="00BD56C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D56C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neurobs.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solidFill>
                <a:sysClr val="windowText" lastClr="000000"/>
              </a:solidFill>
            </a:ln>
            <a:effectLst/>
          </c:spPr>
          <c:invertIfNegative val="0"/>
          <c:errBars>
            <c:errBarType val="both"/>
            <c:errValType val="cust"/>
            <c:noEndCap val="0"/>
            <c:plus>
              <c:numRef>
                <c:f>Graphs!$F$19:$F$23</c:f>
                <c:numCache>
                  <c:formatCode>General</c:formatCode>
                  <c:ptCount val="5"/>
                  <c:pt idx="0">
                    <c:v>11.8251635511643</c:v>
                  </c:pt>
                  <c:pt idx="1">
                    <c:v>15.998687925196901</c:v>
                  </c:pt>
                  <c:pt idx="2">
                    <c:v>15.9869858144546</c:v>
                  </c:pt>
                  <c:pt idx="3">
                    <c:v>20.201378310090799</c:v>
                  </c:pt>
                  <c:pt idx="4">
                    <c:v>12.2915830447361</c:v>
                  </c:pt>
                </c:numCache>
              </c:numRef>
            </c:plus>
            <c:minus>
              <c:numRef>
                <c:f>Graphs!$F$19:$F$23</c:f>
                <c:numCache>
                  <c:formatCode>General</c:formatCode>
                  <c:ptCount val="5"/>
                  <c:pt idx="0">
                    <c:v>11.8251635511643</c:v>
                  </c:pt>
                  <c:pt idx="1">
                    <c:v>15.998687925196901</c:v>
                  </c:pt>
                  <c:pt idx="2">
                    <c:v>15.9869858144546</c:v>
                  </c:pt>
                  <c:pt idx="3">
                    <c:v>20.201378310090799</c:v>
                  </c:pt>
                  <c:pt idx="4">
                    <c:v>12.2915830447361</c:v>
                  </c:pt>
                </c:numCache>
              </c:numRef>
            </c:minus>
            <c:spPr>
              <a:noFill/>
              <a:ln w="9525" cap="flat" cmpd="sng" algn="ctr">
                <a:solidFill>
                  <a:schemeClr val="tx1">
                    <a:lumMod val="65000"/>
                    <a:lumOff val="35000"/>
                  </a:schemeClr>
                </a:solidFill>
                <a:round/>
              </a:ln>
              <a:effectLst/>
            </c:spPr>
          </c:errBars>
          <c:cat>
            <c:strRef>
              <c:f>Graphs!$D$19:$D$23</c:f>
              <c:strCache>
                <c:ptCount val="5"/>
                <c:pt idx="0">
                  <c:v>Control</c:v>
                </c:pt>
                <c:pt idx="1">
                  <c:v>Auditory</c:v>
                </c:pt>
                <c:pt idx="2">
                  <c:v>Visual_fast</c:v>
                </c:pt>
                <c:pt idx="3">
                  <c:v>Visual_medium</c:v>
                </c:pt>
                <c:pt idx="4">
                  <c:v>Visual_slow</c:v>
                </c:pt>
              </c:strCache>
            </c:strRef>
          </c:cat>
          <c:val>
            <c:numRef>
              <c:f>Graphs!$E$19:$E$23</c:f>
              <c:numCache>
                <c:formatCode>General</c:formatCode>
                <c:ptCount val="5"/>
                <c:pt idx="0">
                  <c:v>384.251386983217</c:v>
                </c:pt>
                <c:pt idx="1">
                  <c:v>473.46341615102301</c:v>
                </c:pt>
                <c:pt idx="2">
                  <c:v>537.89429762150996</c:v>
                </c:pt>
                <c:pt idx="3">
                  <c:v>529.57340526342705</c:v>
                </c:pt>
                <c:pt idx="4">
                  <c:v>534.75268341416597</c:v>
                </c:pt>
              </c:numCache>
            </c:numRef>
          </c:val>
          <c:extLst>
            <c:ext xmlns:c16="http://schemas.microsoft.com/office/drawing/2014/chart" uri="{C3380CC4-5D6E-409C-BE32-E72D297353CC}">
              <c16:uniqueId val="{00000000-3E43-4F52-A0BA-472A26A780E5}"/>
            </c:ext>
          </c:extLst>
        </c:ser>
        <c:dLbls>
          <c:showLegendKey val="0"/>
          <c:showVal val="0"/>
          <c:showCatName val="0"/>
          <c:showSerName val="0"/>
          <c:showPercent val="0"/>
          <c:showBubbleSize val="0"/>
        </c:dLbls>
        <c:gapWidth val="219"/>
        <c:overlap val="-27"/>
        <c:axId val="378528136"/>
        <c:axId val="378529120"/>
      </c:barChart>
      <c:catAx>
        <c:axId val="378528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8529120"/>
        <c:crosses val="autoZero"/>
        <c:auto val="1"/>
        <c:lblAlgn val="ctr"/>
        <c:lblOffset val="100"/>
        <c:noMultiLvlLbl val="0"/>
      </c:catAx>
      <c:valAx>
        <c:axId val="378529120"/>
        <c:scaling>
          <c:orientation val="minMax"/>
          <c:min val="3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Reaction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8528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43260-F90B-4E52-964C-8CC33FF9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9CA6AEA4</Template>
  <TotalTime>0</TotalTime>
  <Pages>6</Pages>
  <Words>4746</Words>
  <Characters>26107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Mertens, G. (Gaëtan)</dc:creator>
  <cp:keywords/>
  <dc:description/>
  <cp:lastModifiedBy>Mertens, G. (Gaëtan)</cp:lastModifiedBy>
  <cp:revision>18</cp:revision>
  <dcterms:created xsi:type="dcterms:W3CDTF">2019-07-23T13:19:00Z</dcterms:created>
  <dcterms:modified xsi:type="dcterms:W3CDTF">2019-09-03T11:34:00Z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d1b8f170-cd65-33dc-b403-bd0a20fc11c4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