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7B" w:rsidRPr="008F12F1" w:rsidRDefault="00BB73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12F1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 online material</w:t>
      </w:r>
    </w:p>
    <w:p w:rsidR="00F51306" w:rsidRPr="008F12F1" w:rsidRDefault="00A74844" w:rsidP="00BB737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12F1"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  <w:r w:rsidRPr="008F12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12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Detailed information about the </w:t>
      </w:r>
      <w:r w:rsidR="00502BB1" w:rsidRPr="008F12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studied </w:t>
      </w:r>
      <w:r w:rsidRPr="008F12F1">
        <w:rPr>
          <w:rFonts w:ascii="Times New Roman" w:hAnsi="Times New Roman" w:cs="Times New Roman"/>
          <w:b/>
          <w:sz w:val="24"/>
          <w:szCs w:val="24"/>
          <w:lang w:val="en-US"/>
        </w:rPr>
        <w:t>populations</w:t>
      </w:r>
      <w:r w:rsidR="00BB737B" w:rsidRPr="008F12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r w:rsidR="00BB737B" w:rsidRPr="008F12F1">
        <w:rPr>
          <w:rFonts w:ascii="Times New Roman" w:hAnsi="Times New Roman" w:cs="Times New Roman"/>
          <w:b/>
          <w:i/>
          <w:sz w:val="24"/>
          <w:szCs w:val="24"/>
          <w:lang w:val="en-US"/>
        </w:rPr>
        <w:t>Scrophularia sambucifolia</w:t>
      </w:r>
      <w:r w:rsidR="00BB737B" w:rsidRPr="008F12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 w:rsidR="00BB737B" w:rsidRPr="008F12F1">
        <w:rPr>
          <w:rFonts w:ascii="Times New Roman" w:hAnsi="Times New Roman" w:cs="Times New Roman"/>
          <w:b/>
          <w:i/>
          <w:sz w:val="24"/>
          <w:szCs w:val="24"/>
          <w:lang w:val="en-US"/>
        </w:rPr>
        <w:t>S. grandiflora</w:t>
      </w:r>
      <w:r w:rsidRPr="008F12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74844" w:rsidRPr="008F12F1" w:rsidRDefault="00A7484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74844" w:rsidRPr="008F12F1" w:rsidRDefault="00A74844" w:rsidP="00A74844">
      <w:pPr>
        <w:pStyle w:val="Default"/>
        <w:spacing w:line="360" w:lineRule="auto"/>
        <w:ind w:firstLine="709"/>
        <w:rPr>
          <w:rFonts w:eastAsia="MS PGothic"/>
          <w:color w:val="auto"/>
          <w:lang w:val="en-US"/>
        </w:rPr>
      </w:pPr>
      <w:r w:rsidRPr="008F12F1">
        <w:rPr>
          <w:rFonts w:eastAsia="MS PGothic"/>
          <w:color w:val="auto"/>
          <w:lang w:val="en-US"/>
        </w:rPr>
        <w:t xml:space="preserve">The first </w:t>
      </w:r>
      <w:r w:rsidRPr="008F12F1">
        <w:rPr>
          <w:rFonts w:eastAsia="MS PGothic"/>
          <w:i/>
          <w:iCs/>
          <w:color w:val="auto"/>
          <w:lang w:val="en-US"/>
        </w:rPr>
        <w:t xml:space="preserve">S. sambucifolia </w:t>
      </w:r>
      <w:r w:rsidRPr="008F12F1">
        <w:rPr>
          <w:rFonts w:eastAsia="MS PGothic"/>
          <w:iCs/>
          <w:color w:val="auto"/>
          <w:lang w:val="en-US"/>
        </w:rPr>
        <w:t xml:space="preserve">population </w:t>
      </w:r>
      <w:r w:rsidRPr="008F12F1">
        <w:rPr>
          <w:rFonts w:eastAsia="MS PGothic"/>
          <w:color w:val="auto"/>
          <w:lang w:val="en-US"/>
        </w:rPr>
        <w:t xml:space="preserve">(hereinafter known as </w:t>
      </w:r>
      <w:proofErr w:type="spellStart"/>
      <w:r w:rsidRPr="008F12F1">
        <w:rPr>
          <w:rFonts w:eastAsia="MS PGothic"/>
          <w:color w:val="auto"/>
          <w:lang w:val="en-US"/>
        </w:rPr>
        <w:t>Morón</w:t>
      </w:r>
      <w:proofErr w:type="spellEnd"/>
      <w:r w:rsidRPr="008F12F1">
        <w:rPr>
          <w:rFonts w:eastAsia="MS PGothic"/>
          <w:color w:val="auto"/>
          <w:lang w:val="en-US"/>
        </w:rPr>
        <w:t xml:space="preserve">) is located in the southern part of the province of Seville (near km 7 of the A-406 road from </w:t>
      </w:r>
      <w:proofErr w:type="spellStart"/>
      <w:r w:rsidRPr="008F12F1">
        <w:rPr>
          <w:rFonts w:eastAsia="MS PGothic"/>
          <w:color w:val="auto"/>
          <w:lang w:val="en-US"/>
        </w:rPr>
        <w:t>Morón</w:t>
      </w:r>
      <w:proofErr w:type="spellEnd"/>
      <w:r w:rsidRPr="008F12F1">
        <w:rPr>
          <w:rFonts w:eastAsia="MS PGothic"/>
          <w:color w:val="auto"/>
          <w:lang w:val="en-US"/>
        </w:rPr>
        <w:t xml:space="preserve"> de la </w:t>
      </w:r>
      <w:proofErr w:type="spellStart"/>
      <w:r w:rsidRPr="008F12F1">
        <w:rPr>
          <w:rFonts w:eastAsia="MS PGothic"/>
          <w:color w:val="auto"/>
          <w:lang w:val="en-US"/>
        </w:rPr>
        <w:t>Frontera</w:t>
      </w:r>
      <w:proofErr w:type="spellEnd"/>
      <w:r w:rsidRPr="008F12F1">
        <w:rPr>
          <w:rFonts w:eastAsia="MS PGothic"/>
          <w:color w:val="auto"/>
          <w:lang w:val="en-US"/>
        </w:rPr>
        <w:t xml:space="preserve"> to </w:t>
      </w:r>
      <w:proofErr w:type="spellStart"/>
      <w:r w:rsidRPr="008F12F1">
        <w:rPr>
          <w:rFonts w:eastAsia="MS PGothic"/>
          <w:color w:val="auto"/>
          <w:lang w:val="en-US"/>
        </w:rPr>
        <w:t>Pruna</w:t>
      </w:r>
      <w:proofErr w:type="spellEnd"/>
      <w:r w:rsidRPr="008F12F1">
        <w:rPr>
          <w:rFonts w:eastAsia="MS PGothic"/>
          <w:color w:val="auto"/>
          <w:lang w:val="en-US"/>
        </w:rPr>
        <w:t>; 228 m altitude; 37°06</w:t>
      </w:r>
      <w:r w:rsidRPr="008F12F1">
        <w:rPr>
          <w:rFonts w:eastAsia="MS PGothic"/>
          <w:color w:val="auto"/>
          <w:lang w:val="en-US"/>
        </w:rPr>
        <w:sym w:font="Symbol" w:char="F0A2"/>
      </w:r>
      <w:r w:rsidRPr="008F12F1">
        <w:rPr>
          <w:rFonts w:eastAsia="MS PGothic"/>
          <w:color w:val="auto"/>
          <w:lang w:val="en-US"/>
        </w:rPr>
        <w:t>N-5°23</w:t>
      </w:r>
      <w:r w:rsidRPr="008F12F1">
        <w:rPr>
          <w:rFonts w:eastAsia="MS PGothic"/>
          <w:color w:val="auto"/>
          <w:lang w:val="en-US"/>
        </w:rPr>
        <w:sym w:font="Symbol" w:char="F0A2"/>
      </w:r>
      <w:r w:rsidRPr="008F12F1">
        <w:rPr>
          <w:rFonts w:eastAsia="MS PGothic"/>
          <w:color w:val="auto"/>
          <w:lang w:val="en-US"/>
        </w:rPr>
        <w:t xml:space="preserve">W) on slopes near the bank of the </w:t>
      </w:r>
      <w:proofErr w:type="spellStart"/>
      <w:r w:rsidRPr="008F12F1">
        <w:rPr>
          <w:rFonts w:eastAsia="MS PGothic"/>
          <w:color w:val="auto"/>
          <w:lang w:val="en-US"/>
        </w:rPr>
        <w:t>Guadaíra</w:t>
      </w:r>
      <w:proofErr w:type="spellEnd"/>
      <w:r w:rsidRPr="008F12F1">
        <w:rPr>
          <w:rFonts w:eastAsia="MS PGothic"/>
          <w:color w:val="auto"/>
          <w:lang w:val="en-US"/>
        </w:rPr>
        <w:t xml:space="preserve"> River. The second population (hereinafter El </w:t>
      </w:r>
      <w:proofErr w:type="spellStart"/>
      <w:r w:rsidRPr="008F12F1">
        <w:rPr>
          <w:rFonts w:eastAsia="MS PGothic"/>
          <w:color w:val="auto"/>
          <w:lang w:val="en-US"/>
        </w:rPr>
        <w:t>Gastor</w:t>
      </w:r>
      <w:proofErr w:type="spellEnd"/>
      <w:r w:rsidRPr="008F12F1">
        <w:rPr>
          <w:rFonts w:eastAsia="MS PGothic"/>
          <w:color w:val="auto"/>
          <w:lang w:val="en-US"/>
        </w:rPr>
        <w:t xml:space="preserve">), situated approximately 58 km from the previous one, is located in northern Cádiz Province (next to the A-374 road towards El </w:t>
      </w:r>
      <w:proofErr w:type="spellStart"/>
      <w:r w:rsidRPr="008F12F1">
        <w:rPr>
          <w:rFonts w:eastAsia="MS PGothic"/>
          <w:color w:val="auto"/>
          <w:lang w:val="en-US"/>
        </w:rPr>
        <w:t>Gastor</w:t>
      </w:r>
      <w:proofErr w:type="spellEnd"/>
      <w:r w:rsidRPr="008F12F1">
        <w:rPr>
          <w:rFonts w:eastAsia="MS PGothic"/>
          <w:color w:val="auto"/>
          <w:lang w:val="en-US"/>
        </w:rPr>
        <w:t>; 454 m altitude; 36°52</w:t>
      </w:r>
      <w:r w:rsidRPr="008F12F1">
        <w:rPr>
          <w:rFonts w:eastAsia="MS PGothic"/>
          <w:color w:val="auto"/>
          <w:lang w:val="en-US"/>
        </w:rPr>
        <w:sym w:font="Symbol" w:char="F0A2"/>
      </w:r>
      <w:r w:rsidRPr="008F12F1">
        <w:rPr>
          <w:rFonts w:eastAsia="MS PGothic"/>
          <w:color w:val="auto"/>
          <w:lang w:val="en-US"/>
        </w:rPr>
        <w:t>N-5°21</w:t>
      </w:r>
      <w:r w:rsidRPr="008F12F1">
        <w:rPr>
          <w:rFonts w:eastAsia="MS PGothic"/>
          <w:color w:val="auto"/>
          <w:lang w:val="en-US"/>
        </w:rPr>
        <w:sym w:font="Symbol" w:char="F0A2"/>
      </w:r>
      <w:r w:rsidRPr="008F12F1">
        <w:rPr>
          <w:rFonts w:eastAsia="MS PGothic"/>
          <w:color w:val="auto"/>
          <w:lang w:val="en-US"/>
        </w:rPr>
        <w:t xml:space="preserve">W) to the east of Sierra de </w:t>
      </w:r>
      <w:proofErr w:type="spellStart"/>
      <w:r w:rsidRPr="008F12F1">
        <w:rPr>
          <w:rFonts w:eastAsia="MS PGothic"/>
          <w:color w:val="auto"/>
          <w:lang w:val="en-US"/>
        </w:rPr>
        <w:t>Líjar</w:t>
      </w:r>
      <w:proofErr w:type="spellEnd"/>
      <w:r w:rsidRPr="008F12F1">
        <w:rPr>
          <w:rFonts w:eastAsia="MS PGothic"/>
          <w:color w:val="auto"/>
          <w:lang w:val="en-US"/>
        </w:rPr>
        <w:t xml:space="preserve"> (</w:t>
      </w:r>
      <w:proofErr w:type="spellStart"/>
      <w:r w:rsidRPr="008F12F1">
        <w:rPr>
          <w:rFonts w:eastAsia="MS PGothic"/>
          <w:color w:val="auto"/>
          <w:lang w:val="en-US"/>
        </w:rPr>
        <w:t>Algodonales</w:t>
      </w:r>
      <w:proofErr w:type="spellEnd"/>
      <w:r w:rsidRPr="008F12F1">
        <w:rPr>
          <w:rFonts w:eastAsia="MS PGothic"/>
          <w:color w:val="auto"/>
          <w:lang w:val="en-US"/>
        </w:rPr>
        <w:t xml:space="preserve">), also on road slopes. In both populations, the substrate is marl-limestone. The average annual temperature and rainfall at the meteorological stations closest to the investigated populations (Puebla de </w:t>
      </w:r>
      <w:proofErr w:type="spellStart"/>
      <w:r w:rsidRPr="008F12F1">
        <w:rPr>
          <w:rFonts w:eastAsia="MS PGothic"/>
          <w:color w:val="auto"/>
          <w:lang w:val="en-US"/>
        </w:rPr>
        <w:t>Cazalla</w:t>
      </w:r>
      <w:proofErr w:type="spellEnd"/>
      <w:r w:rsidRPr="008F12F1">
        <w:rPr>
          <w:rFonts w:eastAsia="MS PGothic"/>
          <w:color w:val="auto"/>
          <w:lang w:val="en-US"/>
        </w:rPr>
        <w:t xml:space="preserve">, Seville, and </w:t>
      </w:r>
      <w:proofErr w:type="spellStart"/>
      <w:r w:rsidRPr="008F12F1">
        <w:rPr>
          <w:rFonts w:eastAsia="MS PGothic"/>
          <w:color w:val="auto"/>
          <w:lang w:val="en-US"/>
        </w:rPr>
        <w:t>Villamartín</w:t>
      </w:r>
      <w:proofErr w:type="spellEnd"/>
      <w:r w:rsidRPr="008F12F1">
        <w:rPr>
          <w:rFonts w:eastAsia="MS PGothic"/>
          <w:color w:val="auto"/>
          <w:lang w:val="en-US"/>
        </w:rPr>
        <w:t xml:space="preserve">, Cádiz) were respectively 17.8 °C and 446.6 mm for </w:t>
      </w:r>
      <w:proofErr w:type="spellStart"/>
      <w:r w:rsidRPr="008F12F1">
        <w:rPr>
          <w:rFonts w:eastAsia="MS PGothic"/>
          <w:color w:val="auto"/>
          <w:lang w:val="en-US"/>
        </w:rPr>
        <w:t>Morón</w:t>
      </w:r>
      <w:proofErr w:type="spellEnd"/>
      <w:r w:rsidRPr="008F12F1">
        <w:rPr>
          <w:rFonts w:eastAsia="MS PGothic"/>
          <w:color w:val="auto"/>
          <w:lang w:val="en-US"/>
        </w:rPr>
        <w:t xml:space="preserve"> and 17.3 °C and 486.3 mm for El </w:t>
      </w:r>
      <w:proofErr w:type="spellStart"/>
      <w:r w:rsidRPr="008F12F1">
        <w:rPr>
          <w:rFonts w:eastAsia="MS PGothic"/>
          <w:color w:val="auto"/>
          <w:lang w:val="en-US"/>
        </w:rPr>
        <w:t>Gastor</w:t>
      </w:r>
      <w:proofErr w:type="spellEnd"/>
      <w:r w:rsidRPr="008F12F1">
        <w:rPr>
          <w:rFonts w:eastAsia="MS PGothic"/>
          <w:color w:val="auto"/>
          <w:lang w:val="en-US"/>
        </w:rPr>
        <w:t xml:space="preserve"> (Ministry of the Environment and Rural and Marine Affairs, 2001–2010 period). The vegetation at these two study sites is a Mediterranean scrub consisting mainly of </w:t>
      </w:r>
      <w:proofErr w:type="spellStart"/>
      <w:r w:rsidRPr="008F12F1">
        <w:rPr>
          <w:rFonts w:eastAsia="MS PGothic"/>
          <w:i/>
          <w:iCs/>
          <w:color w:val="auto"/>
          <w:lang w:val="en-US"/>
        </w:rPr>
        <w:t>Retama</w:t>
      </w:r>
      <w:proofErr w:type="spellEnd"/>
      <w:r w:rsidRPr="008F12F1">
        <w:rPr>
          <w:rFonts w:eastAsia="MS PGothic"/>
          <w:i/>
          <w:iCs/>
          <w:color w:val="auto"/>
          <w:lang w:val="en-US"/>
        </w:rPr>
        <w:t xml:space="preserve"> </w:t>
      </w:r>
      <w:proofErr w:type="spellStart"/>
      <w:r w:rsidRPr="008F12F1">
        <w:rPr>
          <w:rFonts w:eastAsia="MS PGothic"/>
          <w:i/>
          <w:iCs/>
          <w:color w:val="auto"/>
          <w:lang w:val="en-US"/>
        </w:rPr>
        <w:t>sphaerocarpa</w:t>
      </w:r>
      <w:proofErr w:type="spellEnd"/>
      <w:r w:rsidRPr="008F12F1">
        <w:rPr>
          <w:rFonts w:eastAsia="MS PGothic"/>
          <w:i/>
          <w:iCs/>
          <w:color w:val="auto"/>
          <w:lang w:val="en-US"/>
        </w:rPr>
        <w:t xml:space="preserve">, </w:t>
      </w:r>
      <w:proofErr w:type="spellStart"/>
      <w:r w:rsidRPr="008F12F1">
        <w:rPr>
          <w:rFonts w:eastAsia="MS PGothic"/>
          <w:i/>
          <w:iCs/>
          <w:color w:val="auto"/>
          <w:lang w:val="en-US"/>
        </w:rPr>
        <w:t>Chamaerops</w:t>
      </w:r>
      <w:proofErr w:type="spellEnd"/>
      <w:r w:rsidRPr="008F12F1">
        <w:rPr>
          <w:rFonts w:eastAsia="MS PGothic"/>
          <w:i/>
          <w:iCs/>
          <w:color w:val="auto"/>
          <w:lang w:val="en-US"/>
        </w:rPr>
        <w:t xml:space="preserve"> </w:t>
      </w:r>
      <w:proofErr w:type="spellStart"/>
      <w:r w:rsidRPr="008F12F1">
        <w:rPr>
          <w:rFonts w:eastAsia="MS PGothic"/>
          <w:i/>
          <w:iCs/>
          <w:color w:val="auto"/>
          <w:lang w:val="en-US"/>
        </w:rPr>
        <w:t>humilis</w:t>
      </w:r>
      <w:proofErr w:type="spellEnd"/>
      <w:r w:rsidRPr="008F12F1">
        <w:rPr>
          <w:rFonts w:eastAsia="MS PGothic"/>
          <w:color w:val="auto"/>
          <w:lang w:val="en-US"/>
        </w:rPr>
        <w:t xml:space="preserve">, </w:t>
      </w:r>
      <w:proofErr w:type="spellStart"/>
      <w:r w:rsidRPr="008F12F1">
        <w:rPr>
          <w:rFonts w:eastAsia="MS PGothic"/>
          <w:i/>
          <w:iCs/>
          <w:color w:val="auto"/>
          <w:lang w:val="en-US"/>
        </w:rPr>
        <w:t>Crataegus</w:t>
      </w:r>
      <w:proofErr w:type="spellEnd"/>
      <w:r w:rsidRPr="008F12F1">
        <w:rPr>
          <w:rFonts w:eastAsia="MS PGothic"/>
          <w:i/>
          <w:iCs/>
          <w:color w:val="auto"/>
          <w:lang w:val="en-US"/>
        </w:rPr>
        <w:t xml:space="preserve"> </w:t>
      </w:r>
      <w:proofErr w:type="spellStart"/>
      <w:r w:rsidRPr="008F12F1">
        <w:rPr>
          <w:rFonts w:eastAsia="MS PGothic"/>
          <w:i/>
          <w:iCs/>
          <w:color w:val="auto"/>
          <w:lang w:val="en-US"/>
        </w:rPr>
        <w:t>monogyna</w:t>
      </w:r>
      <w:proofErr w:type="spellEnd"/>
      <w:r w:rsidRPr="008F12F1">
        <w:rPr>
          <w:rFonts w:eastAsia="MS PGothic"/>
          <w:color w:val="auto"/>
          <w:lang w:val="en-US"/>
        </w:rPr>
        <w:t xml:space="preserve">, </w:t>
      </w:r>
      <w:proofErr w:type="spellStart"/>
      <w:r w:rsidRPr="008F12F1">
        <w:rPr>
          <w:rFonts w:eastAsia="MS PGothic"/>
          <w:i/>
          <w:iCs/>
          <w:color w:val="auto"/>
          <w:lang w:val="en-US"/>
        </w:rPr>
        <w:t>Phlomis</w:t>
      </w:r>
      <w:proofErr w:type="spellEnd"/>
      <w:r w:rsidRPr="008F12F1">
        <w:rPr>
          <w:rFonts w:eastAsia="MS PGothic"/>
          <w:i/>
          <w:iCs/>
          <w:color w:val="auto"/>
          <w:lang w:val="en-US"/>
        </w:rPr>
        <w:t xml:space="preserve"> </w:t>
      </w:r>
      <w:proofErr w:type="spellStart"/>
      <w:r w:rsidRPr="008F12F1">
        <w:rPr>
          <w:rFonts w:eastAsia="MS PGothic"/>
          <w:i/>
          <w:iCs/>
          <w:color w:val="auto"/>
          <w:lang w:val="en-US"/>
        </w:rPr>
        <w:t>purpurea</w:t>
      </w:r>
      <w:proofErr w:type="spellEnd"/>
      <w:r w:rsidRPr="008F12F1">
        <w:rPr>
          <w:rFonts w:eastAsia="MS PGothic"/>
          <w:color w:val="auto"/>
          <w:lang w:val="en-US"/>
        </w:rPr>
        <w:t xml:space="preserve">, </w:t>
      </w:r>
      <w:proofErr w:type="spellStart"/>
      <w:r w:rsidRPr="008F12F1">
        <w:rPr>
          <w:rFonts w:eastAsia="MS PGothic"/>
          <w:i/>
          <w:iCs/>
          <w:color w:val="auto"/>
          <w:lang w:val="en-US"/>
        </w:rPr>
        <w:t>Ceratonia</w:t>
      </w:r>
      <w:proofErr w:type="spellEnd"/>
      <w:r w:rsidRPr="008F12F1">
        <w:rPr>
          <w:rFonts w:eastAsia="MS PGothic"/>
          <w:i/>
          <w:iCs/>
          <w:color w:val="auto"/>
          <w:lang w:val="en-US"/>
        </w:rPr>
        <w:t xml:space="preserve"> </w:t>
      </w:r>
      <w:proofErr w:type="spellStart"/>
      <w:r w:rsidRPr="008F12F1">
        <w:rPr>
          <w:rFonts w:eastAsia="MS PGothic"/>
          <w:i/>
          <w:iCs/>
          <w:color w:val="auto"/>
          <w:lang w:val="en-US"/>
        </w:rPr>
        <w:t>siliqua</w:t>
      </w:r>
      <w:proofErr w:type="spellEnd"/>
      <w:r w:rsidRPr="008F12F1">
        <w:rPr>
          <w:rFonts w:eastAsia="MS PGothic"/>
          <w:color w:val="auto"/>
          <w:lang w:val="en-US"/>
        </w:rPr>
        <w:t xml:space="preserve">, </w:t>
      </w:r>
      <w:r w:rsidRPr="008F12F1">
        <w:rPr>
          <w:rFonts w:eastAsia="MS PGothic"/>
          <w:i/>
          <w:iCs/>
          <w:color w:val="auto"/>
          <w:lang w:val="en-US"/>
        </w:rPr>
        <w:t xml:space="preserve">Olea </w:t>
      </w:r>
      <w:proofErr w:type="spellStart"/>
      <w:r w:rsidRPr="008F12F1">
        <w:rPr>
          <w:rFonts w:eastAsia="MS PGothic"/>
          <w:i/>
          <w:iCs/>
          <w:color w:val="auto"/>
          <w:lang w:val="en-US"/>
        </w:rPr>
        <w:t>europaea</w:t>
      </w:r>
      <w:proofErr w:type="spellEnd"/>
      <w:r w:rsidRPr="008F12F1">
        <w:rPr>
          <w:rFonts w:eastAsia="MS PGothic"/>
          <w:i/>
          <w:iCs/>
          <w:color w:val="auto"/>
          <w:lang w:val="en-US"/>
        </w:rPr>
        <w:t xml:space="preserve"> </w:t>
      </w:r>
      <w:r w:rsidRPr="008F12F1">
        <w:rPr>
          <w:rFonts w:eastAsia="MS PGothic"/>
          <w:color w:val="auto"/>
          <w:lang w:val="en-US"/>
        </w:rPr>
        <w:t xml:space="preserve">var. </w:t>
      </w:r>
      <w:proofErr w:type="spellStart"/>
      <w:r w:rsidRPr="008F12F1">
        <w:rPr>
          <w:rFonts w:eastAsia="MS PGothic"/>
          <w:i/>
          <w:iCs/>
          <w:color w:val="auto"/>
          <w:lang w:val="en-US"/>
        </w:rPr>
        <w:t>sylvestris</w:t>
      </w:r>
      <w:proofErr w:type="spellEnd"/>
      <w:r w:rsidRPr="008F12F1">
        <w:rPr>
          <w:rFonts w:eastAsia="MS PGothic"/>
          <w:color w:val="auto"/>
          <w:lang w:val="en-US"/>
        </w:rPr>
        <w:t xml:space="preserve">, </w:t>
      </w:r>
      <w:proofErr w:type="spellStart"/>
      <w:r w:rsidRPr="008F12F1">
        <w:rPr>
          <w:rFonts w:eastAsia="MS PGothic"/>
          <w:i/>
          <w:iCs/>
          <w:color w:val="auto"/>
          <w:lang w:val="en-US"/>
        </w:rPr>
        <w:t>Rubia</w:t>
      </w:r>
      <w:proofErr w:type="spellEnd"/>
      <w:r w:rsidRPr="008F12F1">
        <w:rPr>
          <w:rFonts w:eastAsia="MS PGothic"/>
          <w:i/>
          <w:iCs/>
          <w:color w:val="auto"/>
          <w:lang w:val="en-US"/>
        </w:rPr>
        <w:t xml:space="preserve"> </w:t>
      </w:r>
      <w:proofErr w:type="spellStart"/>
      <w:r w:rsidRPr="008F12F1">
        <w:rPr>
          <w:rFonts w:eastAsia="MS PGothic"/>
          <w:i/>
          <w:iCs/>
          <w:color w:val="auto"/>
          <w:lang w:val="en-US"/>
        </w:rPr>
        <w:t>peregrina</w:t>
      </w:r>
      <w:proofErr w:type="spellEnd"/>
      <w:r w:rsidRPr="008F12F1">
        <w:rPr>
          <w:rFonts w:eastAsia="MS PGothic"/>
          <w:i/>
          <w:iCs/>
          <w:color w:val="auto"/>
          <w:lang w:val="en-US"/>
        </w:rPr>
        <w:t xml:space="preserve"> </w:t>
      </w:r>
      <w:r w:rsidRPr="008F12F1">
        <w:rPr>
          <w:rFonts w:eastAsia="MS PGothic"/>
          <w:color w:val="auto"/>
          <w:lang w:val="en-US"/>
        </w:rPr>
        <w:t xml:space="preserve">and </w:t>
      </w:r>
      <w:r w:rsidRPr="008F12F1">
        <w:rPr>
          <w:rFonts w:eastAsia="MS PGothic"/>
          <w:i/>
          <w:iCs/>
          <w:color w:val="auto"/>
          <w:lang w:val="en-US"/>
        </w:rPr>
        <w:t xml:space="preserve">Daphne </w:t>
      </w:r>
      <w:proofErr w:type="spellStart"/>
      <w:r w:rsidRPr="008F12F1">
        <w:rPr>
          <w:rFonts w:eastAsia="MS PGothic"/>
          <w:i/>
          <w:iCs/>
          <w:color w:val="auto"/>
          <w:lang w:val="en-US"/>
        </w:rPr>
        <w:t>gnidium</w:t>
      </w:r>
      <w:proofErr w:type="spellEnd"/>
      <w:r w:rsidRPr="008F12F1">
        <w:rPr>
          <w:rFonts w:eastAsia="MS PGothic"/>
          <w:i/>
          <w:iCs/>
          <w:color w:val="auto"/>
          <w:lang w:val="en-US"/>
        </w:rPr>
        <w:t xml:space="preserve"> </w:t>
      </w:r>
      <w:r w:rsidRPr="008F12F1">
        <w:rPr>
          <w:rFonts w:eastAsia="MS PGothic"/>
          <w:color w:val="auto"/>
          <w:lang w:val="en-US"/>
        </w:rPr>
        <w:t>along with scattered individuals of oak (</w:t>
      </w:r>
      <w:proofErr w:type="spellStart"/>
      <w:r w:rsidRPr="008F12F1">
        <w:rPr>
          <w:rFonts w:eastAsia="MS PGothic"/>
          <w:i/>
          <w:iCs/>
          <w:color w:val="auto"/>
          <w:lang w:val="en-US"/>
        </w:rPr>
        <w:t>Quercus</w:t>
      </w:r>
      <w:proofErr w:type="spellEnd"/>
      <w:r w:rsidRPr="008F12F1">
        <w:rPr>
          <w:rFonts w:eastAsia="MS PGothic"/>
          <w:i/>
          <w:iCs/>
          <w:color w:val="auto"/>
          <w:lang w:val="en-US"/>
        </w:rPr>
        <w:t xml:space="preserve"> </w:t>
      </w:r>
      <w:proofErr w:type="spellStart"/>
      <w:r w:rsidRPr="008F12F1">
        <w:rPr>
          <w:rFonts w:eastAsia="MS PGothic"/>
          <w:i/>
          <w:iCs/>
          <w:color w:val="auto"/>
          <w:lang w:val="en-US"/>
        </w:rPr>
        <w:t>rotundifolia</w:t>
      </w:r>
      <w:proofErr w:type="spellEnd"/>
      <w:r w:rsidRPr="008F12F1">
        <w:rPr>
          <w:rFonts w:eastAsia="MS PGothic"/>
          <w:color w:val="auto"/>
          <w:lang w:val="en-US"/>
        </w:rPr>
        <w:t xml:space="preserve">). </w:t>
      </w:r>
    </w:p>
    <w:p w:rsidR="00A74844" w:rsidRPr="008F12F1" w:rsidRDefault="00A74844" w:rsidP="00A7484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The first </w:t>
      </w:r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 xml:space="preserve">S. grandiflora </w:t>
      </w:r>
      <w:r w:rsidRPr="008F12F1">
        <w:rPr>
          <w:rFonts w:ascii="Times New Roman" w:eastAsia="MS PGothic" w:hAnsi="Times New Roman" w:cs="Times New Roman"/>
          <w:iCs/>
          <w:sz w:val="24"/>
          <w:szCs w:val="24"/>
          <w:lang w:val="en-US"/>
        </w:rPr>
        <w:t xml:space="preserve">population </w:t>
      </w:r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(hereinafter </w:t>
      </w:r>
      <w:proofErr w:type="spellStart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>Rabaçal</w:t>
      </w:r>
      <w:proofErr w:type="spellEnd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) is located in </w:t>
      </w:r>
      <w:proofErr w:type="spellStart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>Rabaçal</w:t>
      </w:r>
      <w:proofErr w:type="spellEnd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>Penela</w:t>
      </w:r>
      <w:proofErr w:type="spellEnd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Council), on the EM-553 roadside (199 m altitude; 40°01</w:t>
      </w:r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sym w:font="Symbol" w:char="F0A2"/>
      </w:r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>N-8°27</w:t>
      </w:r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sym w:font="Symbol" w:char="F0A2"/>
      </w:r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W). The second population (hereinafter </w:t>
      </w:r>
      <w:proofErr w:type="spellStart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>Pombalinho</w:t>
      </w:r>
      <w:proofErr w:type="spellEnd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) is situated 2.8 km from the </w:t>
      </w:r>
      <w:proofErr w:type="spellStart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>Rabaçal</w:t>
      </w:r>
      <w:proofErr w:type="spellEnd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population near </w:t>
      </w:r>
      <w:proofErr w:type="spellStart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>Pombalinho</w:t>
      </w:r>
      <w:proofErr w:type="spellEnd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>Soure</w:t>
      </w:r>
      <w:proofErr w:type="spellEnd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Council) on a private plot of land next to the road (280 m altitude; 40°00</w:t>
      </w:r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sym w:font="Symbol" w:char="F0A2"/>
      </w:r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>N-8°28</w:t>
      </w:r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sym w:font="Symbol" w:char="F0A2"/>
      </w:r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W). During the second year of the study, this population had to be replaced by another one located on public land with a similar ecology. This third population (hereinafter </w:t>
      </w:r>
      <w:proofErr w:type="spellStart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>Zambujal</w:t>
      </w:r>
      <w:proofErr w:type="spellEnd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) is 2.6 km from </w:t>
      </w:r>
      <w:proofErr w:type="spellStart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>Rabaçal</w:t>
      </w:r>
      <w:proofErr w:type="spellEnd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at an altitude of 175 m at 40°03</w:t>
      </w:r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sym w:font="Symbol" w:char="F0A2"/>
      </w:r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>N-8°27</w:t>
      </w:r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sym w:font="Symbol" w:char="F0A2"/>
      </w:r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>W. The three populations are found on marl-limestone. The average annual temperature and rainfall at the nearest meteorological station were 15.5 °C and 905.1 mm, respectively (</w:t>
      </w:r>
      <w:proofErr w:type="spellStart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>Instituto</w:t>
      </w:r>
      <w:proofErr w:type="spellEnd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>Português</w:t>
      </w:r>
      <w:proofErr w:type="spellEnd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do Mar e da </w:t>
      </w:r>
      <w:proofErr w:type="spellStart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>Atmosfera</w:t>
      </w:r>
      <w:proofErr w:type="spellEnd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, period 1971–2000). The vegetation of the </w:t>
      </w:r>
      <w:proofErr w:type="spellStart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>Rabaçal</w:t>
      </w:r>
      <w:proofErr w:type="spellEnd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population, located next to a hedge of </w:t>
      </w:r>
      <w:proofErr w:type="spellStart"/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>Rubus</w:t>
      </w:r>
      <w:proofErr w:type="spellEnd"/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>ulmifolius</w:t>
      </w:r>
      <w:proofErr w:type="spellEnd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, consists of a Mediterranean scrub comprising species such as </w:t>
      </w:r>
      <w:r w:rsidRPr="008F12F1">
        <w:rPr>
          <w:rFonts w:ascii="Times New Roman" w:eastAsia="MS PGothic" w:hAnsi="Times New Roman" w:cs="Times New Roman"/>
          <w:i/>
          <w:sz w:val="24"/>
          <w:szCs w:val="24"/>
          <w:lang w:val="en-US"/>
        </w:rPr>
        <w:t>Cistus</w:t>
      </w:r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>albidus</w:t>
      </w:r>
      <w:proofErr w:type="spellEnd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, </w:t>
      </w:r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 xml:space="preserve">Daphne </w:t>
      </w:r>
      <w:proofErr w:type="spellStart"/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>gnidium</w:t>
      </w:r>
      <w:proofErr w:type="spellEnd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>Crataegus</w:t>
      </w:r>
      <w:proofErr w:type="spellEnd"/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>monogyna</w:t>
      </w:r>
      <w:proofErr w:type="spellEnd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>Ulex</w:t>
      </w:r>
      <w:proofErr w:type="spellEnd"/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F12F1">
        <w:rPr>
          <w:rFonts w:ascii="Times New Roman" w:eastAsia="MS PGothic" w:hAnsi="Times New Roman" w:cs="Times New Roman"/>
          <w:iCs/>
          <w:sz w:val="24"/>
          <w:szCs w:val="24"/>
          <w:lang w:val="en-US"/>
        </w:rPr>
        <w:t>sp</w:t>
      </w:r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 xml:space="preserve">., </w:t>
      </w:r>
      <w:proofErr w:type="spellStart"/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>Phlomis</w:t>
      </w:r>
      <w:proofErr w:type="spellEnd"/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>purpurea</w:t>
      </w:r>
      <w:proofErr w:type="spellEnd"/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and </w:t>
      </w:r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>Scrophularia canina</w:t>
      </w:r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. The population at </w:t>
      </w:r>
      <w:proofErr w:type="spellStart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>Pombalinho</w:t>
      </w:r>
      <w:proofErr w:type="spellEnd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is part of an orchard grassland next to a pasture </w:t>
      </w:r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lastRenderedPageBreak/>
        <w:t xml:space="preserve">dotted with olive trees, </w:t>
      </w:r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 xml:space="preserve">Daphne </w:t>
      </w:r>
      <w:proofErr w:type="spellStart"/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>gnidium</w:t>
      </w:r>
      <w:proofErr w:type="spellEnd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>Quercus</w:t>
      </w:r>
      <w:proofErr w:type="spellEnd"/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>faginea</w:t>
      </w:r>
      <w:proofErr w:type="spellEnd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, </w:t>
      </w:r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 xml:space="preserve">Rosa </w:t>
      </w:r>
      <w:r w:rsidRPr="008F12F1">
        <w:rPr>
          <w:rFonts w:ascii="Times New Roman" w:eastAsia="MS PGothic" w:hAnsi="Times New Roman" w:cs="Times New Roman"/>
          <w:iCs/>
          <w:sz w:val="24"/>
          <w:szCs w:val="24"/>
          <w:lang w:val="en-US"/>
        </w:rPr>
        <w:t>sp</w:t>
      </w:r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>Jasminum</w:t>
      </w:r>
      <w:proofErr w:type="spellEnd"/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>fruticans</w:t>
      </w:r>
      <w:proofErr w:type="spellEnd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and other arboreal and shrubby elements. The </w:t>
      </w:r>
      <w:proofErr w:type="spellStart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>Zambujal</w:t>
      </w:r>
      <w:proofErr w:type="spellEnd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population borders an olive grove next to individuals of </w:t>
      </w:r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 xml:space="preserve">Antirrhinum </w:t>
      </w:r>
      <w:proofErr w:type="spellStart"/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>majus</w:t>
      </w:r>
      <w:proofErr w:type="spellEnd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>Crataegus</w:t>
      </w:r>
      <w:proofErr w:type="spellEnd"/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>monogyna</w:t>
      </w:r>
      <w:proofErr w:type="spellEnd"/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and </w:t>
      </w:r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 xml:space="preserve">Cistus </w:t>
      </w:r>
      <w:proofErr w:type="spellStart"/>
      <w:r w:rsidRPr="008F12F1">
        <w:rPr>
          <w:rFonts w:ascii="Times New Roman" w:eastAsia="MS PGothic" w:hAnsi="Times New Roman" w:cs="Times New Roman"/>
          <w:i/>
          <w:iCs/>
          <w:sz w:val="24"/>
          <w:szCs w:val="24"/>
          <w:lang w:val="en-US"/>
        </w:rPr>
        <w:t>albidus</w:t>
      </w:r>
      <w:proofErr w:type="spellEnd"/>
      <w:r w:rsidRPr="008F12F1">
        <w:rPr>
          <w:rFonts w:ascii="Times New Roman" w:eastAsia="MS PGothic" w:hAnsi="Times New Roman" w:cs="Times New Roman"/>
          <w:sz w:val="24"/>
          <w:szCs w:val="24"/>
          <w:lang w:val="en-US"/>
        </w:rPr>
        <w:t>.</w:t>
      </w:r>
    </w:p>
    <w:p w:rsidR="00A74844" w:rsidRPr="008F12F1" w:rsidRDefault="00A74844">
      <w:pPr>
        <w:rPr>
          <w:lang w:val="en-US"/>
        </w:rPr>
      </w:pPr>
    </w:p>
    <w:sectPr w:rsidR="00A74844" w:rsidRPr="008F12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44"/>
    <w:rsid w:val="00502BB1"/>
    <w:rsid w:val="008F12F1"/>
    <w:rsid w:val="00A74844"/>
    <w:rsid w:val="00BB737B"/>
    <w:rsid w:val="00F5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54F89-254F-495A-B75B-154F06BC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74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Tomás Rodríguez Riaño</cp:lastModifiedBy>
  <cp:revision>4</cp:revision>
  <dcterms:created xsi:type="dcterms:W3CDTF">2019-05-25T20:44:00Z</dcterms:created>
  <dcterms:modified xsi:type="dcterms:W3CDTF">2019-06-03T08:48:00Z</dcterms:modified>
</cp:coreProperties>
</file>