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78" w:rsidRDefault="00CB1378" w:rsidP="00CB1378">
      <w:pPr>
        <w:pStyle w:val="Heading1"/>
      </w:pPr>
      <w:r>
        <w:t xml:space="preserve">Appendix A. </w:t>
      </w:r>
    </w:p>
    <w:p w:rsidR="00CB1378" w:rsidRPr="00821C31" w:rsidRDefault="00CB1378" w:rsidP="00CB1378">
      <w:pPr>
        <w:jc w:val="center"/>
      </w:pPr>
      <w:r w:rsidRPr="005A1C01">
        <w:rPr>
          <w:noProof/>
          <w:lang w:val="en-GB" w:eastAsia="en-GB"/>
        </w:rPr>
        <w:drawing>
          <wp:inline distT="0" distB="0" distL="0" distR="0" wp14:anchorId="42CC0772" wp14:editId="28467C21">
            <wp:extent cx="4592955" cy="47656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2955" cy="4765675"/>
                    </a:xfrm>
                    <a:prstGeom prst="rect">
                      <a:avLst/>
                    </a:prstGeom>
                    <a:noFill/>
                    <a:ln>
                      <a:noFill/>
                    </a:ln>
                  </pic:spPr>
                </pic:pic>
              </a:graphicData>
            </a:graphic>
          </wp:inline>
        </w:drawing>
      </w:r>
    </w:p>
    <w:p w:rsidR="00CB1378" w:rsidRDefault="00CB1378" w:rsidP="00CB1378">
      <w:pPr>
        <w:pStyle w:val="Heading1"/>
      </w:pPr>
      <w:r>
        <w:br w:type="page"/>
      </w:r>
      <w:r w:rsidRPr="00841253">
        <w:lastRenderedPageBreak/>
        <w:t>Appendix B. Summary Statistics for Dependent and Key Independent Variables</w:t>
      </w:r>
    </w:p>
    <w:p w:rsidR="00CB1378" w:rsidRPr="00841253" w:rsidRDefault="00CB1378" w:rsidP="00CB1378">
      <w:pPr>
        <w:pStyle w:val="BodyText"/>
        <w:spacing w:before="240"/>
        <w:ind w:right="305"/>
        <w:jc w:val="both"/>
        <w:rPr>
          <w:rFonts w:eastAsiaTheme="minorHAnsi"/>
        </w:rPr>
      </w:pPr>
      <w:r w:rsidRPr="00841253">
        <w:rPr>
          <w:rFonts w:eastAsiaTheme="minorHAnsi"/>
        </w:rPr>
        <w:t>Figure B1 shows the distribution of the two dependent variables. Figure B1</w:t>
      </w:r>
      <w:r>
        <w:rPr>
          <w:rFonts w:eastAsiaTheme="minorHAnsi"/>
        </w:rPr>
        <w:t>(</w:t>
      </w:r>
      <w:r w:rsidRPr="00841253">
        <w:rPr>
          <w:rFonts w:eastAsiaTheme="minorHAnsi"/>
        </w:rPr>
        <w:t>a</w:t>
      </w:r>
      <w:r>
        <w:rPr>
          <w:rFonts w:eastAsiaTheme="minorHAnsi"/>
        </w:rPr>
        <w:t xml:space="preserve">) and B1(b) show </w:t>
      </w:r>
      <w:r w:rsidRPr="00841253">
        <w:rPr>
          <w:rFonts w:eastAsiaTheme="minorHAnsi"/>
        </w:rPr>
        <w:t>the distribution of vote-share for parties that champion deprived groups when they contest in their home state</w:t>
      </w:r>
      <w:r>
        <w:rPr>
          <w:rFonts w:eastAsiaTheme="minorHAnsi"/>
        </w:rPr>
        <w:t xml:space="preserve"> and when </w:t>
      </w:r>
      <w:r w:rsidRPr="00841253">
        <w:rPr>
          <w:rFonts w:eastAsiaTheme="minorHAnsi"/>
        </w:rPr>
        <w:t>they contest outside their home state. Figure B1</w:t>
      </w:r>
      <w:r>
        <w:rPr>
          <w:rFonts w:eastAsiaTheme="minorHAnsi"/>
        </w:rPr>
        <w:t>(</w:t>
      </w:r>
      <w:r w:rsidRPr="00841253">
        <w:rPr>
          <w:rFonts w:eastAsiaTheme="minorHAnsi"/>
        </w:rPr>
        <w:t>c</w:t>
      </w:r>
      <w:r>
        <w:rPr>
          <w:rFonts w:eastAsiaTheme="minorHAnsi"/>
        </w:rPr>
        <w:t>)</w:t>
      </w:r>
      <w:r w:rsidRPr="00841253">
        <w:rPr>
          <w:rFonts w:eastAsiaTheme="minorHAnsi"/>
        </w:rPr>
        <w:t xml:space="preserve"> shows the distribution of vote-def for parties that champion deprived groups.</w:t>
      </w:r>
    </w:p>
    <w:p w:rsidR="00CB1378" w:rsidRDefault="00CB1378" w:rsidP="00CB1378">
      <w:pPr>
        <w:pStyle w:val="BodyText"/>
        <w:spacing w:before="240"/>
        <w:rPr>
          <w:sz w:val="25"/>
        </w:rPr>
      </w:pPr>
      <w:r>
        <w:rPr>
          <w:noProof/>
          <w:lang w:val="en-GB" w:eastAsia="en-GB"/>
        </w:rPr>
        <w:drawing>
          <wp:anchor distT="0" distB="0" distL="114300" distR="114300" simplePos="0" relativeHeight="251659264" behindDoc="0" locked="0" layoutInCell="1" allowOverlap="1" wp14:anchorId="3314BE0E" wp14:editId="3DCBDE2D">
            <wp:simplePos x="0" y="0"/>
            <wp:positionH relativeFrom="column">
              <wp:posOffset>445135</wp:posOffset>
            </wp:positionH>
            <wp:positionV relativeFrom="paragraph">
              <wp:posOffset>31115</wp:posOffset>
            </wp:positionV>
            <wp:extent cx="4460240" cy="3750945"/>
            <wp:effectExtent l="0" t="0" r="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60240" cy="3750945"/>
                    </a:xfrm>
                    <a:prstGeom prst="rect">
                      <a:avLst/>
                    </a:prstGeom>
                  </pic:spPr>
                </pic:pic>
              </a:graphicData>
            </a:graphic>
            <wp14:sizeRelH relativeFrom="page">
              <wp14:pctWidth>0</wp14:pctWidth>
            </wp14:sizeRelH>
            <wp14:sizeRelV relativeFrom="page">
              <wp14:pctHeight>0</wp14:pctHeight>
            </wp14:sizeRelV>
          </wp:anchor>
        </w:drawing>
      </w:r>
    </w:p>
    <w:p w:rsidR="00CB1378" w:rsidRDefault="00CB1378" w:rsidP="00CB1378">
      <w:pPr>
        <w:pStyle w:val="BodyText"/>
        <w:spacing w:before="240"/>
        <w:jc w:val="center"/>
        <w:rPr>
          <w:sz w:val="19"/>
        </w:rPr>
      </w:pPr>
    </w:p>
    <w:p w:rsidR="00CB1378" w:rsidRDefault="00CB1378" w:rsidP="00CB1378">
      <w:pPr>
        <w:pStyle w:val="BodyText"/>
        <w:spacing w:before="240"/>
        <w:rPr>
          <w:sz w:val="16"/>
        </w:rPr>
      </w:pPr>
    </w:p>
    <w:p w:rsidR="00CB1378" w:rsidRDefault="00CB1378" w:rsidP="00CB1378">
      <w:pPr>
        <w:pStyle w:val="BodyText"/>
        <w:spacing w:before="240"/>
      </w:pPr>
    </w:p>
    <w:p w:rsidR="00CB1378" w:rsidRDefault="00CB1378" w:rsidP="00CB1378">
      <w:pPr>
        <w:spacing w:before="240" w:after="0" w:line="240" w:lineRule="auto"/>
        <w:jc w:val="center"/>
        <w:rPr>
          <w:sz w:val="20"/>
        </w:rPr>
      </w:pPr>
    </w:p>
    <w:p w:rsidR="00CB1378" w:rsidRPr="00C532D1" w:rsidRDefault="00CB1378" w:rsidP="00CB1378">
      <w:pPr>
        <w:spacing w:before="240" w:after="0" w:line="240" w:lineRule="auto"/>
        <w:ind w:right="306"/>
        <w:rPr>
          <w:w w:val="105"/>
          <w:sz w:val="20"/>
        </w:rPr>
      </w:pPr>
    </w:p>
    <w:p w:rsidR="00CB1378" w:rsidRPr="00C532D1" w:rsidRDefault="00CB1378" w:rsidP="00CB1378">
      <w:pPr>
        <w:spacing w:before="240" w:line="240" w:lineRule="auto"/>
      </w:pPr>
    </w:p>
    <w:p w:rsidR="00CB1378" w:rsidRDefault="00CB1378" w:rsidP="00CB1378">
      <w:pPr>
        <w:spacing w:before="240" w:line="240" w:lineRule="auto"/>
        <w:rPr>
          <w:rFonts w:cs="Times New Roman"/>
          <w:sz w:val="22"/>
        </w:rPr>
      </w:pPr>
    </w:p>
    <w:p w:rsidR="00CB1378" w:rsidRDefault="00CB1378" w:rsidP="00CB1378">
      <w:pPr>
        <w:spacing w:before="240" w:line="240" w:lineRule="auto"/>
        <w:rPr>
          <w:rFonts w:cs="Times New Roman"/>
          <w:sz w:val="22"/>
        </w:rPr>
      </w:pPr>
    </w:p>
    <w:p w:rsidR="00CB1378" w:rsidRDefault="00CB1378" w:rsidP="00CB1378">
      <w:pPr>
        <w:spacing w:before="240" w:line="240" w:lineRule="auto"/>
        <w:rPr>
          <w:rFonts w:cs="Times New Roman"/>
          <w:sz w:val="22"/>
        </w:rPr>
      </w:pPr>
    </w:p>
    <w:p w:rsidR="00CB1378" w:rsidRDefault="00CB1378" w:rsidP="00CB1378">
      <w:pPr>
        <w:spacing w:before="240" w:line="240" w:lineRule="auto"/>
        <w:rPr>
          <w:rFonts w:cs="Times New Roman"/>
          <w:sz w:val="22"/>
        </w:rPr>
      </w:pPr>
    </w:p>
    <w:p w:rsidR="00CB1378" w:rsidRDefault="00CB1378" w:rsidP="00CB1378">
      <w:pPr>
        <w:spacing w:before="240" w:line="240" w:lineRule="auto"/>
        <w:rPr>
          <w:rFonts w:cs="Times New Roman"/>
          <w:sz w:val="22"/>
        </w:rPr>
      </w:pPr>
    </w:p>
    <w:p w:rsidR="00CB1378" w:rsidRDefault="00CB1378" w:rsidP="00CB1378">
      <w:pPr>
        <w:spacing w:before="240" w:line="240" w:lineRule="auto"/>
        <w:jc w:val="center"/>
        <w:rPr>
          <w:noProof/>
        </w:rPr>
      </w:pPr>
    </w:p>
    <w:p w:rsidR="00CB1378" w:rsidRDefault="00CB1378" w:rsidP="00CB1378">
      <w:pPr>
        <w:spacing w:before="240" w:line="240" w:lineRule="auto"/>
        <w:jc w:val="center"/>
        <w:rPr>
          <w:rFonts w:cs="Times New Roman"/>
          <w:sz w:val="22"/>
        </w:rPr>
      </w:pPr>
      <w:r w:rsidRPr="00B274DC">
        <w:rPr>
          <w:noProof/>
          <w:lang w:val="en-GB" w:eastAsia="en-GB"/>
        </w:rPr>
        <w:drawing>
          <wp:anchor distT="0" distB="0" distL="114300" distR="114300" simplePos="0" relativeHeight="251660288" behindDoc="0" locked="0" layoutInCell="1" allowOverlap="1" wp14:anchorId="51173BF0" wp14:editId="03634CFE">
            <wp:simplePos x="0" y="0"/>
            <wp:positionH relativeFrom="column">
              <wp:posOffset>375285</wp:posOffset>
            </wp:positionH>
            <wp:positionV relativeFrom="paragraph">
              <wp:posOffset>71120</wp:posOffset>
            </wp:positionV>
            <wp:extent cx="4981575" cy="2552700"/>
            <wp:effectExtent l="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8157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378" w:rsidRDefault="00CB1378" w:rsidP="00CB1378">
      <w:pPr>
        <w:spacing w:before="240" w:line="240" w:lineRule="auto"/>
        <w:rPr>
          <w:rFonts w:cs="Times New Roman"/>
          <w:sz w:val="22"/>
        </w:rPr>
      </w:pPr>
    </w:p>
    <w:p w:rsidR="00CB1378" w:rsidRDefault="00CB1378" w:rsidP="00CB1378">
      <w:pPr>
        <w:spacing w:before="240" w:line="240" w:lineRule="auto"/>
        <w:rPr>
          <w:rFonts w:cs="Times New Roman"/>
          <w:sz w:val="22"/>
        </w:rPr>
      </w:pPr>
    </w:p>
    <w:p w:rsidR="00CB1378" w:rsidRDefault="00CB1378" w:rsidP="00CB1378">
      <w:pPr>
        <w:spacing w:before="240" w:line="240" w:lineRule="auto"/>
        <w:rPr>
          <w:rFonts w:cs="Times New Roman"/>
          <w:sz w:val="22"/>
        </w:rPr>
      </w:pPr>
    </w:p>
    <w:p w:rsidR="00CB1378" w:rsidRDefault="00CB1378" w:rsidP="00CB1378">
      <w:pPr>
        <w:spacing w:before="240" w:line="240" w:lineRule="auto"/>
        <w:rPr>
          <w:rFonts w:cs="Times New Roman"/>
          <w:sz w:val="22"/>
        </w:rPr>
      </w:pPr>
    </w:p>
    <w:p w:rsidR="00CB1378" w:rsidRDefault="00CB1378" w:rsidP="00CB1378">
      <w:pPr>
        <w:spacing w:before="240" w:line="240" w:lineRule="auto"/>
        <w:rPr>
          <w:rFonts w:cs="Times New Roman"/>
          <w:sz w:val="22"/>
        </w:rPr>
      </w:pPr>
    </w:p>
    <w:p w:rsidR="00CB1378" w:rsidRDefault="00CB1378" w:rsidP="00CB1378">
      <w:pPr>
        <w:spacing w:before="240" w:line="240" w:lineRule="auto"/>
        <w:rPr>
          <w:rFonts w:cs="Times New Roman"/>
          <w:sz w:val="22"/>
        </w:rPr>
      </w:pPr>
    </w:p>
    <w:p w:rsidR="00CB1378" w:rsidRDefault="00CB1378" w:rsidP="00CB1378">
      <w:pPr>
        <w:spacing w:before="240" w:line="240" w:lineRule="auto"/>
        <w:rPr>
          <w:rFonts w:cs="Times New Roman"/>
          <w:sz w:val="22"/>
        </w:rPr>
      </w:pPr>
    </w:p>
    <w:p w:rsidR="00CB1378" w:rsidRDefault="00CB1378" w:rsidP="00CB1378">
      <w:pPr>
        <w:spacing w:before="240" w:line="240" w:lineRule="auto"/>
        <w:rPr>
          <w:rFonts w:cs="Times New Roman"/>
          <w:sz w:val="22"/>
        </w:rPr>
      </w:pPr>
    </w:p>
    <w:p w:rsidR="00CB1378" w:rsidRDefault="00CB1378" w:rsidP="00CB1378">
      <w:pPr>
        <w:spacing w:before="240" w:line="240" w:lineRule="auto"/>
        <w:jc w:val="left"/>
        <w:rPr>
          <w:rFonts w:cs="Times New Roman"/>
          <w:sz w:val="22"/>
        </w:rPr>
      </w:pPr>
      <w:r>
        <w:rPr>
          <w:rFonts w:cs="Times New Roman"/>
          <w:sz w:val="22"/>
        </w:rPr>
        <w:br w:type="page"/>
      </w:r>
    </w:p>
    <w:p w:rsidR="00CB1378" w:rsidRDefault="00CB1378" w:rsidP="00CB1378">
      <w:pPr>
        <w:pStyle w:val="Heading1"/>
      </w:pPr>
      <w:r>
        <w:lastRenderedPageBreak/>
        <w:t>Appendix C.</w:t>
      </w:r>
    </w:p>
    <w:p w:rsidR="00CB1378" w:rsidRDefault="00CB1378" w:rsidP="00CB1378">
      <w:pPr>
        <w:spacing w:before="240" w:line="240" w:lineRule="auto"/>
        <w:jc w:val="center"/>
      </w:pPr>
      <w:r>
        <w:rPr>
          <w:noProof/>
          <w:lang w:val="en-GB" w:eastAsia="en-GB"/>
        </w:rPr>
        <w:drawing>
          <wp:inline distT="0" distB="0" distL="0" distR="0" wp14:anchorId="138D67D8" wp14:editId="32D58C75">
            <wp:extent cx="4916170" cy="19677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1780" cy="1978004"/>
                    </a:xfrm>
                    <a:prstGeom prst="rect">
                      <a:avLst/>
                    </a:prstGeom>
                  </pic:spPr>
                </pic:pic>
              </a:graphicData>
            </a:graphic>
          </wp:inline>
        </w:drawing>
      </w:r>
    </w:p>
    <w:p w:rsidR="00CB1378" w:rsidRDefault="00CB1378" w:rsidP="00CB1378">
      <w:pPr>
        <w:spacing w:before="240" w:line="240" w:lineRule="auto"/>
        <w:jc w:val="center"/>
      </w:pPr>
    </w:p>
    <w:p w:rsidR="00CB1378" w:rsidRDefault="00CB1378" w:rsidP="00CB1378">
      <w:pPr>
        <w:spacing w:line="259" w:lineRule="auto"/>
        <w:jc w:val="left"/>
        <w:rPr>
          <w:rFonts w:asciiTheme="majorBidi" w:hAnsiTheme="majorBidi" w:cstheme="majorBidi"/>
          <w:b/>
          <w:szCs w:val="32"/>
        </w:rPr>
      </w:pPr>
      <w:r>
        <w:br w:type="page"/>
      </w:r>
    </w:p>
    <w:p w:rsidR="00CB1378" w:rsidRPr="00736D04" w:rsidRDefault="00CB1378" w:rsidP="00CB1378">
      <w:pPr>
        <w:pStyle w:val="Heading1"/>
      </w:pPr>
      <w:r>
        <w:lastRenderedPageBreak/>
        <w:t xml:space="preserve">Online Appendix D: </w:t>
      </w:r>
      <w:r w:rsidRPr="00736D04">
        <w:t>Controlling for Heterogeneity Between Constituencies</w:t>
      </w:r>
    </w:p>
    <w:p w:rsidR="00CB1378" w:rsidRDefault="00CB1378" w:rsidP="00CB1378">
      <w:pPr>
        <w:spacing w:before="240" w:line="259" w:lineRule="auto"/>
        <w:rPr>
          <w:rFonts w:cs="Times New Roman"/>
          <w:sz w:val="22"/>
        </w:rPr>
      </w:pPr>
      <w:r>
        <w:rPr>
          <w:rFonts w:cs="Times New Roman"/>
          <w:sz w:val="22"/>
        </w:rPr>
        <w:t>In Table D1, i</w:t>
      </w:r>
      <w:r w:rsidRPr="00762759">
        <w:rPr>
          <w:rFonts w:cs="Times New Roman"/>
          <w:sz w:val="22"/>
        </w:rPr>
        <w:t>nstead of one general random effect that captures how each observation deviates from the predicted fixed effects, the mixed model generates multiple random effects that capture how observations deviate within a constituency, and how each constituency deviates from the overall group.</w:t>
      </w:r>
      <w:r>
        <w:rPr>
          <w:rStyle w:val="FootnoteReference"/>
          <w:rFonts w:cs="Times New Roman"/>
          <w:sz w:val="22"/>
        </w:rPr>
        <w:footnoteReference w:id="1"/>
      </w:r>
      <w:r w:rsidRPr="00762759">
        <w:rPr>
          <w:rFonts w:cs="Times New Roman"/>
          <w:sz w:val="22"/>
        </w:rPr>
        <w:t xml:space="preserve"> We use three levels of nesting, wherein each constituency belongs to a district and each district is a part of a state. We also report </w:t>
      </w:r>
      <w:r>
        <w:rPr>
          <w:rFonts w:cs="Times New Roman"/>
          <w:sz w:val="22"/>
        </w:rPr>
        <w:t>the Interclass Correlation (ICC</w:t>
      </w:r>
      <w:r w:rsidRPr="00762759">
        <w:rPr>
          <w:rFonts w:cs="Times New Roman"/>
          <w:sz w:val="22"/>
        </w:rPr>
        <w:t>)</w:t>
      </w:r>
      <w:r>
        <w:rPr>
          <w:rFonts w:cs="Times New Roman"/>
          <w:sz w:val="22"/>
        </w:rPr>
        <w:t>.</w:t>
      </w:r>
      <w:r w:rsidRPr="00762759">
        <w:rPr>
          <w:rFonts w:cs="Times New Roman"/>
          <w:sz w:val="22"/>
        </w:rPr>
        <w:t xml:space="preserve"> If ICC approaches 0 then there is no variance to explain at the constituency-level, </w:t>
      </w:r>
      <w:r>
        <w:rPr>
          <w:rFonts w:cs="Times New Roman"/>
          <w:sz w:val="22"/>
        </w:rPr>
        <w:t xml:space="preserve">and </w:t>
      </w:r>
      <w:r w:rsidRPr="00762759">
        <w:rPr>
          <w:rFonts w:cs="Times New Roman"/>
          <w:sz w:val="22"/>
        </w:rPr>
        <w:t xml:space="preserve">if the ICC approaches 1 then there is no variance to explain at the district or state level. Table </w:t>
      </w:r>
      <w:r>
        <w:rPr>
          <w:rFonts w:cs="Times New Roman"/>
          <w:sz w:val="22"/>
        </w:rPr>
        <w:t>D1</w:t>
      </w:r>
      <w:r w:rsidRPr="00762759">
        <w:rPr>
          <w:rFonts w:cs="Times New Roman"/>
          <w:sz w:val="22"/>
        </w:rPr>
        <w:t xml:space="preserve"> includes ‘margin of victory’ as a control variable.</w:t>
      </w:r>
      <w:r>
        <w:rPr>
          <w:rStyle w:val="FootnoteReference"/>
          <w:rFonts w:cs="Times New Roman"/>
          <w:sz w:val="22"/>
        </w:rPr>
        <w:footnoteReference w:id="2"/>
      </w:r>
      <w:r w:rsidRPr="00762759">
        <w:rPr>
          <w:rFonts w:cs="Times New Roman"/>
          <w:sz w:val="22"/>
        </w:rPr>
        <w:t xml:space="preserve"> The purpose is to differentiate between competitive and non-competitive races. The average margin in our sample is 10.5%. We do not find a statistically significant relationship between margin of victory and vote-share. </w:t>
      </w:r>
    </w:p>
    <w:p w:rsidR="00CB1378" w:rsidRPr="00721131" w:rsidRDefault="00CB1378" w:rsidP="00CB1378">
      <w:pPr>
        <w:spacing w:before="240" w:after="0" w:line="240" w:lineRule="auto"/>
        <w:jc w:val="center"/>
        <w:rPr>
          <w:rFonts w:cs="Times New Roman"/>
          <w:sz w:val="20"/>
        </w:rPr>
      </w:pPr>
      <w:r w:rsidRPr="00721131">
        <w:rPr>
          <w:rFonts w:cs="Times New Roman"/>
          <w:sz w:val="20"/>
        </w:rPr>
        <w:t xml:space="preserve">Table </w:t>
      </w:r>
      <w:r>
        <w:rPr>
          <w:rFonts w:cs="Times New Roman"/>
          <w:sz w:val="20"/>
        </w:rPr>
        <w:t>D1</w:t>
      </w:r>
      <w:r w:rsidRPr="00721131">
        <w:rPr>
          <w:rFonts w:cs="Times New Roman"/>
          <w:sz w:val="20"/>
        </w:rPr>
        <w:t xml:space="preserve">: </w:t>
      </w:r>
      <w:r>
        <w:rPr>
          <w:rFonts w:cs="Times New Roman"/>
          <w:sz w:val="20"/>
        </w:rPr>
        <w:t>Controlling for Heterogeneity Between Constituencies</w:t>
      </w:r>
    </w:p>
    <w:p w:rsidR="00CB1378" w:rsidRDefault="00CB1378" w:rsidP="00CB1378">
      <w:pPr>
        <w:spacing w:line="240" w:lineRule="auto"/>
        <w:jc w:val="center"/>
        <w:rPr>
          <w:rFonts w:cs="Times New Roman"/>
          <w:sz w:val="22"/>
        </w:rPr>
      </w:pPr>
      <w:r>
        <w:rPr>
          <w:noProof/>
          <w:lang w:val="en-GB" w:eastAsia="en-GB"/>
        </w:rPr>
        <w:drawing>
          <wp:inline distT="0" distB="0" distL="0" distR="0" wp14:anchorId="457A26D1" wp14:editId="7A2FF03F">
            <wp:extent cx="3359150" cy="3235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9150" cy="3235960"/>
                    </a:xfrm>
                    <a:prstGeom prst="rect">
                      <a:avLst/>
                    </a:prstGeom>
                  </pic:spPr>
                </pic:pic>
              </a:graphicData>
            </a:graphic>
          </wp:inline>
        </w:drawing>
      </w:r>
    </w:p>
    <w:p w:rsidR="00CB1378" w:rsidRPr="00762759" w:rsidRDefault="00CB1378" w:rsidP="00CB1378">
      <w:pPr>
        <w:spacing w:before="240" w:line="240" w:lineRule="auto"/>
        <w:ind w:firstLine="720"/>
        <w:rPr>
          <w:rFonts w:cs="Times New Roman"/>
          <w:sz w:val="22"/>
        </w:rPr>
      </w:pPr>
      <w:r w:rsidRPr="00762759">
        <w:rPr>
          <w:rFonts w:cs="Times New Roman"/>
          <w:sz w:val="22"/>
        </w:rPr>
        <w:t xml:space="preserve">Column </w:t>
      </w:r>
      <w:r>
        <w:rPr>
          <w:rFonts w:cs="Times New Roman"/>
          <w:sz w:val="22"/>
        </w:rPr>
        <w:t>AP1 of Table 3</w:t>
      </w:r>
      <w:r w:rsidRPr="00762759">
        <w:rPr>
          <w:rFonts w:cs="Times New Roman"/>
          <w:sz w:val="22"/>
        </w:rPr>
        <w:t xml:space="preserve"> applies to all state legislative constituencies. Column </w:t>
      </w:r>
      <w:r>
        <w:rPr>
          <w:rFonts w:cs="Times New Roman"/>
          <w:sz w:val="22"/>
        </w:rPr>
        <w:t>AP 2</w:t>
      </w:r>
      <w:r w:rsidRPr="00762759">
        <w:rPr>
          <w:rFonts w:cs="Times New Roman"/>
          <w:sz w:val="22"/>
        </w:rPr>
        <w:t xml:space="preserve"> excludes those constitutes </w:t>
      </w:r>
      <w:r>
        <w:rPr>
          <w:rFonts w:cs="Times New Roman"/>
          <w:sz w:val="22"/>
        </w:rPr>
        <w:t xml:space="preserve">that are reserved for members of </w:t>
      </w:r>
      <w:r w:rsidRPr="00762759">
        <w:rPr>
          <w:rFonts w:cs="Times New Roman"/>
          <w:sz w:val="22"/>
        </w:rPr>
        <w:t xml:space="preserve">Scheduled Caste or Scheduled Tribe. Such constituencies have higher than average population share of Scheduled Caste or Scheduled Tribe. This may be of advantage to parties that champion the two subaltern groups. We therefore present results for both scenarios, where </w:t>
      </w:r>
      <w:r>
        <w:rPr>
          <w:rFonts w:cs="Times New Roman"/>
          <w:sz w:val="22"/>
        </w:rPr>
        <w:t>AP1 includes and AP2</w:t>
      </w:r>
      <w:r w:rsidRPr="00762759">
        <w:rPr>
          <w:rFonts w:cs="Times New Roman"/>
          <w:sz w:val="22"/>
        </w:rPr>
        <w:t xml:space="preserve"> excludes such constituencies. We find that even after controlling for con</w:t>
      </w:r>
      <w:r>
        <w:rPr>
          <w:rFonts w:cs="Times New Roman"/>
          <w:sz w:val="22"/>
        </w:rPr>
        <w:t>stituency-level effects, within-</w:t>
      </w:r>
      <w:r w:rsidRPr="00762759">
        <w:rPr>
          <w:rFonts w:cs="Times New Roman"/>
          <w:sz w:val="22"/>
        </w:rPr>
        <w:t>group inequality is</w:t>
      </w:r>
      <w:r>
        <w:rPr>
          <w:rFonts w:cs="Times New Roman"/>
          <w:sz w:val="22"/>
        </w:rPr>
        <w:t xml:space="preserve"> </w:t>
      </w:r>
      <w:r w:rsidRPr="00762759">
        <w:rPr>
          <w:rFonts w:cs="Times New Roman"/>
          <w:sz w:val="22"/>
        </w:rPr>
        <w:t>negatively correlated with vote-share.</w:t>
      </w:r>
      <w:r>
        <w:rPr>
          <w:rStyle w:val="FootnoteReference"/>
          <w:rFonts w:cs="Times New Roman"/>
          <w:sz w:val="22"/>
        </w:rPr>
        <w:footnoteReference w:id="3"/>
      </w:r>
      <w:r w:rsidRPr="00762759">
        <w:rPr>
          <w:rFonts w:cs="Times New Roman"/>
          <w:sz w:val="22"/>
        </w:rPr>
        <w:t xml:space="preserve"> Wh</w:t>
      </w:r>
      <w:r>
        <w:rPr>
          <w:rFonts w:cs="Times New Roman"/>
          <w:sz w:val="22"/>
        </w:rPr>
        <w:t>ile the coefficient for between-</w:t>
      </w:r>
      <w:r w:rsidRPr="00762759">
        <w:rPr>
          <w:rFonts w:cs="Times New Roman"/>
          <w:sz w:val="22"/>
        </w:rPr>
        <w:t xml:space="preserve">group inequality is negative, the coefficient for the interaction term is positive. The joint-effects can be understood using </w:t>
      </w:r>
      <w:r>
        <w:rPr>
          <w:rFonts w:cs="Times New Roman"/>
          <w:sz w:val="22"/>
        </w:rPr>
        <w:t>Figure B1 constructed using the specification in Column AP2.</w:t>
      </w:r>
      <w:r w:rsidRPr="00762759">
        <w:rPr>
          <w:rFonts w:cs="Times New Roman"/>
          <w:sz w:val="22"/>
        </w:rPr>
        <w:t xml:space="preserve"> </w:t>
      </w:r>
      <w:r>
        <w:rPr>
          <w:rFonts w:cs="Times New Roman"/>
          <w:sz w:val="22"/>
        </w:rPr>
        <w:t>It</w:t>
      </w:r>
      <w:r w:rsidRPr="00762759">
        <w:rPr>
          <w:rFonts w:cs="Times New Roman"/>
          <w:sz w:val="22"/>
        </w:rPr>
        <w:t xml:space="preserve"> show</w:t>
      </w:r>
      <w:r>
        <w:rPr>
          <w:rFonts w:cs="Times New Roman"/>
          <w:sz w:val="22"/>
        </w:rPr>
        <w:t>s</w:t>
      </w:r>
      <w:r w:rsidRPr="00762759">
        <w:rPr>
          <w:rFonts w:cs="Times New Roman"/>
          <w:sz w:val="22"/>
        </w:rPr>
        <w:t xml:space="preserve"> that vote-share increases with an increase in between-group inequality and a decrease in within-group inequality.  </w:t>
      </w:r>
      <w:r>
        <w:rPr>
          <w:rFonts w:cs="Times New Roman"/>
          <w:sz w:val="22"/>
        </w:rPr>
        <w:t xml:space="preserve">However, at extreme values of between-group inequality, we find the relationship between within-group </w:t>
      </w:r>
      <w:r>
        <w:rPr>
          <w:rFonts w:cs="Times New Roman"/>
          <w:sz w:val="22"/>
        </w:rPr>
        <w:lastRenderedPageBreak/>
        <w:t xml:space="preserve">inequality and vote-share may turn positive. However, this change occurs when between-group inequality is greater than 0.6. This region covers less 5% of the observations and hence we are unable to verify if the relationship is statistically significant. Second, we believe that the multi-level model does not exactly replicate the Tables 1 and 2 because data on inequality is measured at the district level while vote-share is measured at the constituency level. On an average, each district has 6-7 state legislative constituencies. Since, National Sample Survey reports household consumption only at the district level, we are unable to extend our analysis to the level of constituencies. </w:t>
      </w:r>
      <w:r w:rsidRPr="00762759">
        <w:rPr>
          <w:rFonts w:cs="Times New Roman"/>
          <w:sz w:val="22"/>
        </w:rPr>
        <w:t xml:space="preserve">In Column </w:t>
      </w:r>
      <w:r>
        <w:rPr>
          <w:rFonts w:cs="Times New Roman"/>
          <w:sz w:val="22"/>
        </w:rPr>
        <w:t>AP12</w:t>
      </w:r>
      <w:r w:rsidRPr="00762759">
        <w:rPr>
          <w:rFonts w:cs="Times New Roman"/>
          <w:sz w:val="22"/>
        </w:rPr>
        <w:t xml:space="preserve"> we drop within-group inequal</w:t>
      </w:r>
      <w:r>
        <w:rPr>
          <w:rFonts w:cs="Times New Roman"/>
          <w:sz w:val="22"/>
        </w:rPr>
        <w:t>ity and use the Theil Index to measure between-</w:t>
      </w:r>
      <w:r w:rsidRPr="00762759">
        <w:rPr>
          <w:rFonts w:cs="Times New Roman"/>
          <w:sz w:val="22"/>
        </w:rPr>
        <w:t>group inequality. We find a positive correla</w:t>
      </w:r>
      <w:r>
        <w:rPr>
          <w:rFonts w:cs="Times New Roman"/>
          <w:sz w:val="22"/>
        </w:rPr>
        <w:t>tion</w:t>
      </w:r>
      <w:r w:rsidRPr="00762759">
        <w:rPr>
          <w:rFonts w:cs="Times New Roman"/>
          <w:sz w:val="22"/>
        </w:rPr>
        <w:t xml:space="preserve"> reaffirming the expectation that high inequality between ethnic groups boosts the vote-share of ethnic parties.</w:t>
      </w:r>
    </w:p>
    <w:p w:rsidR="00CB1378" w:rsidRDefault="00CB1378" w:rsidP="00CB1378">
      <w:pPr>
        <w:spacing w:before="240" w:after="0" w:line="240" w:lineRule="auto"/>
        <w:jc w:val="center"/>
        <w:rPr>
          <w:rFonts w:cs="Times New Roman"/>
          <w:sz w:val="22"/>
        </w:rPr>
      </w:pPr>
    </w:p>
    <w:p w:rsidR="00CB1378" w:rsidRDefault="00CB1378" w:rsidP="00CB1378">
      <w:pPr>
        <w:spacing w:line="259" w:lineRule="auto"/>
        <w:jc w:val="left"/>
        <w:rPr>
          <w:rFonts w:cs="Times New Roman"/>
          <w:sz w:val="22"/>
        </w:rPr>
      </w:pPr>
      <w:r>
        <w:rPr>
          <w:rFonts w:cs="Times New Roman"/>
          <w:sz w:val="22"/>
        </w:rPr>
        <w:br w:type="page"/>
      </w:r>
    </w:p>
    <w:p w:rsidR="00CB1378" w:rsidRDefault="00CB1378" w:rsidP="00CB1378">
      <w:pPr>
        <w:pStyle w:val="Heading1"/>
      </w:pPr>
      <w:r>
        <w:lastRenderedPageBreak/>
        <w:t xml:space="preserve">Online Appendix E: </w:t>
      </w:r>
      <w:r w:rsidRPr="00F47E88">
        <w:t>Ethnification</w:t>
      </w:r>
      <w:r w:rsidRPr="00AB5499">
        <w:t xml:space="preserve"> </w:t>
      </w:r>
      <w:r>
        <w:t>of Party Systems</w:t>
      </w:r>
    </w:p>
    <w:p w:rsidR="00CB1378" w:rsidRDefault="00CB1378" w:rsidP="00CB1378">
      <w:pPr>
        <w:spacing w:before="240" w:line="240" w:lineRule="auto"/>
        <w:ind w:firstLine="720"/>
        <w:rPr>
          <w:rFonts w:cs="Times New Roman"/>
          <w:sz w:val="22"/>
        </w:rPr>
      </w:pPr>
      <w:r>
        <w:rPr>
          <w:rFonts w:cs="Times New Roman"/>
          <w:sz w:val="22"/>
        </w:rPr>
        <w:t>Huber and Suryanarayan (2016) demon</w:t>
      </w:r>
      <w:r w:rsidRPr="007B16B5">
        <w:rPr>
          <w:rFonts w:cs="Times New Roman"/>
          <w:sz w:val="22"/>
        </w:rPr>
        <w:t>strate that when ethnic inequality is high, the degree to which parties have unique ethnic bases of support increases.</w:t>
      </w:r>
      <w:r>
        <w:rPr>
          <w:rFonts w:cs="Times New Roman"/>
          <w:sz w:val="22"/>
        </w:rPr>
        <w:t xml:space="preserve"> Their</w:t>
      </w:r>
      <w:r w:rsidRPr="007B16B5">
        <w:rPr>
          <w:rFonts w:cs="Times New Roman"/>
          <w:sz w:val="22"/>
        </w:rPr>
        <w:t xml:space="preserve"> findings </w:t>
      </w:r>
      <w:r>
        <w:rPr>
          <w:rFonts w:cs="Times New Roman"/>
          <w:sz w:val="22"/>
        </w:rPr>
        <w:t xml:space="preserve">applied to our sample would suggest that </w:t>
      </w:r>
      <w:r w:rsidRPr="007B16B5">
        <w:rPr>
          <w:rFonts w:cs="Times New Roman"/>
          <w:sz w:val="22"/>
        </w:rPr>
        <w:t>parties that champion deprived groups are more likely to succeed in states where inequality between the members and non-members of the group is high. This implies, ethnic inequality not only impacts vote-share but also the variable ‘Regional Party HQ.’</w:t>
      </w:r>
      <w:r>
        <w:rPr>
          <w:rFonts w:cs="Times New Roman"/>
          <w:sz w:val="22"/>
        </w:rPr>
        <w:t xml:space="preserve"> </w:t>
      </w:r>
      <w:r w:rsidRPr="007B16B5">
        <w:rPr>
          <w:rFonts w:cs="Times New Roman"/>
          <w:sz w:val="22"/>
        </w:rPr>
        <w:t xml:space="preserve">The underlying rationale being that parties that favor deprived groups are more likely to be found in states where such parties are likely to succeed. In order to separate the direct effects of inequality on vote-share from the indirect effects, captured through ‘Regional Party HQ’, we use instrumental variables. In Table </w:t>
      </w:r>
      <w:r>
        <w:rPr>
          <w:rFonts w:cs="Times New Roman"/>
          <w:sz w:val="22"/>
        </w:rPr>
        <w:t>E1</w:t>
      </w:r>
      <w:r w:rsidRPr="007B16B5">
        <w:rPr>
          <w:rFonts w:cs="Times New Roman"/>
          <w:sz w:val="22"/>
        </w:rPr>
        <w:t xml:space="preserve"> we instrument ‘Regional Party HQ’ using three variables, 1) inequality among members of a party’s target ethnic group, 2) inequality between members and non-members of party’s target ethnic group, 3) and population-share of a</w:t>
      </w:r>
      <w:r>
        <w:rPr>
          <w:rFonts w:cs="Times New Roman"/>
          <w:sz w:val="22"/>
        </w:rPr>
        <w:t xml:space="preserve"> party’s target ethnic group. </w:t>
      </w:r>
      <w:r w:rsidRPr="007B16B5">
        <w:rPr>
          <w:rFonts w:cs="Times New Roman"/>
          <w:sz w:val="22"/>
        </w:rPr>
        <w:t xml:space="preserve">All three variables are measured at the state-level and </w:t>
      </w:r>
      <w:r>
        <w:rPr>
          <w:rFonts w:cs="Times New Roman"/>
          <w:sz w:val="22"/>
        </w:rPr>
        <w:t>so is ‘Regional-Party HQ.’ Fur</w:t>
      </w:r>
      <w:r w:rsidRPr="007B16B5">
        <w:rPr>
          <w:rFonts w:cs="Times New Roman"/>
          <w:sz w:val="22"/>
        </w:rPr>
        <w:t>thermore, the three variables are estimated using the 55</w:t>
      </w:r>
      <w:r w:rsidRPr="00EA2FA5">
        <w:rPr>
          <w:rFonts w:cs="Times New Roman"/>
          <w:sz w:val="22"/>
          <w:vertAlign w:val="superscript"/>
        </w:rPr>
        <w:t>th</w:t>
      </w:r>
      <w:r w:rsidRPr="007B16B5">
        <w:rPr>
          <w:rFonts w:cs="Times New Roman"/>
          <w:sz w:val="22"/>
        </w:rPr>
        <w:t xml:space="preserve"> round of National Sample Survey conducted in 1999. Table </w:t>
      </w:r>
      <w:r>
        <w:rPr>
          <w:rFonts w:cs="Times New Roman"/>
          <w:sz w:val="22"/>
        </w:rPr>
        <w:t>F1</w:t>
      </w:r>
      <w:r w:rsidRPr="007B16B5">
        <w:rPr>
          <w:rFonts w:cs="Times New Roman"/>
          <w:sz w:val="22"/>
        </w:rPr>
        <w:t xml:space="preserve"> shows that ethnic inequality not only manifests through ethnic voting but also through </w:t>
      </w:r>
      <w:r w:rsidRPr="00EA2FA5">
        <w:rPr>
          <w:rFonts w:cs="Times New Roman"/>
          <w:i/>
          <w:sz w:val="22"/>
        </w:rPr>
        <w:t>ethnification</w:t>
      </w:r>
      <w:r w:rsidRPr="007B16B5">
        <w:rPr>
          <w:rFonts w:cs="Times New Roman"/>
          <w:sz w:val="22"/>
        </w:rPr>
        <w:t xml:space="preserve"> of party systems. The first stage regressions, show that an ethnic party that champions deprived groups is more likely to be found when coethnic population</w:t>
      </w:r>
      <w:r>
        <w:rPr>
          <w:rFonts w:cs="Times New Roman"/>
          <w:sz w:val="22"/>
        </w:rPr>
        <w:t>-share is high, inequality within</w:t>
      </w:r>
      <w:r w:rsidRPr="007B16B5">
        <w:rPr>
          <w:rFonts w:cs="Times New Roman"/>
          <w:sz w:val="22"/>
        </w:rPr>
        <w:t xml:space="preserve"> </w:t>
      </w:r>
      <w:r>
        <w:rPr>
          <w:rFonts w:cs="Times New Roman"/>
          <w:sz w:val="22"/>
        </w:rPr>
        <w:t>target</w:t>
      </w:r>
      <w:r w:rsidRPr="007B16B5">
        <w:rPr>
          <w:rFonts w:cs="Times New Roman"/>
          <w:sz w:val="22"/>
        </w:rPr>
        <w:t xml:space="preserve"> ethnic groups is low, and inequality between members and non-members of </w:t>
      </w:r>
      <w:r>
        <w:rPr>
          <w:rFonts w:cs="Times New Roman"/>
          <w:sz w:val="22"/>
        </w:rPr>
        <w:t>target</w:t>
      </w:r>
      <w:r w:rsidRPr="007B16B5">
        <w:rPr>
          <w:rFonts w:cs="Times New Roman"/>
          <w:sz w:val="22"/>
        </w:rPr>
        <w:t xml:space="preserve"> group</w:t>
      </w:r>
      <w:r>
        <w:rPr>
          <w:rFonts w:cs="Times New Roman"/>
          <w:sz w:val="22"/>
        </w:rPr>
        <w:t>/</w:t>
      </w:r>
      <w:r w:rsidRPr="007B16B5">
        <w:rPr>
          <w:rFonts w:cs="Times New Roman"/>
          <w:sz w:val="22"/>
        </w:rPr>
        <w:t>s is high. This also implies that the estimated effects of inequality on vote-share are downward biased in Table 2.</w:t>
      </w:r>
      <w:r>
        <w:rPr>
          <w:rFonts w:cs="Times New Roman"/>
          <w:sz w:val="22"/>
        </w:rPr>
        <w:t xml:space="preserve"> Or a</w:t>
      </w:r>
      <w:r w:rsidRPr="007B16B5">
        <w:rPr>
          <w:rFonts w:cs="Times New Roman"/>
          <w:sz w:val="22"/>
        </w:rPr>
        <w:t xml:space="preserve">lternately, ethnic inequality manifests through ethnic voting in the short-run and </w:t>
      </w:r>
      <w:r w:rsidRPr="00EA2FA5">
        <w:rPr>
          <w:rFonts w:cs="Times New Roman"/>
          <w:i/>
          <w:sz w:val="22"/>
        </w:rPr>
        <w:t xml:space="preserve">ethnification </w:t>
      </w:r>
      <w:r w:rsidRPr="007B16B5">
        <w:rPr>
          <w:rFonts w:cs="Times New Roman"/>
          <w:sz w:val="22"/>
        </w:rPr>
        <w:t>of party systems in the long run.</w:t>
      </w:r>
    </w:p>
    <w:p w:rsidR="00CB1378" w:rsidRDefault="00CB1378" w:rsidP="00CB1378">
      <w:pPr>
        <w:spacing w:before="240" w:after="0" w:line="240" w:lineRule="auto"/>
        <w:contextualSpacing/>
        <w:jc w:val="center"/>
        <w:rPr>
          <w:rFonts w:cs="Times New Roman"/>
          <w:sz w:val="20"/>
        </w:rPr>
      </w:pPr>
      <w:r w:rsidRPr="00721131">
        <w:rPr>
          <w:rFonts w:cs="Times New Roman"/>
          <w:sz w:val="20"/>
        </w:rPr>
        <w:t xml:space="preserve">Table </w:t>
      </w:r>
      <w:r>
        <w:rPr>
          <w:rFonts w:cs="Times New Roman"/>
          <w:sz w:val="20"/>
        </w:rPr>
        <w:t>E1</w:t>
      </w:r>
      <w:r w:rsidRPr="00721131">
        <w:rPr>
          <w:rFonts w:cs="Times New Roman"/>
          <w:sz w:val="20"/>
        </w:rPr>
        <w:t xml:space="preserve">: </w:t>
      </w:r>
      <w:r>
        <w:rPr>
          <w:rFonts w:cs="Times New Roman"/>
          <w:sz w:val="20"/>
        </w:rPr>
        <w:t>Ethnification of Party Systems</w:t>
      </w:r>
    </w:p>
    <w:p w:rsidR="00CB1378" w:rsidRPr="00FC21C3" w:rsidRDefault="00CB1378" w:rsidP="00CB1378">
      <w:pPr>
        <w:spacing w:before="240" w:after="0" w:line="240" w:lineRule="auto"/>
        <w:contextualSpacing/>
        <w:jc w:val="center"/>
      </w:pPr>
      <w:r>
        <w:rPr>
          <w:noProof/>
          <w:lang w:val="en-GB" w:eastAsia="en-GB"/>
        </w:rPr>
        <w:drawing>
          <wp:inline distT="0" distB="0" distL="0" distR="0" wp14:anchorId="1C20964D" wp14:editId="2932D3BA">
            <wp:extent cx="3312795" cy="425196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2795" cy="4251960"/>
                    </a:xfrm>
                    <a:prstGeom prst="rect">
                      <a:avLst/>
                    </a:prstGeom>
                  </pic:spPr>
                </pic:pic>
              </a:graphicData>
            </a:graphic>
          </wp:inline>
        </w:drawing>
      </w:r>
    </w:p>
    <w:p w:rsidR="00465BE9" w:rsidRDefault="00465BE9">
      <w:bookmarkStart w:id="0" w:name="_GoBack"/>
      <w:bookmarkEnd w:id="0"/>
    </w:p>
    <w:sectPr w:rsidR="00465BE9" w:rsidSect="00FD173C">
      <w:footerReference w:type="default" r:id="rId12"/>
      <w:pgSz w:w="11910" w:h="16840"/>
      <w:pgMar w:top="1520" w:right="1580" w:bottom="1880" w:left="1680" w:header="0" w:footer="16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DF4" w:rsidRDefault="000B3DF4" w:rsidP="00CB1378">
      <w:pPr>
        <w:spacing w:after="0" w:line="240" w:lineRule="auto"/>
      </w:pPr>
      <w:r>
        <w:separator/>
      </w:r>
    </w:p>
  </w:endnote>
  <w:endnote w:type="continuationSeparator" w:id="0">
    <w:p w:rsidR="000B3DF4" w:rsidRDefault="000B3DF4" w:rsidP="00CB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56309"/>
      <w:docPartObj>
        <w:docPartGallery w:val="Page Numbers (Bottom of Page)"/>
        <w:docPartUnique/>
      </w:docPartObj>
    </w:sdtPr>
    <w:sdtEndPr>
      <w:rPr>
        <w:noProof/>
        <w:sz w:val="16"/>
      </w:rPr>
    </w:sdtEndPr>
    <w:sdtContent>
      <w:p w:rsidR="00183D32" w:rsidRPr="00404998" w:rsidRDefault="000B3DF4">
        <w:pPr>
          <w:pStyle w:val="Footer"/>
          <w:jc w:val="right"/>
          <w:rPr>
            <w:sz w:val="16"/>
          </w:rPr>
        </w:pPr>
        <w:r w:rsidRPr="00404998">
          <w:rPr>
            <w:sz w:val="16"/>
          </w:rPr>
          <w:fldChar w:fldCharType="begin"/>
        </w:r>
        <w:r w:rsidRPr="00404998">
          <w:rPr>
            <w:sz w:val="16"/>
          </w:rPr>
          <w:instrText xml:space="preserve"> PAGE   \* MERGEFORMAT </w:instrText>
        </w:r>
        <w:r w:rsidRPr="00404998">
          <w:rPr>
            <w:sz w:val="16"/>
          </w:rPr>
          <w:fldChar w:fldCharType="separate"/>
        </w:r>
        <w:r w:rsidR="00CB1378">
          <w:rPr>
            <w:noProof/>
            <w:sz w:val="16"/>
          </w:rPr>
          <w:t>1</w:t>
        </w:r>
        <w:r w:rsidRPr="00404998">
          <w:rPr>
            <w:noProof/>
            <w:sz w:val="16"/>
          </w:rPr>
          <w:fldChar w:fldCharType="end"/>
        </w:r>
      </w:p>
    </w:sdtContent>
  </w:sdt>
  <w:p w:rsidR="00183D32" w:rsidRDefault="000B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DF4" w:rsidRDefault="000B3DF4" w:rsidP="00CB1378">
      <w:pPr>
        <w:spacing w:after="0" w:line="240" w:lineRule="auto"/>
      </w:pPr>
      <w:r>
        <w:separator/>
      </w:r>
    </w:p>
  </w:footnote>
  <w:footnote w:type="continuationSeparator" w:id="0">
    <w:p w:rsidR="000B3DF4" w:rsidRDefault="000B3DF4" w:rsidP="00CB1378">
      <w:pPr>
        <w:spacing w:after="0" w:line="240" w:lineRule="auto"/>
      </w:pPr>
      <w:r>
        <w:continuationSeparator/>
      </w:r>
    </w:p>
  </w:footnote>
  <w:footnote w:id="1">
    <w:p w:rsidR="00CB1378" w:rsidRPr="00CB16B2" w:rsidRDefault="00CB1378" w:rsidP="00CB1378">
      <w:pPr>
        <w:spacing w:after="0" w:line="240" w:lineRule="auto"/>
        <w:ind w:right="303"/>
        <w:rPr>
          <w:rFonts w:cs="Times New Roman"/>
          <w:sz w:val="18"/>
          <w:szCs w:val="20"/>
        </w:rPr>
      </w:pPr>
      <w:r w:rsidRPr="007507BA">
        <w:rPr>
          <w:rStyle w:val="FootnoteReference"/>
          <w:rFonts w:cs="Times New Roman"/>
          <w:sz w:val="18"/>
          <w:szCs w:val="18"/>
        </w:rPr>
        <w:footnoteRef/>
      </w:r>
      <w:r w:rsidRPr="007507BA">
        <w:rPr>
          <w:rFonts w:cs="Times New Roman"/>
          <w:sz w:val="18"/>
          <w:szCs w:val="18"/>
        </w:rPr>
        <w:t xml:space="preserve"> </w:t>
      </w:r>
      <w:r w:rsidRPr="00CB16B2">
        <w:rPr>
          <w:rFonts w:cs="Times New Roman"/>
          <w:sz w:val="18"/>
          <w:szCs w:val="20"/>
        </w:rPr>
        <w:t>Kedar and Shively 2017, 2: “All comparative politics is multilevel.” For examples see: Peng and Lu 2012.</w:t>
      </w:r>
    </w:p>
  </w:footnote>
  <w:footnote w:id="2">
    <w:p w:rsidR="00CB1378" w:rsidRPr="007507BA" w:rsidRDefault="00CB1378" w:rsidP="00CB1378">
      <w:pPr>
        <w:tabs>
          <w:tab w:val="left" w:pos="1963"/>
        </w:tabs>
        <w:spacing w:after="0" w:line="240" w:lineRule="auto"/>
        <w:ind w:right="280"/>
        <w:rPr>
          <w:rFonts w:cs="Times New Roman"/>
          <w:sz w:val="18"/>
          <w:szCs w:val="18"/>
        </w:rPr>
      </w:pPr>
      <w:r w:rsidRPr="007507BA">
        <w:rPr>
          <w:rStyle w:val="FootnoteReference"/>
          <w:rFonts w:cs="Times New Roman"/>
          <w:sz w:val="18"/>
          <w:szCs w:val="18"/>
        </w:rPr>
        <w:footnoteRef/>
      </w:r>
      <w:r w:rsidRPr="007507BA">
        <w:rPr>
          <w:rFonts w:cs="Times New Roman"/>
          <w:sz w:val="18"/>
          <w:szCs w:val="18"/>
        </w:rPr>
        <w:t xml:space="preserve"> </w:t>
      </w:r>
      <w:r w:rsidRPr="00CB16B2">
        <w:rPr>
          <w:rFonts w:cs="Times New Roman"/>
          <w:sz w:val="18"/>
          <w:szCs w:val="20"/>
        </w:rPr>
        <w:t>Margin of Victory = (Difference between 1st and 2nd highest votes) / total number of votes</w:t>
      </w:r>
      <w:r>
        <w:rPr>
          <w:rFonts w:cs="Times New Roman"/>
          <w:sz w:val="18"/>
          <w:szCs w:val="20"/>
        </w:rPr>
        <w:t xml:space="preserve"> c</w:t>
      </w:r>
      <w:r w:rsidRPr="00CB16B2">
        <w:rPr>
          <w:rFonts w:cs="Times New Roman"/>
          <w:sz w:val="18"/>
          <w:szCs w:val="20"/>
        </w:rPr>
        <w:t>ast.</w:t>
      </w:r>
      <w:r w:rsidRPr="007507BA">
        <w:rPr>
          <w:rFonts w:cs="Times New Roman"/>
          <w:sz w:val="18"/>
          <w:szCs w:val="18"/>
        </w:rPr>
        <w:t xml:space="preserve"> </w:t>
      </w:r>
    </w:p>
  </w:footnote>
  <w:footnote w:id="3">
    <w:p w:rsidR="00CB1378" w:rsidRPr="00CB16B2" w:rsidRDefault="00CB1378" w:rsidP="00CB1378">
      <w:pPr>
        <w:spacing w:after="0" w:line="240" w:lineRule="auto"/>
        <w:rPr>
          <w:rFonts w:cs="Times New Roman"/>
          <w:sz w:val="18"/>
          <w:szCs w:val="20"/>
        </w:rPr>
      </w:pPr>
      <w:r w:rsidRPr="007507BA">
        <w:rPr>
          <w:rStyle w:val="FootnoteReference"/>
          <w:rFonts w:cs="Times New Roman"/>
          <w:sz w:val="18"/>
          <w:szCs w:val="18"/>
        </w:rPr>
        <w:footnoteRef/>
      </w:r>
      <w:r w:rsidRPr="007507BA">
        <w:rPr>
          <w:rFonts w:cs="Times New Roman"/>
          <w:sz w:val="18"/>
          <w:szCs w:val="18"/>
        </w:rPr>
        <w:t xml:space="preserve"> </w:t>
      </w:r>
      <w:r w:rsidRPr="00CB16B2">
        <w:rPr>
          <w:rFonts w:cs="Times New Roman"/>
          <w:sz w:val="18"/>
          <w:szCs w:val="20"/>
        </w:rPr>
        <w:t>We cannot estimate effects for the dependent variable vote-def. This is because constituency-level data on</w:t>
      </w:r>
    </w:p>
    <w:p w:rsidR="00CB1378" w:rsidRPr="00CB16B2" w:rsidRDefault="00CB1378" w:rsidP="00CB1378">
      <w:pPr>
        <w:spacing w:after="0" w:line="240" w:lineRule="auto"/>
        <w:rPr>
          <w:rFonts w:cs="Times New Roman"/>
          <w:sz w:val="18"/>
          <w:szCs w:val="20"/>
        </w:rPr>
      </w:pPr>
      <w:r w:rsidRPr="00CB16B2">
        <w:rPr>
          <w:rFonts w:cs="Times New Roman"/>
          <w:sz w:val="18"/>
          <w:szCs w:val="20"/>
        </w:rPr>
        <w:t>population-share is not available.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78"/>
    <w:rsid w:val="000B3DF4"/>
    <w:rsid w:val="00465BE9"/>
    <w:rsid w:val="00CB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6BF34-7490-45D1-8D1E-2AB73C2C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378"/>
    <w:pPr>
      <w:spacing w:line="480" w:lineRule="auto"/>
      <w:jc w:val="both"/>
    </w:pPr>
    <w:rPr>
      <w:rFonts w:ascii="Times New Roman" w:hAnsi="Times New Roman"/>
      <w:sz w:val="24"/>
    </w:rPr>
  </w:style>
  <w:style w:type="paragraph" w:styleId="Heading1">
    <w:name w:val="heading 1"/>
    <w:basedOn w:val="Normal"/>
    <w:next w:val="Normal"/>
    <w:link w:val="Heading1Char"/>
    <w:autoRedefine/>
    <w:uiPriority w:val="1"/>
    <w:qFormat/>
    <w:rsid w:val="00CB1378"/>
    <w:pPr>
      <w:keepNext/>
      <w:keepLines/>
      <w:spacing w:before="240" w:after="0" w:line="360" w:lineRule="auto"/>
      <w:jc w:val="center"/>
      <w:outlineLvl w:val="0"/>
    </w:pPr>
    <w:rPr>
      <w:rFonts w:asciiTheme="majorBidi" w:hAnsiTheme="majorBid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1378"/>
    <w:rPr>
      <w:rFonts w:asciiTheme="majorBidi" w:hAnsiTheme="majorBidi" w:cstheme="majorBidi"/>
      <w:b/>
      <w:sz w:val="24"/>
      <w:szCs w:val="32"/>
    </w:rPr>
  </w:style>
  <w:style w:type="paragraph" w:styleId="BodyText">
    <w:name w:val="Body Text"/>
    <w:basedOn w:val="Normal"/>
    <w:link w:val="BodyTextChar"/>
    <w:uiPriority w:val="1"/>
    <w:qFormat/>
    <w:rsid w:val="00CB1378"/>
    <w:pPr>
      <w:widowControl w:val="0"/>
      <w:autoSpaceDE w:val="0"/>
      <w:autoSpaceDN w:val="0"/>
      <w:spacing w:after="0" w:line="240" w:lineRule="auto"/>
      <w:jc w:val="left"/>
    </w:pPr>
    <w:rPr>
      <w:rFonts w:eastAsia="Times New Roman" w:cs="Times New Roman"/>
      <w:sz w:val="22"/>
    </w:rPr>
  </w:style>
  <w:style w:type="character" w:customStyle="1" w:styleId="BodyTextChar">
    <w:name w:val="Body Text Char"/>
    <w:basedOn w:val="DefaultParagraphFont"/>
    <w:link w:val="BodyText"/>
    <w:uiPriority w:val="1"/>
    <w:rsid w:val="00CB1378"/>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CB1378"/>
    <w:rPr>
      <w:vertAlign w:val="superscript"/>
    </w:rPr>
  </w:style>
  <w:style w:type="paragraph" w:styleId="Footer">
    <w:name w:val="footer"/>
    <w:basedOn w:val="Normal"/>
    <w:link w:val="FooterChar"/>
    <w:uiPriority w:val="99"/>
    <w:unhideWhenUsed/>
    <w:rsid w:val="00CB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37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McKee</dc:creator>
  <cp:keywords/>
  <dc:description/>
  <cp:lastModifiedBy>Rebecca McKee</cp:lastModifiedBy>
  <cp:revision>1</cp:revision>
  <dcterms:created xsi:type="dcterms:W3CDTF">2019-05-23T09:23:00Z</dcterms:created>
  <dcterms:modified xsi:type="dcterms:W3CDTF">2019-05-23T09:24:00Z</dcterms:modified>
</cp:coreProperties>
</file>