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DC315" w14:textId="3ABCE004" w:rsidR="007032E5" w:rsidRPr="00F17C92" w:rsidRDefault="002B11F8" w:rsidP="00F17C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Supplemental</w:t>
      </w:r>
      <w:r w:rsidR="007032E5" w:rsidRPr="00F17C92">
        <w:rPr>
          <w:b/>
          <w:bCs/>
          <w:sz w:val="32"/>
          <w:szCs w:val="32"/>
        </w:rPr>
        <w:t xml:space="preserve"> information</w:t>
      </w:r>
    </w:p>
    <w:p w14:paraId="7A039030" w14:textId="067C0C04" w:rsidR="007032E5" w:rsidRDefault="007032E5" w:rsidP="007032E5">
      <w:bookmarkStart w:id="0" w:name="_Hlk535843511"/>
      <w:bookmarkEnd w:id="0"/>
      <w:r w:rsidRPr="00F17C92">
        <w:t xml:space="preserve">Sarah E Holden, Alyn Morice, Surinder S Birring, Sara Jenkins-Jones, Haya Langerman, Jessica Weaver, Craig J. Currie. </w:t>
      </w:r>
      <w:r w:rsidR="002B11F8" w:rsidRPr="002B11F8">
        <w:t>Cough presentation in primary care and the identification of chronic cough: a need for diagnostic clarity?</w:t>
      </w:r>
    </w:p>
    <w:p w14:paraId="5FE5A79E" w14:textId="77777777" w:rsidR="002B11F8" w:rsidRPr="00F17C92" w:rsidRDefault="002B11F8" w:rsidP="007032E5"/>
    <w:p w14:paraId="270E29B8" w14:textId="19C01A60" w:rsidR="00032BC0" w:rsidRDefault="00F17C92">
      <w:pPr>
        <w:pStyle w:val="TOC1"/>
        <w:tabs>
          <w:tab w:val="right" w:leader="dot" w:pos="9010"/>
        </w:tabs>
        <w:rPr>
          <w:rFonts w:asciiTheme="minorHAnsi" w:eastAsiaTheme="minorEastAsia" w:hAnsiTheme="minorHAnsi"/>
          <w:noProof/>
          <w:sz w:val="22"/>
          <w:lang w:eastAsia="en-GB"/>
        </w:rPr>
      </w:pPr>
      <w:r w:rsidRPr="00F17C92">
        <w:rPr>
          <w:szCs w:val="24"/>
        </w:rPr>
        <w:fldChar w:fldCharType="begin"/>
      </w:r>
      <w:r w:rsidRPr="00F17C92">
        <w:rPr>
          <w:szCs w:val="24"/>
        </w:rPr>
        <w:instrText xml:space="preserve"> TOC \o "1-3" \h \z \u </w:instrText>
      </w:r>
      <w:r w:rsidRPr="00F17C92">
        <w:rPr>
          <w:szCs w:val="24"/>
        </w:rPr>
        <w:fldChar w:fldCharType="separate"/>
      </w:r>
      <w:hyperlink w:anchor="_Toc19704886" w:history="1">
        <w:r w:rsidR="00032BC0" w:rsidRPr="0051291A">
          <w:rPr>
            <w:rStyle w:val="Hyperlink"/>
            <w:noProof/>
          </w:rPr>
          <w:t xml:space="preserve">Supplemental Figure 1 </w:t>
        </w:r>
        <w:r w:rsidR="00032BC0" w:rsidRPr="0051291A">
          <w:rPr>
            <w:rStyle w:val="Hyperlink"/>
            <w:bCs/>
            <w:noProof/>
          </w:rPr>
          <w:t>| S</w:t>
        </w:r>
        <w:r w:rsidR="00032BC0" w:rsidRPr="0051291A">
          <w:rPr>
            <w:rStyle w:val="Hyperlink"/>
            <w:noProof/>
          </w:rPr>
          <w:t>tudy design</w:t>
        </w:r>
        <w:r w:rsidR="00032BC0">
          <w:rPr>
            <w:noProof/>
            <w:webHidden/>
          </w:rPr>
          <w:tab/>
        </w:r>
        <w:r w:rsidR="00032BC0">
          <w:rPr>
            <w:noProof/>
            <w:webHidden/>
          </w:rPr>
          <w:fldChar w:fldCharType="begin"/>
        </w:r>
        <w:r w:rsidR="00032BC0">
          <w:rPr>
            <w:noProof/>
            <w:webHidden/>
          </w:rPr>
          <w:instrText xml:space="preserve"> PAGEREF _Toc19704886 \h </w:instrText>
        </w:r>
        <w:r w:rsidR="00032BC0">
          <w:rPr>
            <w:noProof/>
            <w:webHidden/>
          </w:rPr>
        </w:r>
        <w:r w:rsidR="00032BC0">
          <w:rPr>
            <w:noProof/>
            <w:webHidden/>
          </w:rPr>
          <w:fldChar w:fldCharType="separate"/>
        </w:r>
        <w:r w:rsidR="00032BC0">
          <w:rPr>
            <w:noProof/>
            <w:webHidden/>
          </w:rPr>
          <w:t>2</w:t>
        </w:r>
        <w:r w:rsidR="00032BC0">
          <w:rPr>
            <w:noProof/>
            <w:webHidden/>
          </w:rPr>
          <w:fldChar w:fldCharType="end"/>
        </w:r>
      </w:hyperlink>
    </w:p>
    <w:p w14:paraId="65634564" w14:textId="41398258" w:rsidR="00032BC0" w:rsidRDefault="00F276EF">
      <w:pPr>
        <w:pStyle w:val="TOC1"/>
        <w:tabs>
          <w:tab w:val="right" w:leader="dot" w:pos="9010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19704887" w:history="1">
        <w:r w:rsidR="00032BC0" w:rsidRPr="0051291A">
          <w:rPr>
            <w:rStyle w:val="Hyperlink"/>
            <w:noProof/>
          </w:rPr>
          <w:t>Supplemental Figure 2 | Histogram of age at index date by cough subgroup</w:t>
        </w:r>
        <w:r w:rsidR="00032BC0">
          <w:rPr>
            <w:noProof/>
            <w:webHidden/>
          </w:rPr>
          <w:tab/>
        </w:r>
        <w:r w:rsidR="00032BC0">
          <w:rPr>
            <w:noProof/>
            <w:webHidden/>
          </w:rPr>
          <w:fldChar w:fldCharType="begin"/>
        </w:r>
        <w:r w:rsidR="00032BC0">
          <w:rPr>
            <w:noProof/>
            <w:webHidden/>
          </w:rPr>
          <w:instrText xml:space="preserve"> PAGEREF _Toc19704887 \h </w:instrText>
        </w:r>
        <w:r w:rsidR="00032BC0">
          <w:rPr>
            <w:noProof/>
            <w:webHidden/>
          </w:rPr>
        </w:r>
        <w:r w:rsidR="00032BC0">
          <w:rPr>
            <w:noProof/>
            <w:webHidden/>
          </w:rPr>
          <w:fldChar w:fldCharType="separate"/>
        </w:r>
        <w:r w:rsidR="00032BC0">
          <w:rPr>
            <w:noProof/>
            <w:webHidden/>
          </w:rPr>
          <w:t>3</w:t>
        </w:r>
        <w:r w:rsidR="00032BC0">
          <w:rPr>
            <w:noProof/>
            <w:webHidden/>
          </w:rPr>
          <w:fldChar w:fldCharType="end"/>
        </w:r>
      </w:hyperlink>
    </w:p>
    <w:p w14:paraId="2C6A0D75" w14:textId="257A5076" w:rsidR="00032BC0" w:rsidRDefault="00F276EF">
      <w:pPr>
        <w:pStyle w:val="TOC1"/>
        <w:tabs>
          <w:tab w:val="right" w:leader="dot" w:pos="9010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19704888" w:history="1">
        <w:r w:rsidR="00032BC0" w:rsidRPr="0051291A">
          <w:rPr>
            <w:rStyle w:val="Hyperlink"/>
            <w:noProof/>
          </w:rPr>
          <w:t>Supplemental Figure 3 | Attrition flow diagram</w:t>
        </w:r>
        <w:r w:rsidR="00032BC0">
          <w:rPr>
            <w:noProof/>
            <w:webHidden/>
          </w:rPr>
          <w:tab/>
        </w:r>
        <w:r w:rsidR="00032BC0">
          <w:rPr>
            <w:noProof/>
            <w:webHidden/>
          </w:rPr>
          <w:fldChar w:fldCharType="begin"/>
        </w:r>
        <w:r w:rsidR="00032BC0">
          <w:rPr>
            <w:noProof/>
            <w:webHidden/>
          </w:rPr>
          <w:instrText xml:space="preserve"> PAGEREF _Toc19704888 \h </w:instrText>
        </w:r>
        <w:r w:rsidR="00032BC0">
          <w:rPr>
            <w:noProof/>
            <w:webHidden/>
          </w:rPr>
        </w:r>
        <w:r w:rsidR="00032BC0">
          <w:rPr>
            <w:noProof/>
            <w:webHidden/>
          </w:rPr>
          <w:fldChar w:fldCharType="separate"/>
        </w:r>
        <w:r w:rsidR="00032BC0">
          <w:rPr>
            <w:noProof/>
            <w:webHidden/>
          </w:rPr>
          <w:t>5</w:t>
        </w:r>
        <w:r w:rsidR="00032BC0">
          <w:rPr>
            <w:noProof/>
            <w:webHidden/>
          </w:rPr>
          <w:fldChar w:fldCharType="end"/>
        </w:r>
      </w:hyperlink>
    </w:p>
    <w:p w14:paraId="7B930C34" w14:textId="5E9D3EA4" w:rsidR="00032BC0" w:rsidRDefault="00F276EF">
      <w:pPr>
        <w:pStyle w:val="TOC1"/>
        <w:tabs>
          <w:tab w:val="right" w:leader="dot" w:pos="9010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19704889" w:history="1">
        <w:r w:rsidR="00032BC0" w:rsidRPr="0051291A">
          <w:rPr>
            <w:rStyle w:val="Hyperlink"/>
            <w:noProof/>
          </w:rPr>
          <w:t>Supplemental Methods | Identification and characterization of underlying causes of chronic cough</w:t>
        </w:r>
        <w:r w:rsidR="00032BC0">
          <w:rPr>
            <w:noProof/>
            <w:webHidden/>
          </w:rPr>
          <w:tab/>
        </w:r>
        <w:r w:rsidR="00032BC0">
          <w:rPr>
            <w:noProof/>
            <w:webHidden/>
          </w:rPr>
          <w:fldChar w:fldCharType="begin"/>
        </w:r>
        <w:r w:rsidR="00032BC0">
          <w:rPr>
            <w:noProof/>
            <w:webHidden/>
          </w:rPr>
          <w:instrText xml:space="preserve"> PAGEREF _Toc19704889 \h </w:instrText>
        </w:r>
        <w:r w:rsidR="00032BC0">
          <w:rPr>
            <w:noProof/>
            <w:webHidden/>
          </w:rPr>
        </w:r>
        <w:r w:rsidR="00032BC0">
          <w:rPr>
            <w:noProof/>
            <w:webHidden/>
          </w:rPr>
          <w:fldChar w:fldCharType="separate"/>
        </w:r>
        <w:r w:rsidR="00032BC0">
          <w:rPr>
            <w:noProof/>
            <w:webHidden/>
          </w:rPr>
          <w:t>6</w:t>
        </w:r>
        <w:r w:rsidR="00032BC0">
          <w:rPr>
            <w:noProof/>
            <w:webHidden/>
          </w:rPr>
          <w:fldChar w:fldCharType="end"/>
        </w:r>
      </w:hyperlink>
    </w:p>
    <w:p w14:paraId="706D5CF3" w14:textId="72A10A1F" w:rsidR="00F17C92" w:rsidRDefault="00F17C92" w:rsidP="007032E5">
      <w:r w:rsidRPr="00F17C92">
        <w:rPr>
          <w:szCs w:val="24"/>
        </w:rPr>
        <w:fldChar w:fldCharType="end"/>
      </w:r>
    </w:p>
    <w:p w14:paraId="3A3987C4" w14:textId="77777777" w:rsidR="00F17C92" w:rsidRDefault="00F17C92" w:rsidP="007032E5">
      <w:pPr>
        <w:sectPr w:rsidR="00F17C92" w:rsidSect="00C90FCB">
          <w:footerReference w:type="default" r:id="rId7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0F12EECB" w14:textId="07AD00A4" w:rsidR="00F17C92" w:rsidRDefault="00F17C92" w:rsidP="00F17C92">
      <w:pPr>
        <w:pStyle w:val="Heading1"/>
      </w:pPr>
      <w:bookmarkStart w:id="1" w:name="_Toc19704886"/>
      <w:r>
        <w:rPr>
          <w:szCs w:val="24"/>
        </w:rPr>
        <w:lastRenderedPageBreak/>
        <w:t>S</w:t>
      </w:r>
      <w:r w:rsidR="002B11F8">
        <w:rPr>
          <w:szCs w:val="24"/>
        </w:rPr>
        <w:t xml:space="preserve">upplemental Figure </w:t>
      </w:r>
      <w:r>
        <w:rPr>
          <w:szCs w:val="24"/>
        </w:rPr>
        <w:t xml:space="preserve">1 </w:t>
      </w:r>
      <w:r w:rsidRPr="00F17C92">
        <w:rPr>
          <w:bCs/>
          <w:szCs w:val="24"/>
        </w:rPr>
        <w:t xml:space="preserve">| </w:t>
      </w:r>
      <w:r w:rsidRPr="00F17C92">
        <w:rPr>
          <w:bCs/>
        </w:rPr>
        <w:t>S</w:t>
      </w:r>
      <w:r>
        <w:t>tudy design</w:t>
      </w:r>
      <w:bookmarkEnd w:id="1"/>
    </w:p>
    <w:p w14:paraId="2061C018" w14:textId="77777777" w:rsidR="00F17C92" w:rsidRDefault="00F17C92" w:rsidP="00F17C92">
      <w:pPr>
        <w:rPr>
          <w:lang w:val="en-US" w:eastAsia="ja-JP"/>
        </w:rPr>
      </w:pPr>
      <w:r w:rsidRPr="00074C9A">
        <w:rPr>
          <w:noProof/>
          <w:lang w:eastAsia="en-GB"/>
        </w:rPr>
        <w:drawing>
          <wp:inline distT="0" distB="0" distL="0" distR="0" wp14:anchorId="126DAB26" wp14:editId="144B8E19">
            <wp:extent cx="8531860" cy="301625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D187" w14:textId="77777777" w:rsidR="00F17C92" w:rsidRDefault="00F17C92" w:rsidP="00F17C92">
      <w:pPr>
        <w:rPr>
          <w:sz w:val="20"/>
          <w:szCs w:val="20"/>
        </w:rPr>
        <w:sectPr w:rsidR="00F17C92" w:rsidSect="00F17C92"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12862">
        <w:rPr>
          <w:sz w:val="20"/>
          <w:szCs w:val="20"/>
        </w:rPr>
        <w:t>crd = current registration date, lcd = last data collection date for the practice, tod = transferred out date, uts = up-to-standard date.</w:t>
      </w:r>
    </w:p>
    <w:p w14:paraId="3DFD4033" w14:textId="1C7904B8" w:rsidR="00F17C92" w:rsidRDefault="002B11F8" w:rsidP="00F17C92">
      <w:pPr>
        <w:pStyle w:val="Heading1"/>
      </w:pPr>
      <w:bookmarkStart w:id="2" w:name="_Toc19704887"/>
      <w:r>
        <w:rPr>
          <w:szCs w:val="24"/>
        </w:rPr>
        <w:lastRenderedPageBreak/>
        <w:t>Supplemental</w:t>
      </w:r>
      <w:r w:rsidR="00F17C92">
        <w:rPr>
          <w:szCs w:val="24"/>
        </w:rPr>
        <w:t xml:space="preserve"> Fig</w:t>
      </w:r>
      <w:r>
        <w:rPr>
          <w:szCs w:val="24"/>
        </w:rPr>
        <w:t>ure 2</w:t>
      </w:r>
      <w:r w:rsidR="00F17C92">
        <w:rPr>
          <w:szCs w:val="24"/>
        </w:rPr>
        <w:t xml:space="preserve"> | </w:t>
      </w:r>
      <w:r w:rsidR="00F17C92">
        <w:t>Histogram of age at index date by cough subgroup</w:t>
      </w:r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F17C92" w14:paraId="5FA5B5D6" w14:textId="77777777" w:rsidTr="0070453A">
        <w:tc>
          <w:tcPr>
            <w:tcW w:w="9010" w:type="dxa"/>
          </w:tcPr>
          <w:p w14:paraId="3794B9B9" w14:textId="77777777" w:rsidR="00F17C92" w:rsidRDefault="00F17C92" w:rsidP="0070453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249A1" wp14:editId="57481E68">
                  <wp:extent cx="3418578" cy="2736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istogram_age_probable.t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578" cy="27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92" w14:paraId="23CCF6DE" w14:textId="77777777" w:rsidTr="0070453A">
        <w:tc>
          <w:tcPr>
            <w:tcW w:w="9010" w:type="dxa"/>
          </w:tcPr>
          <w:p w14:paraId="733DC574" w14:textId="77777777" w:rsidR="00F17C92" w:rsidRDefault="00F17C92" w:rsidP="0070453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A5D4D1" wp14:editId="5199738E">
                  <wp:extent cx="3418579" cy="2736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istogram_age_possible.t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579" cy="27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92" w14:paraId="4702C592" w14:textId="77777777" w:rsidTr="0070453A">
        <w:tc>
          <w:tcPr>
            <w:tcW w:w="9010" w:type="dxa"/>
          </w:tcPr>
          <w:p w14:paraId="092762B7" w14:textId="77777777" w:rsidR="00F17C92" w:rsidRDefault="00F17C92" w:rsidP="0070453A">
            <w:r>
              <w:rPr>
                <w:noProof/>
              </w:rPr>
              <w:lastRenderedPageBreak/>
              <w:drawing>
                <wp:inline distT="0" distB="0" distL="0" distR="0" wp14:anchorId="0AE28B53" wp14:editId="302CFEE1">
                  <wp:extent cx="3418579" cy="273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stogram_age_acute.t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579" cy="27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1F4CC" w14:textId="77777777" w:rsidR="00F17C92" w:rsidRDefault="00F17C92" w:rsidP="00F17C92">
      <w:pPr>
        <w:rPr>
          <w:b/>
          <w:szCs w:val="24"/>
        </w:rPr>
        <w:sectPr w:rsidR="00F17C92" w:rsidSect="00F17C92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65B591B5" w14:textId="376D6C88" w:rsidR="00F17C92" w:rsidRDefault="00F17C92" w:rsidP="00F17C92">
      <w:pPr>
        <w:pStyle w:val="Heading1"/>
      </w:pPr>
      <w:bookmarkStart w:id="3" w:name="_Toc19704888"/>
      <w:r>
        <w:rPr>
          <w:szCs w:val="24"/>
        </w:rPr>
        <w:t>S</w:t>
      </w:r>
      <w:r w:rsidR="002B11F8">
        <w:rPr>
          <w:szCs w:val="24"/>
        </w:rPr>
        <w:t xml:space="preserve">upplemental Figure </w:t>
      </w:r>
      <w:r>
        <w:rPr>
          <w:szCs w:val="24"/>
        </w:rPr>
        <w:t xml:space="preserve">3 </w:t>
      </w:r>
      <w:r>
        <w:t>| Attrition flow diagram</w:t>
      </w:r>
      <w:bookmarkEnd w:id="3"/>
    </w:p>
    <w:p w14:paraId="021E4FEB" w14:textId="77777777" w:rsidR="00F17C92" w:rsidRPr="004B2159" w:rsidRDefault="00F17C92" w:rsidP="00F17C92">
      <w:pPr>
        <w:spacing w:line="240" w:lineRule="auto"/>
        <w:rPr>
          <w:sz w:val="20"/>
          <w:szCs w:val="20"/>
          <w:lang w:val="en-US" w:eastAsia="ja-JP"/>
        </w:rPr>
      </w:pPr>
      <w:r w:rsidRPr="004B2159">
        <w:rPr>
          <w:noProof/>
          <w:sz w:val="20"/>
          <w:szCs w:val="20"/>
          <w:lang w:eastAsia="en-GB"/>
        </w:rPr>
        <w:drawing>
          <wp:inline distT="0" distB="0" distL="0" distR="0" wp14:anchorId="31971EE3" wp14:editId="0D88C116">
            <wp:extent cx="8864600" cy="46970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971A" w14:textId="1682EC06" w:rsidR="00B7628C" w:rsidRDefault="00F17C92" w:rsidP="00F17C92">
      <w:pPr>
        <w:spacing w:line="240" w:lineRule="auto"/>
        <w:rPr>
          <w:sz w:val="20"/>
          <w:szCs w:val="20"/>
          <w:lang w:val="en-US" w:eastAsia="ja-JP"/>
        </w:rPr>
      </w:pPr>
      <w:r w:rsidRPr="004B2159">
        <w:rPr>
          <w:sz w:val="20"/>
          <w:szCs w:val="20"/>
          <w:lang w:val="en-US" w:eastAsia="ja-JP"/>
        </w:rPr>
        <w:t>CPRD = Clinical Practice Research Datalink, HES = Hospital Episode Statistics, RTI = respiratory tract infection, uts = up-to-standard date.</w:t>
      </w:r>
    </w:p>
    <w:p w14:paraId="1EF2C6F7" w14:textId="77777777" w:rsidR="00174D27" w:rsidRDefault="00174D27">
      <w:pPr>
        <w:spacing w:after="0" w:line="240" w:lineRule="auto"/>
        <w:rPr>
          <w:sz w:val="20"/>
          <w:szCs w:val="20"/>
          <w:lang w:val="en-US" w:eastAsia="ja-JP"/>
        </w:rPr>
        <w:sectPr w:rsidR="00174D27" w:rsidSect="00F17C92"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60F6F7C" w14:textId="17838FF0" w:rsidR="00174D27" w:rsidRDefault="00174D27" w:rsidP="00032BC0">
      <w:pPr>
        <w:pStyle w:val="Heading1"/>
      </w:pPr>
      <w:bookmarkStart w:id="4" w:name="_Toc19704889"/>
      <w:r>
        <w:t>Supplemental Methods</w:t>
      </w:r>
      <w:r w:rsidR="00032BC0">
        <w:t xml:space="preserve"> | Identification and characterization of underlying causes of chronic cough</w:t>
      </w:r>
      <w:bookmarkEnd w:id="4"/>
    </w:p>
    <w:p w14:paraId="349CEC96" w14:textId="77777777" w:rsidR="00032BC0" w:rsidRDefault="00032BC0" w:rsidP="00B7628C">
      <w:r>
        <w:t>P</w:t>
      </w:r>
      <w:r w:rsidR="00B7628C" w:rsidRPr="00383D88">
        <w:t>articipants' records in the CPRD GOLD and HES inpatient data were searched for the following conditions known to be associated with CC:</w:t>
      </w:r>
      <w:r w:rsidR="00B7628C">
        <w:t xml:space="preserve"> irritable bowel syndrome (IBS), heart failure, asthma, chronic obstructive pulmonary disease (COPD), gastro-esophageal reflux disease (GERD), and rhinitis and rhinosinusitis. </w:t>
      </w:r>
    </w:p>
    <w:p w14:paraId="701AFE1B" w14:textId="77777777" w:rsidR="00032BC0" w:rsidRDefault="00B7628C" w:rsidP="00B7628C">
      <w:r>
        <w:t xml:space="preserve">These underlying causes were further categorized as follows: </w:t>
      </w:r>
    </w:p>
    <w:p w14:paraId="56821DC0" w14:textId="57181142" w:rsidR="00AC468E" w:rsidRDefault="00032BC0" w:rsidP="00AC468E">
      <w:pPr>
        <w:pStyle w:val="ListParagraph"/>
        <w:numPr>
          <w:ilvl w:val="0"/>
          <w:numId w:val="1"/>
        </w:numPr>
      </w:pPr>
      <w:r w:rsidRPr="00032BC0">
        <w:t>H</w:t>
      </w:r>
      <w:r w:rsidR="00B7628C" w:rsidRPr="00032BC0">
        <w:t>istory of underlying cause</w:t>
      </w:r>
      <w:r>
        <w:t>,</w:t>
      </w:r>
      <w:r w:rsidR="00B7628C" w:rsidRPr="00032BC0">
        <w:t xml:space="preserve"> if</w:t>
      </w:r>
      <w:r w:rsidR="00B7628C">
        <w:t xml:space="preserve"> diagnosed prior to index date</w:t>
      </w:r>
    </w:p>
    <w:p w14:paraId="51D1B6F5" w14:textId="31EDF45B" w:rsidR="00032BC0" w:rsidRDefault="00AC468E" w:rsidP="00AC468E">
      <w:pPr>
        <w:pStyle w:val="ListParagraph"/>
        <w:numPr>
          <w:ilvl w:val="0"/>
          <w:numId w:val="1"/>
        </w:numPr>
      </w:pPr>
      <w:r>
        <w:t>C</w:t>
      </w:r>
      <w:r w:rsidR="00B7628C">
        <w:t>urrent case</w:t>
      </w:r>
      <w:r>
        <w:t>,</w:t>
      </w:r>
      <w:r w:rsidR="00B7628C">
        <w:t xml:space="preserve"> if the participant had a recorded diagnosis on the index date or had a prior diagnosis of the condition and was curren</w:t>
      </w:r>
      <w:bookmarkStart w:id="5" w:name="_GoBack"/>
      <w:bookmarkEnd w:id="5"/>
      <w:r w:rsidR="00B7628C">
        <w:t>tly receiving treatment for this</w:t>
      </w:r>
    </w:p>
    <w:p w14:paraId="2BC99499" w14:textId="1E4E96D2" w:rsidR="00032BC0" w:rsidRDefault="00032BC0" w:rsidP="00AC468E">
      <w:pPr>
        <w:pStyle w:val="ListParagraph"/>
        <w:numPr>
          <w:ilvl w:val="0"/>
          <w:numId w:val="1"/>
        </w:numPr>
      </w:pPr>
      <w:r w:rsidRPr="00032BC0">
        <w:t>S</w:t>
      </w:r>
      <w:r w:rsidR="00B7628C" w:rsidRPr="00032BC0">
        <w:t>ubsequently diagnosed</w:t>
      </w:r>
      <w:r w:rsidR="00AC468E">
        <w:t xml:space="preserve"> case</w:t>
      </w:r>
      <w:r>
        <w:t>,</w:t>
      </w:r>
      <w:r w:rsidR="00B7628C" w:rsidRPr="00C06525">
        <w:t xml:space="preserve"> if the participant received a diagnosis indicative of the condition </w:t>
      </w:r>
      <w:r w:rsidR="00B7628C">
        <w:t>eight weeks or less after index date</w:t>
      </w:r>
      <w:r w:rsidR="00B7628C" w:rsidRPr="00C06525">
        <w:t xml:space="preserve"> or</w:t>
      </w:r>
      <w:r w:rsidR="00B7628C">
        <w:t>, presented separately,</w:t>
      </w:r>
      <w:r w:rsidR="00B7628C" w:rsidRPr="00C06525">
        <w:t xml:space="preserve"> between </w:t>
      </w:r>
      <w:r w:rsidR="00B7628C">
        <w:t>eight</w:t>
      </w:r>
      <w:r w:rsidR="00B7628C" w:rsidRPr="00C06525">
        <w:t xml:space="preserve"> weeks and </w:t>
      </w:r>
      <w:r w:rsidR="00B7628C">
        <w:t>a</w:t>
      </w:r>
      <w:r w:rsidR="00B7628C" w:rsidRPr="00C06525">
        <w:t xml:space="preserve"> year after index date. </w:t>
      </w:r>
    </w:p>
    <w:p w14:paraId="5E2150B3" w14:textId="04F0FA93" w:rsidR="00B7628C" w:rsidRDefault="00B7628C" w:rsidP="00B7628C">
      <w:r w:rsidRPr="00C06525">
        <w:t>Medications to treat an underlying</w:t>
      </w:r>
      <w:r>
        <w:t xml:space="preserve"> cause comprised: respiratory medicines (inhaled corticosteroids, short-acting beta2 agonists, long-acting beta2 agonists, cromoglicates, theophylline, leukotriene receptor antagonists or oral corticosteroids) for asthma and COPD, medication used in the management of GERD (proton pump inhibitors, H2-receptor antagonists, antacids or alginates), and nasal corticosteroids and antihistamines for rhinitis and rhinosinusitis.</w:t>
      </w:r>
    </w:p>
    <w:p w14:paraId="72BFA97B" w14:textId="77777777" w:rsidR="00032BC0" w:rsidRDefault="00B7628C" w:rsidP="00B7628C">
      <w:r w:rsidRPr="00845626">
        <w:t>Other underlying</w:t>
      </w:r>
      <w:r>
        <w:t xml:space="preserve"> factors</w:t>
      </w:r>
      <w:r w:rsidRPr="00845626">
        <w:t xml:space="preserve"> </w:t>
      </w:r>
      <w:r>
        <w:t>associated</w:t>
      </w:r>
      <w:r w:rsidRPr="00845626">
        <w:t xml:space="preserve"> of chronic cough: smoking, </w:t>
      </w:r>
      <w:r w:rsidRPr="00AF2C08">
        <w:t xml:space="preserve">exposure to ACE inhibitor medication and increased body mass index, </w:t>
      </w:r>
      <w:r w:rsidRPr="00845626">
        <w:t>were identified from participants’ records</w:t>
      </w:r>
      <w:r w:rsidRPr="00AF2C08">
        <w:t>.</w:t>
      </w:r>
      <w:r>
        <w:t xml:space="preserve"> </w:t>
      </w:r>
    </w:p>
    <w:p w14:paraId="3F21D119" w14:textId="2E4A482D" w:rsidR="00B7628C" w:rsidRDefault="00B7628C" w:rsidP="00B7628C">
      <w:r>
        <w:t>Current users of ACE inhibitors were identified as such if their index date fell after the start and on or before the end of a period of continuous ACE inhibitor therapy plus 112 days and the participant had not been switched prior to the index date to a new drug class used for the same indication. ACE inhibitors</w:t>
      </w:r>
      <w:r w:rsidRPr="002B4343">
        <w:t xml:space="preserve"> </w:t>
      </w:r>
      <w:r>
        <w:t>were</w:t>
      </w:r>
      <w:r w:rsidRPr="002B4343">
        <w:t xml:space="preserve"> regarded as having been discontinued if the interval between prescriptions </w:t>
      </w:r>
      <w:r>
        <w:t>wa</w:t>
      </w:r>
      <w:r w:rsidRPr="002B4343">
        <w:t>s greater than 112 days</w:t>
      </w:r>
      <w:r>
        <w:t>. (The maximum interval between prescriptions in continuous therapy was set as 112 days because, for ACE inhibitors, this represented the 95</w:t>
      </w:r>
      <w:r w:rsidRPr="00B6266D">
        <w:rPr>
          <w:vertAlign w:val="superscript"/>
        </w:rPr>
        <w:t>th</w:t>
      </w:r>
      <w:r>
        <w:t xml:space="preserve"> percentile of patients’ maximum days’ supply.)</w:t>
      </w:r>
    </w:p>
    <w:p w14:paraId="0F5F7F68" w14:textId="77777777" w:rsidR="00B7628C" w:rsidRDefault="00B7628C" w:rsidP="00B7628C">
      <w:r>
        <w:t>RTI was ascribed as a potential underlying cause of acute cough if recorded within the three weeks before or after the index date (this interval being selected because acute cough is defined as a cough lasting three weeks or less).</w:t>
      </w:r>
    </w:p>
    <w:p w14:paraId="61FBDE10" w14:textId="77777777" w:rsidR="00F17C92" w:rsidRPr="004B2159" w:rsidRDefault="00F17C92" w:rsidP="00F17C92">
      <w:pPr>
        <w:spacing w:line="240" w:lineRule="auto"/>
        <w:rPr>
          <w:sz w:val="20"/>
          <w:szCs w:val="20"/>
          <w:lang w:val="en-US" w:eastAsia="ja-JP"/>
        </w:rPr>
      </w:pPr>
    </w:p>
    <w:sectPr w:rsidR="00F17C92" w:rsidRPr="004B2159" w:rsidSect="00174D2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E0BC9" w14:textId="77777777" w:rsidR="00F276EF" w:rsidRDefault="00F276EF" w:rsidP="00F276EF">
      <w:pPr>
        <w:spacing w:after="0" w:line="240" w:lineRule="auto"/>
      </w:pPr>
      <w:r>
        <w:separator/>
      </w:r>
    </w:p>
  </w:endnote>
  <w:endnote w:type="continuationSeparator" w:id="0">
    <w:p w14:paraId="24366A38" w14:textId="77777777" w:rsidR="00F276EF" w:rsidRDefault="00F276EF" w:rsidP="00F27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29510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25ABF3" w14:textId="5485A2BA" w:rsidR="00F276EF" w:rsidRDefault="00F276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03FC24" w14:textId="77777777" w:rsidR="00F276EF" w:rsidRDefault="00F276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E15D9" w14:textId="77777777" w:rsidR="00F276EF" w:rsidRDefault="00F276EF" w:rsidP="00F276EF">
      <w:pPr>
        <w:spacing w:after="0" w:line="240" w:lineRule="auto"/>
      </w:pPr>
      <w:r>
        <w:separator/>
      </w:r>
    </w:p>
  </w:footnote>
  <w:footnote w:type="continuationSeparator" w:id="0">
    <w:p w14:paraId="7EACC73A" w14:textId="77777777" w:rsidR="00F276EF" w:rsidRDefault="00F276EF" w:rsidP="00F27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72034"/>
    <w:multiLevelType w:val="hybridMultilevel"/>
    <w:tmpl w:val="6082CF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2E5"/>
    <w:rsid w:val="00032BC0"/>
    <w:rsid w:val="00174D27"/>
    <w:rsid w:val="002376BE"/>
    <w:rsid w:val="002B11F8"/>
    <w:rsid w:val="002B5E21"/>
    <w:rsid w:val="004A4768"/>
    <w:rsid w:val="004D13EF"/>
    <w:rsid w:val="00505F02"/>
    <w:rsid w:val="006D7AC5"/>
    <w:rsid w:val="007032E5"/>
    <w:rsid w:val="00770E93"/>
    <w:rsid w:val="00A01982"/>
    <w:rsid w:val="00A03362"/>
    <w:rsid w:val="00AC468E"/>
    <w:rsid w:val="00B40390"/>
    <w:rsid w:val="00B7628C"/>
    <w:rsid w:val="00C41A9D"/>
    <w:rsid w:val="00C4343E"/>
    <w:rsid w:val="00C90FCB"/>
    <w:rsid w:val="00CB4A5E"/>
    <w:rsid w:val="00F17C92"/>
    <w:rsid w:val="00F2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29F2E"/>
  <w14:defaultImageDpi w14:val="32767"/>
  <w15:chartTrackingRefBased/>
  <w15:docId w15:val="{D18FFECC-3F3B-7441-ADE4-6F298FD4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17C92"/>
    <w:pPr>
      <w:spacing w:after="120" w:line="360" w:lineRule="auto"/>
    </w:pPr>
    <w:rPr>
      <w:rFonts w:ascii="Calibri" w:hAnsi="Calibri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32E5"/>
    <w:pPr>
      <w:keepNext/>
      <w:keepLines/>
      <w:spacing w:after="24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32E5"/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table" w:styleId="TableGrid">
    <w:name w:val="Table Grid"/>
    <w:basedOn w:val="TableNormal"/>
    <w:uiPriority w:val="39"/>
    <w:rsid w:val="00703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32E5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2E5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C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17C9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17C9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46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7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6EF"/>
    <w:rPr>
      <w:rFonts w:ascii="Calibri" w:hAnsi="Calibri"/>
      <w:szCs w:val="22"/>
    </w:rPr>
  </w:style>
  <w:style w:type="paragraph" w:styleId="Footer">
    <w:name w:val="footer"/>
    <w:basedOn w:val="Normal"/>
    <w:link w:val="FooterChar"/>
    <w:uiPriority w:val="99"/>
    <w:unhideWhenUsed/>
    <w:rsid w:val="00F27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6EF"/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Holden</dc:creator>
  <cp:keywords/>
  <dc:description/>
  <cp:lastModifiedBy>Sara Jenkins-Jones</cp:lastModifiedBy>
  <cp:revision>7</cp:revision>
  <dcterms:created xsi:type="dcterms:W3CDTF">2019-06-06T08:43:00Z</dcterms:created>
  <dcterms:modified xsi:type="dcterms:W3CDTF">2019-09-18T12:28:00Z</dcterms:modified>
</cp:coreProperties>
</file>