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2873" w14:textId="51B78983" w:rsidR="008D1E69" w:rsidRDefault="008D1E69" w:rsidP="003452ED">
      <w:pPr>
        <w:spacing w:line="480" w:lineRule="auto"/>
        <w:jc w:val="center"/>
        <w:rPr>
          <w:b/>
          <w:noProof/>
        </w:rPr>
      </w:pPr>
      <w:r>
        <w:rPr>
          <w:b/>
          <w:noProof/>
        </w:rPr>
        <w:t xml:space="preserve">Supplemental Material </w:t>
      </w:r>
      <w:r w:rsidR="008B78F1">
        <w:rPr>
          <w:b/>
          <w:noProof/>
        </w:rPr>
        <w:t>1</w:t>
      </w:r>
      <w:r w:rsidR="004C151C">
        <w:rPr>
          <w:b/>
          <w:noProof/>
        </w:rPr>
        <w:t xml:space="preserve">: </w:t>
      </w:r>
      <w:r w:rsidR="004C151C" w:rsidRPr="004C151C">
        <w:rPr>
          <w:b/>
          <w:noProof/>
        </w:rPr>
        <w:t>Analysis of Synchronous Spontaneous Otoacoustic Emissions</w:t>
      </w:r>
    </w:p>
    <w:p w14:paraId="63676520" w14:textId="77777777" w:rsidR="003452ED" w:rsidRDefault="003452ED" w:rsidP="00C329A0">
      <w:pPr>
        <w:spacing w:line="480" w:lineRule="auto"/>
        <w:jc w:val="both"/>
        <w:rPr>
          <w:noProof/>
        </w:rPr>
      </w:pPr>
    </w:p>
    <w:p w14:paraId="18979DF2" w14:textId="2E6B3F47" w:rsidR="00482DAC" w:rsidRDefault="00F30EC6" w:rsidP="00C329A0">
      <w:pPr>
        <w:spacing w:line="480" w:lineRule="auto"/>
        <w:jc w:val="both"/>
        <w:rPr>
          <w:noProof/>
        </w:rPr>
      </w:pPr>
      <w:r>
        <w:rPr>
          <w:noProof/>
        </w:rPr>
        <w:t xml:space="preserve">The presence of synchronous spontaneous otoacoustic emissions (SSOAEs) </w:t>
      </w:r>
      <w:r w:rsidR="007B7A88">
        <w:rPr>
          <w:noProof/>
        </w:rPr>
        <w:t xml:space="preserve">was investigated </w:t>
      </w:r>
      <w:r>
        <w:rPr>
          <w:noProof/>
        </w:rPr>
        <w:t xml:space="preserve">using methods adapted from Mertes and Goodman (2016). SSOAEs were obtained from the transient-evoked otoacoustic emission (TEOAE) screening procedure described in the </w:t>
      </w:r>
      <w:r w:rsidR="006A5C3A">
        <w:rPr>
          <w:noProof/>
        </w:rPr>
        <w:t>Methods</w:t>
      </w:r>
      <w:r w:rsidR="007B7A88">
        <w:rPr>
          <w:noProof/>
        </w:rPr>
        <w:t xml:space="preserve"> (the short duration of the middle ear muscle reflex measurement did not allow for sufficient signal averaging to detect SSOAEs)</w:t>
      </w:r>
      <w:r>
        <w:rPr>
          <w:noProof/>
        </w:rPr>
        <w:t xml:space="preserve">. </w:t>
      </w:r>
      <w:r w:rsidR="007D51C9">
        <w:rPr>
          <w:noProof/>
        </w:rPr>
        <w:t>SSOAEs were analyzed in the time window from 34 to 44 ms (relative to the location of the stimulus peak) because this window would not contain TEOAEs</w:t>
      </w:r>
      <w:r w:rsidR="00C208D8">
        <w:rPr>
          <w:noProof/>
        </w:rPr>
        <w:t xml:space="preserve"> (Sisto and Moleti 2007)</w:t>
      </w:r>
      <w:r w:rsidR="007D51C9">
        <w:rPr>
          <w:noProof/>
        </w:rPr>
        <w:t xml:space="preserve">. Waveforms were band pass filtered from 1000 to 4000 Hz using a Hann-window-based finite impulse response filter with a filter order of 128. The first and last 1-ms were ramped on and off with a raised-cosine ramp. </w:t>
      </w:r>
      <w:r w:rsidR="006A5C3A">
        <w:rPr>
          <w:noProof/>
        </w:rPr>
        <w:t>Artifact rejection and comuptatuion of the root-mean-square signal and noise floor amplitudes were performed as described in the Methods.</w:t>
      </w:r>
      <w:r w:rsidR="00482DAC">
        <w:rPr>
          <w:noProof/>
        </w:rPr>
        <w:t xml:space="preserve"> SSOAEs were considered present if the signal-to-noise ratio exceeded 6 dB.</w:t>
      </w:r>
    </w:p>
    <w:p w14:paraId="78A4F2CD" w14:textId="582C3581" w:rsidR="00482DAC" w:rsidRDefault="00482DAC" w:rsidP="006A5C3A">
      <w:pPr>
        <w:spacing w:line="480" w:lineRule="auto"/>
        <w:jc w:val="both"/>
        <w:rPr>
          <w:rFonts w:cs="Times New Roman"/>
        </w:rPr>
      </w:pPr>
      <w:r>
        <w:rPr>
          <w:noProof/>
        </w:rPr>
        <w:tab/>
        <w:t>Results revealed that 34 of 44 participants (77.27%) had present SSOAEs. This prevalence is consistent with that reported by Sisto et al. (2001)</w:t>
      </w:r>
      <w:r w:rsidR="00D41C6B">
        <w:rPr>
          <w:noProof/>
        </w:rPr>
        <w:t>, but differs from other reports (</w:t>
      </w:r>
      <w:proofErr w:type="spellStart"/>
      <w:r w:rsidR="00D41C6B" w:rsidRPr="00482DAC">
        <w:t>Jedrzejczak</w:t>
      </w:r>
      <w:proofErr w:type="spellEnd"/>
      <w:r w:rsidR="00D41C6B">
        <w:t xml:space="preserve"> et al. 2008; </w:t>
      </w:r>
      <w:r w:rsidR="00D41C6B">
        <w:rPr>
          <w:noProof/>
        </w:rPr>
        <w:t xml:space="preserve">Mertes and Goodman 2016; </w:t>
      </w:r>
      <w:r w:rsidR="00D41C6B">
        <w:t xml:space="preserve">Lewis 2018). These discrepancies may be due to a combination of differences in stimuli, analysis, and participant characteristics. </w:t>
      </w:r>
      <w:r w:rsidR="00887549">
        <w:t xml:space="preserve">Of </w:t>
      </w:r>
      <w:r w:rsidR="00AB26E0">
        <w:t xml:space="preserve">the 34 </w:t>
      </w:r>
      <w:r w:rsidR="00887549">
        <w:t xml:space="preserve">participants with present SSOAEs, the mean amplitude </w:t>
      </w:r>
      <w:r w:rsidR="00887549">
        <w:rPr>
          <w:rFonts w:cs="Times New Roman"/>
        </w:rPr>
        <w:t>±</w:t>
      </w:r>
      <w:r w:rsidR="00887549">
        <w:t xml:space="preserve">1 SD was 3.579 </w:t>
      </w:r>
      <w:r w:rsidR="00887549">
        <w:rPr>
          <w:rFonts w:cs="Times New Roman"/>
        </w:rPr>
        <w:t xml:space="preserve">± 5.773 dB SPL (range = </w:t>
      </w:r>
      <w:r w:rsidR="004816D4">
        <w:rPr>
          <w:rFonts w:cs="Times New Roman"/>
          <w:noProof/>
        </w:rPr>
        <w:t>−</w:t>
      </w:r>
      <w:r w:rsidR="00887549">
        <w:rPr>
          <w:rFonts w:cs="Times New Roman"/>
        </w:rPr>
        <w:t xml:space="preserve">5.505 to 16.590 dB </w:t>
      </w:r>
      <w:r w:rsidR="00AB26E0">
        <w:rPr>
          <w:rFonts w:cs="Times New Roman"/>
        </w:rPr>
        <w:t>SPL).</w:t>
      </w:r>
    </w:p>
    <w:p w14:paraId="00C097E2" w14:textId="30D3C415" w:rsidR="00D8440A" w:rsidRDefault="00D8440A" w:rsidP="004816D4">
      <w:pPr>
        <w:spacing w:line="480" w:lineRule="auto"/>
        <w:ind w:firstLine="720"/>
        <w:jc w:val="both"/>
        <w:rPr>
          <w:noProof/>
        </w:rPr>
      </w:pPr>
      <w:r>
        <w:rPr>
          <w:noProof/>
        </w:rPr>
        <w:t xml:space="preserve">The potential influence of SSOAEs on the </w:t>
      </w:r>
      <w:r w:rsidR="002645B6">
        <w:rPr>
          <w:noProof/>
        </w:rPr>
        <w:t>middle ear muscle reflex (</w:t>
      </w:r>
      <w:r>
        <w:rPr>
          <w:noProof/>
        </w:rPr>
        <w:t>MEMR</w:t>
      </w:r>
      <w:r w:rsidR="002645B6">
        <w:rPr>
          <w:noProof/>
        </w:rPr>
        <w:t>)</w:t>
      </w:r>
      <w:r>
        <w:rPr>
          <w:noProof/>
        </w:rPr>
        <w:t xml:space="preserve"> results w</w:t>
      </w:r>
      <w:r w:rsidR="007C2562">
        <w:rPr>
          <w:noProof/>
        </w:rPr>
        <w:t xml:space="preserve">as </w:t>
      </w:r>
      <w:r>
        <w:rPr>
          <w:noProof/>
        </w:rPr>
        <w:t xml:space="preserve">examined </w:t>
      </w:r>
      <w:r w:rsidR="007C2562">
        <w:rPr>
          <w:noProof/>
        </w:rPr>
        <w:t>through</w:t>
      </w:r>
      <w:r>
        <w:rPr>
          <w:noProof/>
        </w:rPr>
        <w:t xml:space="preserve"> the scatter plot shown in Figure 1. Ear-canal stimulus amplitude differences are plotted against SSOAE amplitude. The SSOAE amplitude is shown for participants with present SSOAEs as well as absent SSOAEs to look for any qualitative differences between the two groups. </w:t>
      </w:r>
      <w:r w:rsidR="007C2562">
        <w:rPr>
          <w:noProof/>
        </w:rPr>
        <w:lastRenderedPageBreak/>
        <w:t xml:space="preserve">Visual inspection revealed no apparent </w:t>
      </w:r>
      <w:r>
        <w:rPr>
          <w:noProof/>
        </w:rPr>
        <w:t>relationship between the size of the difference in ear-canal stimulus amplitude and the SSOAE amplitude</w:t>
      </w:r>
      <w:r w:rsidR="007C2562">
        <w:rPr>
          <w:noProof/>
        </w:rPr>
        <w:t>. This observation was confirmed by lack of a significant correlation</w:t>
      </w:r>
      <w:r w:rsidR="007C2562" w:rsidRPr="00323216">
        <w:rPr>
          <w:noProof/>
        </w:rPr>
        <w:t xml:space="preserve">, </w:t>
      </w:r>
      <w:r w:rsidR="007C2562" w:rsidRPr="00323216">
        <w:rPr>
          <w:i/>
          <w:iCs/>
          <w:noProof/>
        </w:rPr>
        <w:t>r</w:t>
      </w:r>
      <w:r w:rsidR="007C2562" w:rsidRPr="00323216">
        <w:rPr>
          <w:noProof/>
        </w:rPr>
        <w:t>(42) =</w:t>
      </w:r>
      <w:r w:rsidR="004816D4">
        <w:t xml:space="preserve"> </w:t>
      </w:r>
      <w:r w:rsidR="004816D4">
        <w:rPr>
          <w:rFonts w:cs="Times New Roman"/>
          <w:noProof/>
        </w:rPr>
        <w:t>−</w:t>
      </w:r>
      <w:r w:rsidR="007C2562" w:rsidRPr="00323216">
        <w:rPr>
          <w:noProof/>
        </w:rPr>
        <w:t>0.</w:t>
      </w:r>
      <w:r w:rsidR="00323216" w:rsidRPr="00323216">
        <w:rPr>
          <w:noProof/>
        </w:rPr>
        <w:t>129</w:t>
      </w:r>
      <w:r w:rsidR="007C2562" w:rsidRPr="00323216">
        <w:rPr>
          <w:noProof/>
        </w:rPr>
        <w:t xml:space="preserve">, </w:t>
      </w:r>
      <w:r w:rsidR="007C2562" w:rsidRPr="00323216">
        <w:rPr>
          <w:i/>
          <w:iCs/>
          <w:noProof/>
        </w:rPr>
        <w:t xml:space="preserve">p </w:t>
      </w:r>
      <w:r w:rsidR="007C2562" w:rsidRPr="00323216">
        <w:rPr>
          <w:noProof/>
        </w:rPr>
        <w:t xml:space="preserve">= </w:t>
      </w:r>
      <w:r w:rsidR="00323216" w:rsidRPr="00323216">
        <w:rPr>
          <w:noProof/>
        </w:rPr>
        <w:t>0.403</w:t>
      </w:r>
      <w:r>
        <w:rPr>
          <w:noProof/>
        </w:rPr>
        <w:t>. Participants with absent SSOAEs showed a smaller range of difference</w:t>
      </w:r>
      <w:r w:rsidR="00E37E28">
        <w:rPr>
          <w:noProof/>
        </w:rPr>
        <w:t xml:space="preserve"> values</w:t>
      </w:r>
      <w:r>
        <w:rPr>
          <w:noProof/>
        </w:rPr>
        <w:t xml:space="preserve"> compared to those with present SSOAEs, </w:t>
      </w:r>
      <w:r w:rsidR="00E37E28">
        <w:rPr>
          <w:noProof/>
        </w:rPr>
        <w:t>but this may be due to the smaller number of participants with absent SSOAEs. The participant with the largest difference value</w:t>
      </w:r>
      <w:r w:rsidR="00E86F38">
        <w:rPr>
          <w:noProof/>
        </w:rPr>
        <w:t xml:space="preserve"> (0.237 dB) </w:t>
      </w:r>
      <w:r w:rsidR="00E37E28">
        <w:rPr>
          <w:noProof/>
        </w:rPr>
        <w:t xml:space="preserve">that fell outside the 95% </w:t>
      </w:r>
      <w:r w:rsidR="008456BF">
        <w:rPr>
          <w:noProof/>
        </w:rPr>
        <w:t>critical</w:t>
      </w:r>
      <w:r w:rsidR="00E37E28">
        <w:rPr>
          <w:noProof/>
        </w:rPr>
        <w:t xml:space="preserve"> difference had an SSOAE amplitude that was </w:t>
      </w:r>
      <w:r w:rsidR="00E86F38">
        <w:rPr>
          <w:noProof/>
        </w:rPr>
        <w:t>on the lower end of the distribution of SSOAE amplitudes (</w:t>
      </w:r>
      <w:r w:rsidR="008456BF">
        <w:rPr>
          <w:rFonts w:cs="Times New Roman"/>
          <w:noProof/>
        </w:rPr>
        <w:t>−</w:t>
      </w:r>
      <w:r w:rsidR="008456BF">
        <w:rPr>
          <w:noProof/>
        </w:rPr>
        <w:t xml:space="preserve">1.738 dB SPL, </w:t>
      </w:r>
      <w:r w:rsidR="00E86F38">
        <w:rPr>
          <w:noProof/>
        </w:rPr>
        <w:t>below the 25</w:t>
      </w:r>
      <w:r w:rsidR="00E86F38" w:rsidRPr="00E86F38">
        <w:rPr>
          <w:noProof/>
          <w:vertAlign w:val="superscript"/>
        </w:rPr>
        <w:t>th</w:t>
      </w:r>
      <w:r w:rsidR="00E86F38">
        <w:rPr>
          <w:noProof/>
        </w:rPr>
        <w:t xml:space="preserve"> percentile), </w:t>
      </w:r>
      <w:r w:rsidR="00E37E28">
        <w:rPr>
          <w:noProof/>
        </w:rPr>
        <w:t>suggesting that SSOAEs did not contribute appreciably to the</w:t>
      </w:r>
      <w:r w:rsidR="00770C26">
        <w:rPr>
          <w:noProof/>
        </w:rPr>
        <w:t xml:space="preserve"> </w:t>
      </w:r>
      <w:r w:rsidR="00E37E28">
        <w:rPr>
          <w:noProof/>
        </w:rPr>
        <w:t>difference</w:t>
      </w:r>
      <w:r w:rsidR="00D40722">
        <w:rPr>
          <w:noProof/>
        </w:rPr>
        <w:t xml:space="preserve"> </w:t>
      </w:r>
      <w:r w:rsidR="00770C26">
        <w:rPr>
          <w:noProof/>
        </w:rPr>
        <w:t>in ear-canal stimulus amplitude</w:t>
      </w:r>
      <w:r w:rsidR="00E37E28">
        <w:rPr>
          <w:noProof/>
        </w:rPr>
        <w:t xml:space="preserve">. </w:t>
      </w:r>
      <w:r w:rsidR="00E86F38">
        <w:rPr>
          <w:noProof/>
        </w:rPr>
        <w:t>Conversely, the other participant with a difference value (</w:t>
      </w:r>
      <w:r w:rsidR="004816D4">
        <w:rPr>
          <w:rFonts w:cs="Times New Roman"/>
          <w:noProof/>
        </w:rPr>
        <w:t>−</w:t>
      </w:r>
      <w:r w:rsidR="00E86F38">
        <w:rPr>
          <w:noProof/>
        </w:rPr>
        <w:t>0.073 dB) falling outside the 95% cirtical difference had an SSOAE amplitude that was on the higher end of the distribution of SSOAE amplitudes (</w:t>
      </w:r>
      <w:r w:rsidR="008456BF">
        <w:rPr>
          <w:noProof/>
        </w:rPr>
        <w:t xml:space="preserve">11.130 dB SPL, </w:t>
      </w:r>
      <w:r w:rsidR="00E86F38">
        <w:rPr>
          <w:noProof/>
        </w:rPr>
        <w:t>above the 75</w:t>
      </w:r>
      <w:r w:rsidR="00E86F38" w:rsidRPr="00E86F38">
        <w:rPr>
          <w:noProof/>
          <w:vertAlign w:val="superscript"/>
        </w:rPr>
        <w:t>th</w:t>
      </w:r>
      <w:r w:rsidR="00E86F38">
        <w:rPr>
          <w:noProof/>
        </w:rPr>
        <w:t xml:space="preserve"> percentile). This could suggest an influence of SSOAEs on the measured difference in ear-canal stimulus amplitude</w:t>
      </w:r>
      <w:r w:rsidR="002E4866">
        <w:rPr>
          <w:noProof/>
        </w:rPr>
        <w:t xml:space="preserve"> in this participant</w:t>
      </w:r>
      <w:r w:rsidR="00E86F38">
        <w:rPr>
          <w:noProof/>
        </w:rPr>
        <w:t xml:space="preserve">, although it is of note that other participants with SSOAEs of a similar amplitude did not exceed the 95% critical difference. </w:t>
      </w:r>
    </w:p>
    <w:p w14:paraId="5C64D84E" w14:textId="60CD8DED" w:rsidR="00152DB6" w:rsidRDefault="00A8335E" w:rsidP="00152DB6">
      <w:pPr>
        <w:spacing w:line="480" w:lineRule="auto"/>
        <w:ind w:firstLine="720"/>
        <w:jc w:val="both"/>
        <w:rPr>
          <w:noProof/>
        </w:rPr>
      </w:pPr>
      <w:r>
        <w:rPr>
          <w:noProof/>
        </w:rPr>
        <w:t xml:space="preserve">One factor we cannot account for in this analysis is </w:t>
      </w:r>
      <w:r w:rsidR="000B37A9">
        <w:rPr>
          <w:noProof/>
        </w:rPr>
        <w:t xml:space="preserve">the </w:t>
      </w:r>
      <w:r>
        <w:rPr>
          <w:noProof/>
        </w:rPr>
        <w:t xml:space="preserve">amount of medial olivocochlear reflex (MOCR) inhibition of the SSOAE (recall that the TEOAE screening data were analyzed for SSOAEs, which did not include a contralateral elicitor). If a large-amplitude SSOAE </w:t>
      </w:r>
      <w:r w:rsidR="00152DB6">
        <w:rPr>
          <w:noProof/>
        </w:rPr>
        <w:t xml:space="preserve">was sufficiently inhibited by the MOCR and was out of phase with the stimulus, this interaction could exhibit as a change in ear-canal stimulus amplitude even if there were no MEMR activation. The following </w:t>
      </w:r>
      <w:r w:rsidR="00E11304">
        <w:rPr>
          <w:noProof/>
        </w:rPr>
        <w:t xml:space="preserve">equation </w:t>
      </w:r>
      <w:r w:rsidR="00152DB6">
        <w:rPr>
          <w:noProof/>
        </w:rPr>
        <w:t xml:space="preserve">illsturates the potential impact of SSOAEs. </w:t>
      </w:r>
      <w:r w:rsidR="00E11304">
        <w:rPr>
          <w:noProof/>
        </w:rPr>
        <w:t>Equation 1</w:t>
      </w:r>
      <w:r w:rsidR="00152DB6">
        <w:rPr>
          <w:noProof/>
        </w:rPr>
        <w:t xml:space="preserve"> </w:t>
      </w:r>
      <w:r w:rsidR="00D31243">
        <w:rPr>
          <w:noProof/>
        </w:rPr>
        <w:t xml:space="preserve">computes </w:t>
      </w:r>
      <w:r w:rsidR="00152DB6">
        <w:rPr>
          <w:noProof/>
        </w:rPr>
        <w:t>the difference value that would result from an interaction of the stimulus amplitude and an SSOAE that is inhibited by the MOCR:</w:t>
      </w:r>
    </w:p>
    <w:p w14:paraId="64A97C7D" w14:textId="17DAE2F1" w:rsidR="00152DB6" w:rsidRPr="00A74E8B" w:rsidRDefault="00DB44DA" w:rsidP="00A74E8B">
      <w:pPr>
        <w:spacing w:line="480" w:lineRule="auto"/>
        <w:ind w:firstLine="720"/>
        <w:rPr>
          <w:noProof/>
        </w:rPr>
      </w:pPr>
      <m:oMath>
        <m:sSub>
          <m:sSubPr>
            <m:ctrlPr>
              <w:rPr>
                <w:rFonts w:ascii="Cambria Math" w:hAnsi="Cambria Math"/>
                <w:i/>
                <w:noProof/>
              </w:rPr>
            </m:ctrlPr>
          </m:sSubPr>
          <m:e>
            <m:r>
              <w:rPr>
                <w:rFonts w:ascii="Cambria Math" w:hAnsi="Cambria Math"/>
                <w:noProof/>
              </w:rPr>
              <m:t>δ</m:t>
            </m:r>
          </m:e>
          <m:sub>
            <m:r>
              <w:rPr>
                <w:rFonts w:ascii="Cambria Math" w:hAnsi="Cambria Math"/>
                <w:noProof/>
              </w:rPr>
              <m:t>stim</m:t>
            </m:r>
          </m:sub>
        </m:sSub>
        <m:r>
          <w:rPr>
            <w:rFonts w:ascii="Cambria Math" w:hAnsi="Cambria Math"/>
            <w:noProof/>
          </w:rPr>
          <m:t xml:space="preserve">=20 </m:t>
        </m:r>
        <m:func>
          <m:funcPr>
            <m:ctrlPr>
              <w:rPr>
                <w:rFonts w:ascii="Cambria Math" w:hAnsi="Cambria Math"/>
                <w:i/>
                <w:noProof/>
              </w:rPr>
            </m:ctrlPr>
          </m:funcPr>
          <m:fName>
            <m:sSub>
              <m:sSubPr>
                <m:ctrlPr>
                  <w:rPr>
                    <w:rFonts w:ascii="Cambria Math" w:hAnsi="Cambria Math"/>
                    <w:i/>
                    <w:noProof/>
                  </w:rPr>
                </m:ctrlPr>
              </m:sSubPr>
              <m:e>
                <m:r>
                  <m:rPr>
                    <m:sty m:val="p"/>
                  </m:rPr>
                  <w:rPr>
                    <w:rFonts w:ascii="Cambria Math" w:hAnsi="Cambria Math"/>
                    <w:noProof/>
                  </w:rPr>
                  <m:t>log</m:t>
                </m:r>
              </m:e>
              <m:sub>
                <m:r>
                  <w:rPr>
                    <w:rFonts w:ascii="Cambria Math" w:hAnsi="Cambria Math"/>
                    <w:noProof/>
                  </w:rPr>
                  <m:t>10</m:t>
                </m:r>
              </m:sub>
            </m:sSub>
          </m:fName>
          <m:e>
            <m:d>
              <m:dPr>
                <m:begChr m:val="["/>
                <m:endChr m:val="]"/>
                <m:ctrlPr>
                  <w:rPr>
                    <w:rFonts w:ascii="Cambria Math" w:hAnsi="Cambria Math"/>
                    <w:i/>
                    <w:noProof/>
                  </w:rPr>
                </m:ctrlPr>
              </m:dPr>
              <m:e>
                <m:r>
                  <w:rPr>
                    <w:rFonts w:ascii="Cambria Math" w:hAnsi="Cambria Math"/>
                    <w:noProof/>
                  </w:rPr>
                  <m:t>(</m:t>
                </m:r>
                <m:sSub>
                  <m:sSubPr>
                    <m:ctrlPr>
                      <w:rPr>
                        <w:rFonts w:ascii="Cambria Math" w:hAnsi="Cambria Math"/>
                        <w:i/>
                        <w:noProof/>
                      </w:rPr>
                    </m:ctrlPr>
                  </m:sSubPr>
                  <m:e>
                    <m:r>
                      <w:rPr>
                        <w:rFonts w:ascii="Cambria Math" w:hAnsi="Cambria Math"/>
                        <w:noProof/>
                      </w:rPr>
                      <m:t>A</m:t>
                    </m:r>
                  </m:e>
                  <m:sub>
                    <m:r>
                      <w:rPr>
                        <w:rFonts w:ascii="Cambria Math" w:hAnsi="Cambria Math"/>
                        <w:noProof/>
                      </w:rPr>
                      <m:t>stim</m:t>
                    </m:r>
                  </m:sub>
                </m:sSub>
                <m:r>
                  <w:rPr>
                    <w:rFonts w:ascii="Cambria Math" w:hAnsi="Cambria Math"/>
                    <w:noProof/>
                  </w:rPr>
                  <m:t>+</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A</m:t>
                        </m:r>
                      </m:e>
                      <m:sub>
                        <m:r>
                          <w:rPr>
                            <w:rFonts w:ascii="Cambria Math" w:hAnsi="Cambria Math"/>
                            <w:noProof/>
                          </w:rPr>
                          <m:t>ssoae</m:t>
                        </m:r>
                      </m:sub>
                    </m:sSub>
                    <m:r>
                      <w:rPr>
                        <w:rFonts w:ascii="Cambria Math" w:hAnsi="Cambria Math"/>
                        <w:noProof/>
                      </w:rPr>
                      <m:t>×</m:t>
                    </m:r>
                    <m:sSub>
                      <m:sSubPr>
                        <m:ctrlPr>
                          <w:rPr>
                            <w:rFonts w:ascii="Cambria Math" w:hAnsi="Cambria Math"/>
                            <w:i/>
                            <w:noProof/>
                          </w:rPr>
                        </m:ctrlPr>
                      </m:sSubPr>
                      <m:e>
                        <m:r>
                          <w:rPr>
                            <w:rFonts w:ascii="Cambria Math" w:hAnsi="Cambria Math"/>
                            <w:noProof/>
                          </w:rPr>
                          <m:t>A</m:t>
                        </m:r>
                      </m:e>
                      <m:sub>
                        <m:r>
                          <w:rPr>
                            <w:rFonts w:ascii="Cambria Math" w:hAnsi="Cambria Math"/>
                            <w:noProof/>
                          </w:rPr>
                          <m:t>moc</m:t>
                        </m:r>
                      </m:sub>
                    </m:sSub>
                  </m:e>
                </m:d>
                <m:r>
                  <w:rPr>
                    <w:rFonts w:ascii="Cambria Math" w:hAnsi="Cambria Math"/>
                    <w:noProof/>
                  </w:rPr>
                  <m:t>) / (</m:t>
                </m:r>
                <m:sSub>
                  <m:sSubPr>
                    <m:ctrlPr>
                      <w:rPr>
                        <w:rFonts w:ascii="Cambria Math" w:hAnsi="Cambria Math"/>
                        <w:i/>
                        <w:noProof/>
                      </w:rPr>
                    </m:ctrlPr>
                  </m:sSubPr>
                  <m:e>
                    <m:r>
                      <w:rPr>
                        <w:rFonts w:ascii="Cambria Math" w:hAnsi="Cambria Math"/>
                        <w:noProof/>
                      </w:rPr>
                      <m:t>A</m:t>
                    </m:r>
                  </m:e>
                  <m:sub>
                    <m:r>
                      <w:rPr>
                        <w:rFonts w:ascii="Cambria Math" w:hAnsi="Cambria Math"/>
                        <w:noProof/>
                      </w:rPr>
                      <m:t>stim</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A</m:t>
                    </m:r>
                  </m:e>
                  <m:sub>
                    <m:r>
                      <w:rPr>
                        <w:rFonts w:ascii="Cambria Math" w:hAnsi="Cambria Math"/>
                        <w:noProof/>
                      </w:rPr>
                      <m:t>ssoae</m:t>
                    </m:r>
                  </m:sub>
                </m:sSub>
                <m:r>
                  <w:rPr>
                    <w:rFonts w:ascii="Cambria Math" w:hAnsi="Cambria Math"/>
                    <w:noProof/>
                  </w:rPr>
                  <m:t>)</m:t>
                </m:r>
              </m:e>
            </m:d>
          </m:e>
        </m:func>
      </m:oMath>
      <w:r w:rsidR="0038749B">
        <w:rPr>
          <w:rFonts w:eastAsiaTheme="minorEastAsia"/>
          <w:noProof/>
        </w:rPr>
        <w:t xml:space="preserve"> </w:t>
      </w:r>
      <w:r w:rsidR="00A74E8B">
        <w:rPr>
          <w:rFonts w:eastAsiaTheme="minorEastAsia"/>
          <w:noProof/>
        </w:rPr>
        <w:tab/>
        <w:t>(1)</w:t>
      </w:r>
      <w:r w:rsidR="0038749B">
        <w:rPr>
          <w:rFonts w:eastAsiaTheme="minorEastAsia"/>
          <w:noProof/>
        </w:rPr>
        <w:t>,</w:t>
      </w:r>
    </w:p>
    <w:p w14:paraId="48DFCD55" w14:textId="6F09B110" w:rsidR="007269AC" w:rsidRDefault="0038749B" w:rsidP="007269AC">
      <w:pPr>
        <w:spacing w:line="480" w:lineRule="auto"/>
        <w:jc w:val="both"/>
        <w:rPr>
          <w:noProof/>
        </w:rPr>
      </w:pPr>
      <w:r>
        <w:rPr>
          <w:noProof/>
        </w:rPr>
        <w:lastRenderedPageBreak/>
        <w:t>w</w:t>
      </w:r>
      <w:r w:rsidR="00A74E8B">
        <w:rPr>
          <w:noProof/>
        </w:rPr>
        <w:t>here</w:t>
      </w:r>
      <w:r>
        <w:rPr>
          <w:rFonts w:eastAsiaTheme="minorEastAsia"/>
          <w:noProof/>
        </w:rPr>
        <w:t xml:space="preserve"> </w:t>
      </w:r>
      <m:oMath>
        <m:sSub>
          <m:sSubPr>
            <m:ctrlPr>
              <w:rPr>
                <w:rFonts w:ascii="Cambria Math" w:hAnsi="Cambria Math"/>
                <w:i/>
                <w:noProof/>
              </w:rPr>
            </m:ctrlPr>
          </m:sSubPr>
          <m:e>
            <m:r>
              <w:rPr>
                <w:rFonts w:ascii="Cambria Math" w:hAnsi="Cambria Math"/>
                <w:noProof/>
              </w:rPr>
              <m:t>δ</m:t>
            </m:r>
          </m:e>
          <m:sub>
            <m:r>
              <w:rPr>
                <w:rFonts w:ascii="Cambria Math" w:hAnsi="Cambria Math"/>
                <w:noProof/>
              </w:rPr>
              <m:t>stim</m:t>
            </m:r>
          </m:sub>
        </m:sSub>
      </m:oMath>
      <w:r>
        <w:rPr>
          <w:rFonts w:eastAsiaTheme="minorEastAsia"/>
          <w:noProof/>
        </w:rPr>
        <w:t xml:space="preserve"> is the estimated change in ear-canal stimulus amplitude in </w:t>
      </w:r>
      <w:bookmarkStart w:id="0" w:name="_GoBack"/>
      <w:bookmarkEnd w:id="0"/>
      <w:r>
        <w:rPr>
          <w:rFonts w:eastAsiaTheme="minorEastAsia"/>
          <w:noProof/>
        </w:rPr>
        <w:t xml:space="preserve">dB, </w:t>
      </w:r>
      <m:oMath>
        <m:sSub>
          <m:sSubPr>
            <m:ctrlPr>
              <w:rPr>
                <w:rFonts w:ascii="Cambria Math" w:hAnsi="Cambria Math"/>
                <w:i/>
                <w:noProof/>
              </w:rPr>
            </m:ctrlPr>
          </m:sSubPr>
          <m:e>
            <m:r>
              <w:rPr>
                <w:rFonts w:ascii="Cambria Math" w:hAnsi="Cambria Math"/>
                <w:noProof/>
              </w:rPr>
              <m:t>A</m:t>
            </m:r>
          </m:e>
          <m:sub>
            <m:r>
              <w:rPr>
                <w:rFonts w:ascii="Cambria Math" w:hAnsi="Cambria Math"/>
                <w:noProof/>
              </w:rPr>
              <m:t>stim</m:t>
            </m:r>
          </m:sub>
        </m:sSub>
      </m:oMath>
      <w:r>
        <w:rPr>
          <w:rFonts w:eastAsiaTheme="minorEastAsia"/>
          <w:noProof/>
        </w:rPr>
        <w:t xml:space="preserve"> </w:t>
      </w:r>
      <w:r w:rsidR="00A74E8B">
        <w:rPr>
          <w:noProof/>
        </w:rPr>
        <w:t xml:space="preserve">is the RMS amplitude of the ear-canal stimulus in Pascals, </w:t>
      </w:r>
      <m:oMath>
        <m:sSub>
          <m:sSubPr>
            <m:ctrlPr>
              <w:rPr>
                <w:rFonts w:ascii="Cambria Math" w:hAnsi="Cambria Math"/>
                <w:i/>
                <w:noProof/>
              </w:rPr>
            </m:ctrlPr>
          </m:sSubPr>
          <m:e>
            <m:r>
              <w:rPr>
                <w:rFonts w:ascii="Cambria Math" w:hAnsi="Cambria Math"/>
                <w:noProof/>
              </w:rPr>
              <m:t>A</m:t>
            </m:r>
          </m:e>
          <m:sub>
            <m:r>
              <w:rPr>
                <w:rFonts w:ascii="Cambria Math" w:hAnsi="Cambria Math"/>
                <w:noProof/>
              </w:rPr>
              <m:t>ssoae</m:t>
            </m:r>
          </m:sub>
        </m:sSub>
      </m:oMath>
      <w:r w:rsidR="00A74E8B">
        <w:rPr>
          <w:i/>
          <w:noProof/>
          <w:vertAlign w:val="subscript"/>
        </w:rPr>
        <w:t xml:space="preserve"> </w:t>
      </w:r>
      <w:r w:rsidR="00A74E8B">
        <w:rPr>
          <w:noProof/>
        </w:rPr>
        <w:t xml:space="preserve">is the RMS amplitude of the SSOAE in Pascals, </w:t>
      </w:r>
      <w:r>
        <w:rPr>
          <w:noProof/>
        </w:rPr>
        <w:t xml:space="preserve">and </w:t>
      </w:r>
      <m:oMath>
        <m:sSub>
          <m:sSubPr>
            <m:ctrlPr>
              <w:rPr>
                <w:rFonts w:ascii="Cambria Math" w:hAnsi="Cambria Math"/>
                <w:i/>
                <w:noProof/>
              </w:rPr>
            </m:ctrlPr>
          </m:sSubPr>
          <m:e>
            <m:r>
              <w:rPr>
                <w:rFonts w:ascii="Cambria Math" w:hAnsi="Cambria Math"/>
                <w:noProof/>
              </w:rPr>
              <m:t>A</m:t>
            </m:r>
          </m:e>
          <m:sub>
            <m:r>
              <w:rPr>
                <w:rFonts w:ascii="Cambria Math" w:hAnsi="Cambria Math"/>
                <w:noProof/>
              </w:rPr>
              <m:t>moc</m:t>
            </m:r>
          </m:sub>
        </m:sSub>
      </m:oMath>
      <w:r w:rsidR="00A74E8B">
        <w:rPr>
          <w:noProof/>
        </w:rPr>
        <w:t xml:space="preserve"> is the amplitude of MOCR inhibitio</w:t>
      </w:r>
      <w:r w:rsidR="00122BBF">
        <w:rPr>
          <w:noProof/>
        </w:rPr>
        <w:t xml:space="preserve">n of the SSOAE in linear units. </w:t>
      </w:r>
      <w:r w:rsidR="00E11304">
        <w:rPr>
          <w:noProof/>
        </w:rPr>
        <w:t xml:space="preserve">For the aforementioned participant with a difference value of </w:t>
      </w:r>
      <w:r w:rsidR="004816D4">
        <w:rPr>
          <w:rFonts w:cs="Times New Roman"/>
          <w:noProof/>
        </w:rPr>
        <w:t>−</w:t>
      </w:r>
      <w:r w:rsidR="00E11304">
        <w:rPr>
          <w:noProof/>
        </w:rPr>
        <w:t xml:space="preserve">0.073 dB and an SSOAE amplitude of 11.130 dB SPL, if </w:t>
      </w:r>
      <w:r w:rsidR="00122BBF">
        <w:rPr>
          <w:noProof/>
        </w:rPr>
        <w:t xml:space="preserve">we </w:t>
      </w:r>
      <w:r w:rsidR="007C2562">
        <w:rPr>
          <w:noProof/>
        </w:rPr>
        <w:t>use</w:t>
      </w:r>
      <w:r w:rsidR="00122BBF">
        <w:rPr>
          <w:noProof/>
        </w:rPr>
        <w:t xml:space="preserve"> a</w:t>
      </w:r>
      <w:r w:rsidR="00E11304">
        <w:rPr>
          <w:noProof/>
        </w:rPr>
        <w:t xml:space="preserve">n </w:t>
      </w:r>
      <m:oMath>
        <m:sSub>
          <m:sSubPr>
            <m:ctrlPr>
              <w:rPr>
                <w:rFonts w:ascii="Cambria Math" w:hAnsi="Cambria Math"/>
                <w:i/>
                <w:noProof/>
              </w:rPr>
            </m:ctrlPr>
          </m:sSubPr>
          <m:e>
            <m:r>
              <w:rPr>
                <w:rFonts w:ascii="Cambria Math" w:hAnsi="Cambria Math"/>
                <w:noProof/>
              </w:rPr>
              <m:t>A</m:t>
            </m:r>
          </m:e>
          <m:sub>
            <m:r>
              <w:rPr>
                <w:rFonts w:ascii="Cambria Math" w:hAnsi="Cambria Math"/>
                <w:noProof/>
              </w:rPr>
              <m:t>stim</m:t>
            </m:r>
          </m:sub>
        </m:sSub>
      </m:oMath>
      <w:r w:rsidR="00E11304">
        <w:rPr>
          <w:noProof/>
        </w:rPr>
        <w:t xml:space="preserve"> of 55 dB SPL and a </w:t>
      </w:r>
      <w:r w:rsidR="00122BBF">
        <w:rPr>
          <w:noProof/>
        </w:rPr>
        <w:t xml:space="preserve">reasonable value of </w:t>
      </w:r>
      <m:oMath>
        <m:sSub>
          <m:sSubPr>
            <m:ctrlPr>
              <w:rPr>
                <w:rFonts w:ascii="Cambria Math" w:hAnsi="Cambria Math"/>
                <w:i/>
                <w:noProof/>
              </w:rPr>
            </m:ctrlPr>
          </m:sSubPr>
          <m:e>
            <m:r>
              <w:rPr>
                <w:rFonts w:ascii="Cambria Math" w:hAnsi="Cambria Math"/>
                <w:noProof/>
              </w:rPr>
              <m:t>A</m:t>
            </m:r>
          </m:e>
          <m:sub>
            <m:r>
              <w:rPr>
                <w:rFonts w:ascii="Cambria Math" w:hAnsi="Cambria Math"/>
                <w:noProof/>
              </w:rPr>
              <m:t>moc</m:t>
            </m:r>
          </m:sub>
        </m:sSub>
      </m:oMath>
      <w:r w:rsidR="00122BBF">
        <w:rPr>
          <w:i/>
          <w:noProof/>
          <w:vertAlign w:val="subscript"/>
        </w:rPr>
        <w:t xml:space="preserve"> </w:t>
      </w:r>
      <w:r w:rsidR="00122BBF">
        <w:rPr>
          <w:noProof/>
        </w:rPr>
        <w:t>of 0.707 (3 dB inhibition)</w:t>
      </w:r>
      <w:r w:rsidR="00E11304">
        <w:rPr>
          <w:noProof/>
        </w:rPr>
        <w:t xml:space="preserve">, </w:t>
      </w:r>
      <w:r w:rsidR="00122BBF">
        <w:rPr>
          <w:noProof/>
        </w:rPr>
        <w:t xml:space="preserve">the resulting </w:t>
      </w:r>
      <m:oMath>
        <m:sSub>
          <m:sSubPr>
            <m:ctrlPr>
              <w:rPr>
                <w:rFonts w:ascii="Cambria Math" w:hAnsi="Cambria Math"/>
                <w:i/>
                <w:noProof/>
              </w:rPr>
            </m:ctrlPr>
          </m:sSubPr>
          <m:e>
            <m:r>
              <w:rPr>
                <w:rFonts w:ascii="Cambria Math" w:hAnsi="Cambria Math"/>
                <w:noProof/>
              </w:rPr>
              <m:t>δ</m:t>
            </m:r>
          </m:e>
          <m:sub>
            <m:r>
              <w:rPr>
                <w:rFonts w:ascii="Cambria Math" w:hAnsi="Cambria Math"/>
                <w:noProof/>
              </w:rPr>
              <m:t>stim</m:t>
            </m:r>
          </m:sub>
        </m:sSub>
      </m:oMath>
      <w:r>
        <w:rPr>
          <w:rFonts w:eastAsiaTheme="minorEastAsia"/>
          <w:noProof/>
        </w:rPr>
        <w:t xml:space="preserve"> </w:t>
      </w:r>
      <w:r w:rsidR="00122BBF">
        <w:rPr>
          <w:noProof/>
        </w:rPr>
        <w:t xml:space="preserve">is </w:t>
      </w:r>
      <w:r w:rsidR="004816D4">
        <w:rPr>
          <w:rFonts w:cs="Times New Roman"/>
          <w:noProof/>
        </w:rPr>
        <w:t>−</w:t>
      </w:r>
      <w:r w:rsidR="00122BBF">
        <w:rPr>
          <w:noProof/>
        </w:rPr>
        <w:t>0.01</w:t>
      </w:r>
      <w:r w:rsidR="001F15E3">
        <w:rPr>
          <w:noProof/>
        </w:rPr>
        <w:t>6</w:t>
      </w:r>
      <w:r w:rsidR="00122BBF">
        <w:rPr>
          <w:noProof/>
        </w:rPr>
        <w:t xml:space="preserve"> dB</w:t>
      </w:r>
      <w:r w:rsidR="00E11304">
        <w:rPr>
          <w:noProof/>
        </w:rPr>
        <w:t>. This value is</w:t>
      </w:r>
      <w:r w:rsidR="00122BBF">
        <w:rPr>
          <w:noProof/>
        </w:rPr>
        <w:t xml:space="preserve"> </w:t>
      </w:r>
      <w:r w:rsidR="000B65F6">
        <w:rPr>
          <w:noProof/>
        </w:rPr>
        <w:t>smaller</w:t>
      </w:r>
      <w:r w:rsidR="00122BBF">
        <w:rPr>
          <w:noProof/>
        </w:rPr>
        <w:t xml:space="preserve"> than the participant’</w:t>
      </w:r>
      <w:r w:rsidR="00E11304">
        <w:rPr>
          <w:noProof/>
        </w:rPr>
        <w:t>s actual difference value</w:t>
      </w:r>
      <w:r w:rsidR="007C2562">
        <w:rPr>
          <w:noProof/>
        </w:rPr>
        <w:t xml:space="preserve">, and </w:t>
      </w:r>
      <m:oMath>
        <m:sSub>
          <m:sSubPr>
            <m:ctrlPr>
              <w:rPr>
                <w:rFonts w:ascii="Cambria Math" w:hAnsi="Cambria Math"/>
                <w:i/>
                <w:noProof/>
              </w:rPr>
            </m:ctrlPr>
          </m:sSubPr>
          <m:e>
            <m:r>
              <w:rPr>
                <w:rFonts w:ascii="Cambria Math" w:hAnsi="Cambria Math"/>
                <w:noProof/>
              </w:rPr>
              <m:t>δ</m:t>
            </m:r>
          </m:e>
          <m:sub>
            <m:r>
              <w:rPr>
                <w:rFonts w:ascii="Cambria Math" w:hAnsi="Cambria Math"/>
                <w:noProof/>
              </w:rPr>
              <m:t>stim</m:t>
            </m:r>
          </m:sub>
        </m:sSub>
      </m:oMath>
      <w:r w:rsidR="00E11304">
        <w:rPr>
          <w:noProof/>
        </w:rPr>
        <w:t xml:space="preserve"> </w:t>
      </w:r>
      <w:r w:rsidR="007C2562">
        <w:rPr>
          <w:noProof/>
        </w:rPr>
        <w:t xml:space="preserve">did </w:t>
      </w:r>
      <w:r w:rsidR="00E11304">
        <w:rPr>
          <w:noProof/>
        </w:rPr>
        <w:t>not exceed the</w:t>
      </w:r>
      <w:r w:rsidR="00CF4FBF">
        <w:rPr>
          <w:noProof/>
        </w:rPr>
        <w:t xml:space="preserve"> 95%</w:t>
      </w:r>
      <w:r w:rsidR="00E11304">
        <w:rPr>
          <w:noProof/>
        </w:rPr>
        <w:t xml:space="preserve"> critical difference. This suggests</w:t>
      </w:r>
      <w:r w:rsidR="007C2562">
        <w:rPr>
          <w:noProof/>
        </w:rPr>
        <w:t xml:space="preserve"> a lack of effect of SSOAEs on the results for this participant. </w:t>
      </w:r>
      <w:r w:rsidR="00E76F95">
        <w:rPr>
          <w:noProof/>
        </w:rPr>
        <w:t>Conversely, f</w:t>
      </w:r>
      <w:r w:rsidR="00E11304">
        <w:rPr>
          <w:noProof/>
        </w:rPr>
        <w:t xml:space="preserve">or the participant with the largest SSOAE amplitude (16.590 dB SPL), if we again </w:t>
      </w:r>
      <w:r w:rsidR="007C2562">
        <w:rPr>
          <w:noProof/>
        </w:rPr>
        <w:t>use</w:t>
      </w:r>
      <w:r w:rsidR="00E11304">
        <w:rPr>
          <w:noProof/>
        </w:rPr>
        <w:t xml:space="preserve"> an </w:t>
      </w:r>
      <m:oMath>
        <m:sSub>
          <m:sSubPr>
            <m:ctrlPr>
              <w:rPr>
                <w:rFonts w:ascii="Cambria Math" w:hAnsi="Cambria Math"/>
                <w:i/>
                <w:noProof/>
              </w:rPr>
            </m:ctrlPr>
          </m:sSubPr>
          <m:e>
            <m:r>
              <w:rPr>
                <w:rFonts w:ascii="Cambria Math" w:hAnsi="Cambria Math"/>
                <w:noProof/>
              </w:rPr>
              <m:t>A</m:t>
            </m:r>
          </m:e>
          <m:sub>
            <m:r>
              <w:rPr>
                <w:rFonts w:ascii="Cambria Math" w:hAnsi="Cambria Math"/>
                <w:noProof/>
              </w:rPr>
              <m:t>moc</m:t>
            </m:r>
          </m:sub>
        </m:sSub>
      </m:oMath>
      <w:r>
        <w:rPr>
          <w:i/>
          <w:noProof/>
          <w:vertAlign w:val="subscript"/>
        </w:rPr>
        <w:t xml:space="preserve"> </w:t>
      </w:r>
      <w:r w:rsidR="00E11304">
        <w:rPr>
          <w:noProof/>
        </w:rPr>
        <w:t xml:space="preserve">of 0.707,  </w:t>
      </w:r>
      <m:oMath>
        <m:sSub>
          <m:sSubPr>
            <m:ctrlPr>
              <w:rPr>
                <w:rFonts w:ascii="Cambria Math" w:hAnsi="Cambria Math"/>
                <w:i/>
                <w:noProof/>
              </w:rPr>
            </m:ctrlPr>
          </m:sSubPr>
          <m:e>
            <m:r>
              <w:rPr>
                <w:rFonts w:ascii="Cambria Math" w:hAnsi="Cambria Math"/>
                <w:noProof/>
              </w:rPr>
              <m:t>δ</m:t>
            </m:r>
          </m:e>
          <m:sub>
            <m:r>
              <w:rPr>
                <w:rFonts w:ascii="Cambria Math" w:hAnsi="Cambria Math"/>
                <w:noProof/>
              </w:rPr>
              <m:t>stim</m:t>
            </m:r>
          </m:sub>
        </m:sSub>
      </m:oMath>
      <w:r>
        <w:rPr>
          <w:rFonts w:eastAsiaTheme="minorEastAsia"/>
          <w:noProof/>
        </w:rPr>
        <w:t xml:space="preserve"> </w:t>
      </w:r>
      <w:r w:rsidR="00E11304">
        <w:rPr>
          <w:noProof/>
        </w:rPr>
        <w:t xml:space="preserve">is </w:t>
      </w:r>
      <w:r w:rsidR="004816D4">
        <w:rPr>
          <w:rFonts w:cs="Times New Roman"/>
          <w:noProof/>
        </w:rPr>
        <w:t>−</w:t>
      </w:r>
      <w:r w:rsidR="00E11304">
        <w:rPr>
          <w:noProof/>
        </w:rPr>
        <w:t xml:space="preserve">0.030 which exceeds the participant’s actual difference value of </w:t>
      </w:r>
      <w:r w:rsidR="004816D4">
        <w:rPr>
          <w:rFonts w:cs="Times New Roman"/>
          <w:noProof/>
        </w:rPr>
        <w:t>−</w:t>
      </w:r>
      <w:r w:rsidR="00E11304">
        <w:rPr>
          <w:noProof/>
        </w:rPr>
        <w:t>0.024 dB</w:t>
      </w:r>
      <w:r w:rsidR="00431AAC">
        <w:rPr>
          <w:noProof/>
        </w:rPr>
        <w:t xml:space="preserve"> but does not exceed the 95% critical difference</w:t>
      </w:r>
      <w:r w:rsidR="00E11304">
        <w:rPr>
          <w:noProof/>
        </w:rPr>
        <w:t xml:space="preserve">. </w:t>
      </w:r>
      <w:r w:rsidR="00596F38">
        <w:rPr>
          <w:noProof/>
        </w:rPr>
        <w:t xml:space="preserve">In this participant, it could </w:t>
      </w:r>
      <w:r w:rsidR="00E11304">
        <w:rPr>
          <w:noProof/>
        </w:rPr>
        <w:t xml:space="preserve">suggest that the value of </w:t>
      </w:r>
      <m:oMath>
        <m:sSub>
          <m:sSubPr>
            <m:ctrlPr>
              <w:rPr>
                <w:rFonts w:ascii="Cambria Math" w:hAnsi="Cambria Math"/>
                <w:i/>
                <w:noProof/>
              </w:rPr>
            </m:ctrlPr>
          </m:sSubPr>
          <m:e>
            <m:r>
              <w:rPr>
                <w:rFonts w:ascii="Cambria Math" w:hAnsi="Cambria Math"/>
                <w:noProof/>
              </w:rPr>
              <m:t>A</m:t>
            </m:r>
          </m:e>
          <m:sub>
            <m:r>
              <w:rPr>
                <w:rFonts w:ascii="Cambria Math" w:hAnsi="Cambria Math"/>
                <w:noProof/>
              </w:rPr>
              <m:t>moc</m:t>
            </m:r>
          </m:sub>
        </m:sSub>
      </m:oMath>
      <w:r w:rsidR="00E11304">
        <w:rPr>
          <w:noProof/>
          <w:vertAlign w:val="subscript"/>
        </w:rPr>
        <w:t xml:space="preserve"> </w:t>
      </w:r>
      <w:r w:rsidR="00596F38">
        <w:rPr>
          <w:noProof/>
        </w:rPr>
        <w:t xml:space="preserve">overestimated the actual MOCR effect </w:t>
      </w:r>
      <w:r w:rsidR="00E11304">
        <w:rPr>
          <w:noProof/>
        </w:rPr>
        <w:t>and/or</w:t>
      </w:r>
      <w:r w:rsidR="001F15E3">
        <w:rPr>
          <w:noProof/>
        </w:rPr>
        <w:t xml:space="preserve"> that</w:t>
      </w:r>
      <w:r w:rsidR="00E11304">
        <w:rPr>
          <w:noProof/>
        </w:rPr>
        <w:t xml:space="preserve"> </w:t>
      </w:r>
      <w:r w:rsidR="00CF4FBF">
        <w:rPr>
          <w:noProof/>
        </w:rPr>
        <w:t>the inhibited SSOAE is not completely out of phase with the stimulus waveform.</w:t>
      </w:r>
    </w:p>
    <w:p w14:paraId="49E28F06" w14:textId="446CD2A1" w:rsidR="00E11304" w:rsidRPr="00D8440A" w:rsidRDefault="007269AC" w:rsidP="007269AC">
      <w:pPr>
        <w:spacing w:line="480" w:lineRule="auto"/>
        <w:ind w:firstLine="720"/>
        <w:jc w:val="both"/>
        <w:rPr>
          <w:noProof/>
        </w:rPr>
      </w:pPr>
      <w:r>
        <w:rPr>
          <w:noProof/>
        </w:rPr>
        <w:t>Because no measurement of MOCR inhibition of the SSOAEs was</w:t>
      </w:r>
      <w:r w:rsidR="00CF5A49">
        <w:rPr>
          <w:noProof/>
        </w:rPr>
        <w:t xml:space="preserve"> obtained in the current study,</w:t>
      </w:r>
      <w:r>
        <w:rPr>
          <w:noProof/>
        </w:rPr>
        <w:t xml:space="preserve"> these estimated effects of SSOAEs remain speculative. It appears that very large-amplitude SSOAEs may</w:t>
      </w:r>
      <w:r w:rsidR="002B02EA">
        <w:rPr>
          <w:noProof/>
        </w:rPr>
        <w:t xml:space="preserve"> potentially</w:t>
      </w:r>
      <w:r>
        <w:rPr>
          <w:noProof/>
        </w:rPr>
        <w:t xml:space="preserve"> impact the measured change in ear-canal stimulus amplitude</w:t>
      </w:r>
      <w:r w:rsidR="002B02EA">
        <w:rPr>
          <w:noProof/>
        </w:rPr>
        <w:t xml:space="preserve">, but only if the size of MOCR inhibition is substantially large. </w:t>
      </w:r>
      <w:r>
        <w:rPr>
          <w:noProof/>
        </w:rPr>
        <w:t xml:space="preserve">Further work is needed, but </w:t>
      </w:r>
      <w:r w:rsidR="002B02EA">
        <w:rPr>
          <w:noProof/>
        </w:rPr>
        <w:t>we recommend that future work include the analysis of SSOAEs and the MOCR effect on SSOAEs when d</w:t>
      </w:r>
      <w:r w:rsidR="001F15E3">
        <w:rPr>
          <w:noProof/>
        </w:rPr>
        <w:t>eveloping critical differences.</w:t>
      </w:r>
    </w:p>
    <w:p w14:paraId="51486AD9" w14:textId="043BD299" w:rsidR="00FA12A0" w:rsidRDefault="00CC0D6D" w:rsidP="00EC0E65">
      <w:pPr>
        <w:spacing w:line="480" w:lineRule="auto"/>
        <w:jc w:val="center"/>
      </w:pPr>
      <w:r>
        <w:rPr>
          <w:noProof/>
        </w:rPr>
        <w:lastRenderedPageBreak/>
        <w:drawing>
          <wp:inline distT="0" distB="0" distL="0" distR="0" wp14:anchorId="060AF88C" wp14:editId="1BD25EEC">
            <wp:extent cx="3730752" cy="2798064"/>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up2.png"/>
                    <pic:cNvPicPr/>
                  </pic:nvPicPr>
                  <pic:blipFill>
                    <a:blip r:embed="rId8">
                      <a:extLst>
                        <a:ext uri="{28A0092B-C50C-407E-A947-70E740481C1C}">
                          <a14:useLocalDpi xmlns:a14="http://schemas.microsoft.com/office/drawing/2010/main" val="0"/>
                        </a:ext>
                      </a:extLst>
                    </a:blip>
                    <a:stretch>
                      <a:fillRect/>
                    </a:stretch>
                  </pic:blipFill>
                  <pic:spPr>
                    <a:xfrm>
                      <a:off x="0" y="0"/>
                      <a:ext cx="3730752" cy="2798064"/>
                    </a:xfrm>
                    <a:prstGeom prst="rect">
                      <a:avLst/>
                    </a:prstGeom>
                  </pic:spPr>
                </pic:pic>
              </a:graphicData>
            </a:graphic>
          </wp:inline>
        </w:drawing>
      </w:r>
    </w:p>
    <w:p w14:paraId="1212B734" w14:textId="0172A6CE" w:rsidR="008D1E69" w:rsidRDefault="008D1E69" w:rsidP="00EC0E65">
      <w:pPr>
        <w:spacing w:line="480" w:lineRule="auto"/>
        <w:jc w:val="both"/>
      </w:pPr>
      <w:r w:rsidRPr="008D1E69">
        <w:rPr>
          <w:b/>
        </w:rPr>
        <w:t xml:space="preserve">Figure 1. </w:t>
      </w:r>
      <w:r w:rsidR="00EC0E65" w:rsidRPr="00EC0E65">
        <w:t xml:space="preserve">Differences </w:t>
      </w:r>
      <w:r w:rsidR="00EC0E65">
        <w:t>in ear-canal stimulus amplitude (</w:t>
      </w:r>
      <w:r w:rsidR="00EC0E65">
        <w:rPr>
          <w:i/>
        </w:rPr>
        <w:t>no elicitor 1</w:t>
      </w:r>
      <w:r w:rsidR="00EC0E65">
        <w:t xml:space="preserve"> versus </w:t>
      </w:r>
      <w:r w:rsidR="00EC0E65">
        <w:rPr>
          <w:i/>
        </w:rPr>
        <w:t>elicitor 1</w:t>
      </w:r>
      <w:r w:rsidR="00EC0E65">
        <w:t xml:space="preserve">) as a function of </w:t>
      </w:r>
      <w:r w:rsidR="00CF5A49">
        <w:t>SSOAE</w:t>
      </w:r>
      <w:r w:rsidR="00EC0E65">
        <w:t xml:space="preserve"> amplitude. Open circles represent participants with present SSOAEs and x symbols represent participants with absent SSOAEs. The dashed horizontal lines represent the 95% critical difference</w:t>
      </w:r>
      <w:r w:rsidR="00CF5A49">
        <w:t>.</w:t>
      </w:r>
    </w:p>
    <w:p w14:paraId="09E9736A" w14:textId="4637A8BA" w:rsidR="00EC0E65" w:rsidRDefault="00EC0E65" w:rsidP="00EC0E65">
      <w:pPr>
        <w:spacing w:line="480" w:lineRule="auto"/>
        <w:jc w:val="both"/>
      </w:pPr>
    </w:p>
    <w:p w14:paraId="6DDE387B" w14:textId="77777777" w:rsidR="003D7865" w:rsidRDefault="003D7865">
      <w:pPr>
        <w:rPr>
          <w:b/>
        </w:rPr>
      </w:pPr>
      <w:r>
        <w:rPr>
          <w:b/>
        </w:rPr>
        <w:br w:type="page"/>
      </w:r>
    </w:p>
    <w:p w14:paraId="783763C9" w14:textId="14B48EFD" w:rsidR="0060483F" w:rsidRDefault="00F30EC6" w:rsidP="0060483F">
      <w:pPr>
        <w:spacing w:line="480" w:lineRule="auto"/>
        <w:jc w:val="both"/>
        <w:rPr>
          <w:b/>
        </w:rPr>
      </w:pPr>
      <w:r>
        <w:rPr>
          <w:b/>
        </w:rPr>
        <w:lastRenderedPageBreak/>
        <w:t>References</w:t>
      </w:r>
    </w:p>
    <w:p w14:paraId="202C3D04" w14:textId="3BB6A5D6" w:rsidR="00482DAC" w:rsidRDefault="00482DAC" w:rsidP="0060483F">
      <w:pPr>
        <w:spacing w:line="480" w:lineRule="auto"/>
        <w:ind w:left="720" w:hanging="720"/>
        <w:jc w:val="both"/>
      </w:pPr>
      <w:proofErr w:type="spellStart"/>
      <w:r w:rsidRPr="00482DAC">
        <w:t>Jedrzejczak</w:t>
      </w:r>
      <w:proofErr w:type="spellEnd"/>
      <w:r w:rsidRPr="00482DAC">
        <w:t>, W.</w:t>
      </w:r>
      <w:r w:rsidR="00E76F95">
        <w:t xml:space="preserve"> </w:t>
      </w:r>
      <w:r w:rsidRPr="00482DAC">
        <w:t xml:space="preserve">W., </w:t>
      </w:r>
      <w:r w:rsidR="00E76F95">
        <w:t xml:space="preserve">K. J. </w:t>
      </w:r>
      <w:proofErr w:type="spellStart"/>
      <w:r w:rsidRPr="00482DAC">
        <w:t>Blinowska</w:t>
      </w:r>
      <w:proofErr w:type="spellEnd"/>
      <w:r w:rsidRPr="00482DAC">
        <w:t xml:space="preserve">, </w:t>
      </w:r>
      <w:r w:rsidR="00E76F95">
        <w:t>K.</w:t>
      </w:r>
      <w:r w:rsidRPr="00482DAC">
        <w:t xml:space="preserve"> </w:t>
      </w:r>
      <w:proofErr w:type="spellStart"/>
      <w:r w:rsidRPr="00482DAC">
        <w:t>Kochanek</w:t>
      </w:r>
      <w:proofErr w:type="spellEnd"/>
      <w:r w:rsidRPr="00482DAC">
        <w:t xml:space="preserve">, </w:t>
      </w:r>
      <w:r w:rsidR="00E76F95">
        <w:t xml:space="preserve">and H. </w:t>
      </w:r>
      <w:proofErr w:type="spellStart"/>
      <w:r w:rsidRPr="00482DAC">
        <w:t>Skarzynski</w:t>
      </w:r>
      <w:proofErr w:type="spellEnd"/>
      <w:r w:rsidR="00E76F95">
        <w:t>.</w:t>
      </w:r>
      <w:r w:rsidRPr="00482DAC">
        <w:t xml:space="preserve"> 2008. </w:t>
      </w:r>
      <w:r w:rsidR="00E76F95">
        <w:t>“</w:t>
      </w:r>
      <w:r w:rsidRPr="00482DAC">
        <w:t xml:space="preserve">Synchronized </w:t>
      </w:r>
      <w:r w:rsidR="00E76F95">
        <w:t>S</w:t>
      </w:r>
      <w:r w:rsidRPr="00482DAC">
        <w:t xml:space="preserve">pontaneous </w:t>
      </w:r>
      <w:r w:rsidR="00E76F95">
        <w:t>O</w:t>
      </w:r>
      <w:r w:rsidRPr="00482DAC">
        <w:t xml:space="preserve">toacoustic </w:t>
      </w:r>
      <w:r w:rsidR="00E76F95">
        <w:t>E</w:t>
      </w:r>
      <w:r w:rsidRPr="00482DAC">
        <w:t xml:space="preserve">missions </w:t>
      </w:r>
      <w:r w:rsidR="00E76F95">
        <w:t>A</w:t>
      </w:r>
      <w:r w:rsidRPr="00482DAC">
        <w:t xml:space="preserve">nalyzed in a </w:t>
      </w:r>
      <w:r w:rsidR="00E76F95">
        <w:t>T</w:t>
      </w:r>
      <w:r w:rsidRPr="00482DAC">
        <w:t>ime-</w:t>
      </w:r>
      <w:r w:rsidR="00E76F95">
        <w:t>F</w:t>
      </w:r>
      <w:r w:rsidRPr="00482DAC">
        <w:t xml:space="preserve">requency </w:t>
      </w:r>
      <w:r w:rsidR="00E76F95">
        <w:t>D</w:t>
      </w:r>
      <w:r w:rsidRPr="00482DAC">
        <w:t>omain.</w:t>
      </w:r>
      <w:r w:rsidR="00E76F95">
        <w:t>”</w:t>
      </w:r>
      <w:r w:rsidRPr="00482DAC">
        <w:t xml:space="preserve"> </w:t>
      </w:r>
      <w:r w:rsidRPr="00E76F95">
        <w:rPr>
          <w:i/>
        </w:rPr>
        <w:t>The Journal of the Acoustical Society of America</w:t>
      </w:r>
      <w:r w:rsidRPr="00482DAC">
        <w:t xml:space="preserve"> </w:t>
      </w:r>
      <w:r w:rsidRPr="00E76F95">
        <w:rPr>
          <w:i/>
        </w:rPr>
        <w:t>124</w:t>
      </w:r>
      <w:r w:rsidR="00E76F95">
        <w:t xml:space="preserve"> </w:t>
      </w:r>
      <w:r w:rsidRPr="00482DAC">
        <w:t>(6)</w:t>
      </w:r>
      <w:r w:rsidR="00E76F95">
        <w:t>:3720–</w:t>
      </w:r>
      <w:r w:rsidRPr="00482DAC">
        <w:t>3729.</w:t>
      </w:r>
      <w:r w:rsidR="00E76F95">
        <w:t xml:space="preserve"> doi:</w:t>
      </w:r>
      <w:r w:rsidR="00E76F95" w:rsidRPr="00E76F95">
        <w:t>10.1121/1.2999556</w:t>
      </w:r>
      <w:r w:rsidR="00E76F95">
        <w:t>.</w:t>
      </w:r>
    </w:p>
    <w:p w14:paraId="5DBBF30A" w14:textId="616010B1" w:rsidR="00113597" w:rsidRDefault="00113597" w:rsidP="0060483F">
      <w:pPr>
        <w:spacing w:line="480" w:lineRule="auto"/>
        <w:ind w:left="720" w:hanging="720"/>
        <w:jc w:val="both"/>
      </w:pPr>
      <w:r w:rsidRPr="00113597">
        <w:t>Lewis, J.</w:t>
      </w:r>
      <w:r>
        <w:t xml:space="preserve"> D.</w:t>
      </w:r>
      <w:r w:rsidRPr="00113597">
        <w:t xml:space="preserve"> 2018. </w:t>
      </w:r>
      <w:r>
        <w:t>“</w:t>
      </w:r>
      <w:r w:rsidRPr="00113597">
        <w:t>Synchronized Spontaneous Otoacoustic Emissions Provide a Signal-to-Noise Ratio Advantage in Medial-Olivocochlear Reflex Assays.</w:t>
      </w:r>
      <w:r>
        <w:t>”</w:t>
      </w:r>
      <w:r w:rsidRPr="00113597">
        <w:t xml:space="preserve"> </w:t>
      </w:r>
      <w:r w:rsidRPr="00113597">
        <w:rPr>
          <w:i/>
        </w:rPr>
        <w:t>Journal of the Association for Research in Otolaryngology</w:t>
      </w:r>
      <w:r>
        <w:t xml:space="preserve"> </w:t>
      </w:r>
      <w:r w:rsidRPr="00113597">
        <w:rPr>
          <w:i/>
        </w:rPr>
        <w:t>19</w:t>
      </w:r>
      <w:r>
        <w:t xml:space="preserve"> </w:t>
      </w:r>
      <w:r w:rsidRPr="00113597">
        <w:t>(1)</w:t>
      </w:r>
      <w:r>
        <w:t>:53–</w:t>
      </w:r>
      <w:r w:rsidRPr="00113597">
        <w:t>65.</w:t>
      </w:r>
      <w:r>
        <w:t xml:space="preserve"> doi:</w:t>
      </w:r>
      <w:r w:rsidR="006248E9" w:rsidRPr="006248E9">
        <w:t>10.1007/s10162-017-0645-5</w:t>
      </w:r>
      <w:r w:rsidR="006248E9">
        <w:t>.</w:t>
      </w:r>
    </w:p>
    <w:p w14:paraId="59374E72" w14:textId="683F4160" w:rsidR="0060483F" w:rsidRDefault="0060483F" w:rsidP="0060483F">
      <w:pPr>
        <w:spacing w:line="480" w:lineRule="auto"/>
        <w:ind w:left="720" w:hanging="720"/>
        <w:jc w:val="both"/>
      </w:pPr>
      <w:r w:rsidRPr="0060483F">
        <w:t>Mertes, I.</w:t>
      </w:r>
      <w:r w:rsidR="005C2A04">
        <w:t xml:space="preserve"> </w:t>
      </w:r>
      <w:r w:rsidRPr="0060483F">
        <w:t>B.</w:t>
      </w:r>
      <w:r w:rsidR="005C2A04">
        <w:t>,</w:t>
      </w:r>
      <w:r w:rsidRPr="0060483F">
        <w:t xml:space="preserve"> and</w:t>
      </w:r>
      <w:r w:rsidR="005C2A04">
        <w:t xml:space="preserve"> S. S.</w:t>
      </w:r>
      <w:r w:rsidRPr="0060483F">
        <w:t xml:space="preserve"> Goodman</w:t>
      </w:r>
      <w:r w:rsidR="005C2A04">
        <w:t>.</w:t>
      </w:r>
      <w:r w:rsidRPr="0060483F">
        <w:t xml:space="preserve"> 2016. </w:t>
      </w:r>
      <w:r w:rsidR="005C2A04">
        <w:t>“</w:t>
      </w:r>
      <w:r w:rsidRPr="0060483F">
        <w:t>Within-</w:t>
      </w:r>
      <w:r w:rsidR="005C2A04">
        <w:t xml:space="preserve"> </w:t>
      </w:r>
      <w:r w:rsidRPr="0060483F">
        <w:t xml:space="preserve">and </w:t>
      </w:r>
      <w:r w:rsidR="005C2A04">
        <w:t>A</w:t>
      </w:r>
      <w:r w:rsidRPr="0060483F">
        <w:t>cross-</w:t>
      </w:r>
      <w:r w:rsidR="005C2A04">
        <w:t>S</w:t>
      </w:r>
      <w:r w:rsidRPr="0060483F">
        <w:t xml:space="preserve">ubject </w:t>
      </w:r>
      <w:r w:rsidR="005C2A04">
        <w:t>V</w:t>
      </w:r>
      <w:r w:rsidRPr="0060483F">
        <w:t xml:space="preserve">ariability of </w:t>
      </w:r>
      <w:r w:rsidR="005C2A04">
        <w:t>R</w:t>
      </w:r>
      <w:r w:rsidRPr="0060483F">
        <w:t xml:space="preserve">epeated </w:t>
      </w:r>
      <w:r w:rsidR="005C2A04">
        <w:t>M</w:t>
      </w:r>
      <w:r w:rsidRPr="0060483F">
        <w:t xml:space="preserve">easurements of </w:t>
      </w:r>
      <w:r w:rsidR="005C2A04">
        <w:t>M</w:t>
      </w:r>
      <w:r w:rsidRPr="0060483F">
        <w:t xml:space="preserve">edial </w:t>
      </w:r>
      <w:r w:rsidR="005C2A04">
        <w:t>O</w:t>
      </w:r>
      <w:r w:rsidRPr="0060483F">
        <w:t>livocochlear-</w:t>
      </w:r>
      <w:r w:rsidR="005C2A04">
        <w:t>I</w:t>
      </w:r>
      <w:r w:rsidRPr="0060483F">
        <w:t xml:space="preserve">nduced </w:t>
      </w:r>
      <w:r w:rsidR="005C2A04">
        <w:t>C</w:t>
      </w:r>
      <w:r w:rsidRPr="0060483F">
        <w:t xml:space="preserve">hanges in </w:t>
      </w:r>
      <w:r w:rsidR="005C2A04">
        <w:t>T</w:t>
      </w:r>
      <w:r w:rsidRPr="0060483F">
        <w:t>ransient-</w:t>
      </w:r>
      <w:r w:rsidR="005C2A04">
        <w:t>E</w:t>
      </w:r>
      <w:r w:rsidRPr="0060483F">
        <w:t xml:space="preserve">voked </w:t>
      </w:r>
      <w:r w:rsidR="005C2A04">
        <w:t>O</w:t>
      </w:r>
      <w:r w:rsidRPr="0060483F">
        <w:t xml:space="preserve">toacoustic </w:t>
      </w:r>
      <w:r w:rsidR="005C2A04">
        <w:t>E</w:t>
      </w:r>
      <w:r w:rsidRPr="0060483F">
        <w:t>missions.</w:t>
      </w:r>
      <w:r w:rsidR="005C2A04">
        <w:t>”</w:t>
      </w:r>
      <w:r w:rsidRPr="0060483F">
        <w:t xml:space="preserve"> </w:t>
      </w:r>
      <w:r w:rsidRPr="005C2A04">
        <w:rPr>
          <w:i/>
        </w:rPr>
        <w:t>Ear and Hearing</w:t>
      </w:r>
      <w:r w:rsidRPr="0060483F">
        <w:t xml:space="preserve"> </w:t>
      </w:r>
      <w:r w:rsidRPr="005C2A04">
        <w:rPr>
          <w:i/>
        </w:rPr>
        <w:t>37</w:t>
      </w:r>
      <w:r w:rsidR="005C2A04">
        <w:t xml:space="preserve"> </w:t>
      </w:r>
      <w:r w:rsidRPr="0060483F">
        <w:t>(2)</w:t>
      </w:r>
      <w:r w:rsidR="005C2A04">
        <w:t>:e72–</w:t>
      </w:r>
      <w:r w:rsidRPr="0060483F">
        <w:t>e84.</w:t>
      </w:r>
      <w:r w:rsidR="005C2A04">
        <w:t xml:space="preserve"> doi:</w:t>
      </w:r>
      <w:r w:rsidR="00F720FC" w:rsidRPr="00F720FC">
        <w:t>10.1097/AUD.0000000000000244</w:t>
      </w:r>
      <w:r w:rsidR="00F720FC">
        <w:t>.</w:t>
      </w:r>
    </w:p>
    <w:p w14:paraId="465B8CBE" w14:textId="74FB30BC" w:rsidR="0060483F" w:rsidRDefault="006441FD" w:rsidP="0060483F">
      <w:pPr>
        <w:spacing w:line="480" w:lineRule="auto"/>
        <w:ind w:left="720" w:hanging="720"/>
        <w:jc w:val="both"/>
      </w:pPr>
      <w:proofErr w:type="spellStart"/>
      <w:r>
        <w:t>Sisto</w:t>
      </w:r>
      <w:proofErr w:type="spellEnd"/>
      <w:r>
        <w:t xml:space="preserve">, R., </w:t>
      </w:r>
      <w:r w:rsidR="0060483F" w:rsidRPr="0060483F">
        <w:t xml:space="preserve">and </w:t>
      </w:r>
      <w:r>
        <w:t xml:space="preserve">A. </w:t>
      </w:r>
      <w:proofErr w:type="spellStart"/>
      <w:r w:rsidR="0060483F" w:rsidRPr="0060483F">
        <w:t>Moleti</w:t>
      </w:r>
      <w:proofErr w:type="spellEnd"/>
      <w:r>
        <w:t>.</w:t>
      </w:r>
      <w:r w:rsidR="0060483F" w:rsidRPr="0060483F">
        <w:t xml:space="preserve"> 2007. </w:t>
      </w:r>
      <w:r>
        <w:t>“</w:t>
      </w:r>
      <w:r w:rsidR="0060483F" w:rsidRPr="0060483F">
        <w:t xml:space="preserve">Transient </w:t>
      </w:r>
      <w:r>
        <w:t>E</w:t>
      </w:r>
      <w:r w:rsidR="0060483F" w:rsidRPr="0060483F">
        <w:t xml:space="preserve">voked </w:t>
      </w:r>
      <w:r>
        <w:t>O</w:t>
      </w:r>
      <w:r w:rsidR="0060483F" w:rsidRPr="0060483F">
        <w:t xml:space="preserve">toacoustic </w:t>
      </w:r>
      <w:r>
        <w:t>E</w:t>
      </w:r>
      <w:r w:rsidR="0060483F" w:rsidRPr="0060483F">
        <w:t xml:space="preserve">mission </w:t>
      </w:r>
      <w:r>
        <w:t>L</w:t>
      </w:r>
      <w:r w:rsidR="0060483F" w:rsidRPr="0060483F">
        <w:t xml:space="preserve">atency and </w:t>
      </w:r>
      <w:r>
        <w:t>C</w:t>
      </w:r>
      <w:r w:rsidR="0060483F" w:rsidRPr="0060483F">
        <w:t xml:space="preserve">ochlear </w:t>
      </w:r>
      <w:r>
        <w:t>T</w:t>
      </w:r>
      <w:r w:rsidR="0060483F" w:rsidRPr="0060483F">
        <w:t xml:space="preserve">uning at </w:t>
      </w:r>
      <w:r>
        <w:t>D</w:t>
      </w:r>
      <w:r w:rsidR="0060483F" w:rsidRPr="0060483F">
        <w:t xml:space="preserve">ifferent </w:t>
      </w:r>
      <w:r>
        <w:t>S</w:t>
      </w:r>
      <w:r w:rsidR="0060483F" w:rsidRPr="0060483F">
        <w:t xml:space="preserve">timulus </w:t>
      </w:r>
      <w:r>
        <w:t>L</w:t>
      </w:r>
      <w:r w:rsidR="0060483F" w:rsidRPr="0060483F">
        <w:t>evels.</w:t>
      </w:r>
      <w:r>
        <w:t>”</w:t>
      </w:r>
      <w:r w:rsidR="0060483F" w:rsidRPr="0060483F">
        <w:t xml:space="preserve"> </w:t>
      </w:r>
      <w:r w:rsidR="0060483F" w:rsidRPr="006441FD">
        <w:rPr>
          <w:i/>
        </w:rPr>
        <w:t>The Journal of the Acoustical Society of America</w:t>
      </w:r>
      <w:r w:rsidR="0060483F" w:rsidRPr="0060483F">
        <w:t xml:space="preserve"> </w:t>
      </w:r>
      <w:r w:rsidR="0060483F" w:rsidRPr="006441FD">
        <w:rPr>
          <w:i/>
        </w:rPr>
        <w:t>122</w:t>
      </w:r>
      <w:r>
        <w:t xml:space="preserve"> </w:t>
      </w:r>
      <w:r w:rsidR="0060483F" w:rsidRPr="0060483F">
        <w:t>(4)</w:t>
      </w:r>
      <w:r>
        <w:t>:</w:t>
      </w:r>
      <w:r w:rsidR="0060483F" w:rsidRPr="0060483F">
        <w:t>218</w:t>
      </w:r>
      <w:r>
        <w:t>3–</w:t>
      </w:r>
      <w:r w:rsidR="0060483F" w:rsidRPr="0060483F">
        <w:t>2190.</w:t>
      </w:r>
      <w:r>
        <w:t xml:space="preserve"> doi:</w:t>
      </w:r>
      <w:r w:rsidRPr="006441FD">
        <w:t>10.1121/1.2769981</w:t>
      </w:r>
      <w:r>
        <w:t>.</w:t>
      </w:r>
    </w:p>
    <w:p w14:paraId="7118D7A4" w14:textId="36B87D2E" w:rsidR="00482DAC" w:rsidRPr="00F30EC6" w:rsidRDefault="00482DAC" w:rsidP="0060483F">
      <w:pPr>
        <w:spacing w:line="480" w:lineRule="auto"/>
        <w:ind w:left="720" w:hanging="720"/>
        <w:jc w:val="both"/>
      </w:pPr>
      <w:proofErr w:type="spellStart"/>
      <w:r w:rsidRPr="00482DAC">
        <w:t>Sisto</w:t>
      </w:r>
      <w:proofErr w:type="spellEnd"/>
      <w:r w:rsidRPr="00482DAC">
        <w:t xml:space="preserve">, R., </w:t>
      </w:r>
      <w:r w:rsidR="006441FD">
        <w:t xml:space="preserve">A. </w:t>
      </w:r>
      <w:proofErr w:type="spellStart"/>
      <w:r w:rsidRPr="00482DAC">
        <w:t>Moleti</w:t>
      </w:r>
      <w:proofErr w:type="spellEnd"/>
      <w:r w:rsidRPr="00482DAC">
        <w:t>, and</w:t>
      </w:r>
      <w:r w:rsidR="006441FD">
        <w:t xml:space="preserve"> M.</w:t>
      </w:r>
      <w:r w:rsidRPr="00482DAC">
        <w:t xml:space="preserve"> </w:t>
      </w:r>
      <w:proofErr w:type="spellStart"/>
      <w:r w:rsidRPr="00482DAC">
        <w:t>Lucertini</w:t>
      </w:r>
      <w:proofErr w:type="spellEnd"/>
      <w:r w:rsidR="006441FD">
        <w:t>.</w:t>
      </w:r>
      <w:r w:rsidRPr="00482DAC">
        <w:t xml:space="preserve"> 2001. </w:t>
      </w:r>
      <w:r w:rsidR="006441FD">
        <w:t>“</w:t>
      </w:r>
      <w:r w:rsidRPr="00482DAC">
        <w:t xml:space="preserve">Spontaneous </w:t>
      </w:r>
      <w:r w:rsidR="006441FD">
        <w:t>O</w:t>
      </w:r>
      <w:r w:rsidRPr="00482DAC">
        <w:t xml:space="preserve">toacoustic </w:t>
      </w:r>
      <w:r w:rsidR="006441FD">
        <w:t>E</w:t>
      </w:r>
      <w:r w:rsidRPr="00482DAC">
        <w:t xml:space="preserve">missions and </w:t>
      </w:r>
      <w:r w:rsidR="006441FD">
        <w:t>R</w:t>
      </w:r>
      <w:r w:rsidRPr="00482DAC">
        <w:t xml:space="preserve">elaxation </w:t>
      </w:r>
      <w:r w:rsidR="006441FD">
        <w:t>D</w:t>
      </w:r>
      <w:r w:rsidRPr="00482DAC">
        <w:t xml:space="preserve">ynamics of </w:t>
      </w:r>
      <w:r w:rsidR="006441FD">
        <w:t>L</w:t>
      </w:r>
      <w:r w:rsidRPr="00482DAC">
        <w:t xml:space="preserve">ong </w:t>
      </w:r>
      <w:r w:rsidR="006441FD">
        <w:t>D</w:t>
      </w:r>
      <w:r w:rsidRPr="00482DAC">
        <w:t xml:space="preserve">ecay </w:t>
      </w:r>
      <w:r w:rsidR="006441FD">
        <w:t>T</w:t>
      </w:r>
      <w:r w:rsidRPr="00482DAC">
        <w:t xml:space="preserve">ime OAEs in </w:t>
      </w:r>
      <w:r w:rsidR="006441FD">
        <w:t>A</w:t>
      </w:r>
      <w:r w:rsidRPr="00482DAC">
        <w:t xml:space="preserve">udiometrically </w:t>
      </w:r>
      <w:r w:rsidR="006441FD">
        <w:t>N</w:t>
      </w:r>
      <w:r w:rsidRPr="00482DAC">
        <w:t xml:space="preserve">ormal and </w:t>
      </w:r>
      <w:r w:rsidR="006441FD">
        <w:t>I</w:t>
      </w:r>
      <w:r w:rsidRPr="00482DAC">
        <w:t xml:space="preserve">mpaired </w:t>
      </w:r>
      <w:r w:rsidR="006441FD">
        <w:t>S</w:t>
      </w:r>
      <w:r w:rsidRPr="00482DAC">
        <w:t>ubjects.</w:t>
      </w:r>
      <w:r w:rsidR="006441FD">
        <w:t>”</w:t>
      </w:r>
      <w:r w:rsidRPr="00482DAC">
        <w:t xml:space="preserve"> </w:t>
      </w:r>
      <w:r w:rsidRPr="006441FD">
        <w:rPr>
          <w:i/>
        </w:rPr>
        <w:t>The Journal of the Acoustical Society of America</w:t>
      </w:r>
      <w:r w:rsidRPr="00482DAC">
        <w:t xml:space="preserve"> </w:t>
      </w:r>
      <w:r w:rsidRPr="006441FD">
        <w:rPr>
          <w:i/>
        </w:rPr>
        <w:t>109</w:t>
      </w:r>
      <w:r w:rsidR="006441FD">
        <w:t xml:space="preserve"> </w:t>
      </w:r>
      <w:r w:rsidRPr="00482DAC">
        <w:t>(2)</w:t>
      </w:r>
      <w:r w:rsidR="006441FD">
        <w:t>:638–</w:t>
      </w:r>
      <w:r w:rsidRPr="00482DAC">
        <w:t>647.</w:t>
      </w:r>
      <w:r w:rsidR="006441FD">
        <w:t xml:space="preserve"> doi:</w:t>
      </w:r>
      <w:r w:rsidR="006441FD" w:rsidRPr="006441FD">
        <w:t>10.1121/1.1336502</w:t>
      </w:r>
      <w:r w:rsidR="006441FD">
        <w:t>.</w:t>
      </w:r>
    </w:p>
    <w:sectPr w:rsidR="00482DAC" w:rsidRPr="00F30EC6" w:rsidSect="003452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921E0" w14:textId="77777777" w:rsidR="00DB44DA" w:rsidRDefault="00DB44DA" w:rsidP="00913326">
      <w:pPr>
        <w:spacing w:line="240" w:lineRule="auto"/>
      </w:pPr>
      <w:r>
        <w:separator/>
      </w:r>
    </w:p>
  </w:endnote>
  <w:endnote w:type="continuationSeparator" w:id="0">
    <w:p w14:paraId="0AAB2B84" w14:textId="77777777" w:rsidR="00DB44DA" w:rsidRDefault="00DB44DA" w:rsidP="00913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794589"/>
      <w:docPartObj>
        <w:docPartGallery w:val="Page Numbers (Bottom of Page)"/>
        <w:docPartUnique/>
      </w:docPartObj>
    </w:sdtPr>
    <w:sdtEndPr>
      <w:rPr>
        <w:noProof/>
      </w:rPr>
    </w:sdtEndPr>
    <w:sdtContent>
      <w:p w14:paraId="083AA577" w14:textId="3B72BDE4" w:rsidR="008D1E69" w:rsidRDefault="008D1E69">
        <w:pPr>
          <w:pStyle w:val="Footer"/>
          <w:jc w:val="right"/>
        </w:pPr>
        <w:r>
          <w:fldChar w:fldCharType="begin"/>
        </w:r>
        <w:r>
          <w:instrText xml:space="preserve"> PAGE   \* MERGEFORMAT </w:instrText>
        </w:r>
        <w:r>
          <w:fldChar w:fldCharType="separate"/>
        </w:r>
        <w:r w:rsidR="001F15E3">
          <w:rPr>
            <w:noProof/>
          </w:rPr>
          <w:t>5</w:t>
        </w:r>
        <w:r>
          <w:rPr>
            <w:noProof/>
          </w:rPr>
          <w:fldChar w:fldCharType="end"/>
        </w:r>
      </w:p>
    </w:sdtContent>
  </w:sdt>
  <w:p w14:paraId="37FADFD2" w14:textId="77777777" w:rsidR="00204D62" w:rsidRDefault="00204D62" w:rsidP="004C193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9217A" w14:textId="77777777" w:rsidR="00DB44DA" w:rsidRDefault="00DB44DA" w:rsidP="00913326">
      <w:pPr>
        <w:spacing w:line="240" w:lineRule="auto"/>
      </w:pPr>
      <w:r>
        <w:separator/>
      </w:r>
    </w:p>
  </w:footnote>
  <w:footnote w:type="continuationSeparator" w:id="0">
    <w:p w14:paraId="7F328C72" w14:textId="77777777" w:rsidR="00DB44DA" w:rsidRDefault="00DB44DA" w:rsidP="009133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7463" w14:textId="77777777" w:rsidR="003452ED" w:rsidRPr="003452ED" w:rsidRDefault="003452ED" w:rsidP="003452ED">
    <w:pPr>
      <w:pStyle w:val="Header"/>
      <w:rPr>
        <w:i/>
      </w:rPr>
    </w:pPr>
    <w:r>
      <w:t xml:space="preserve">Running Head: </w:t>
    </w:r>
    <w:r w:rsidRPr="003452ED">
      <w:rPr>
        <w:i/>
      </w:rPr>
      <w:t>Critical Differences for Detecting Middle Ear Muscle Reflex</w:t>
    </w:r>
  </w:p>
  <w:p w14:paraId="56FD3568" w14:textId="1209B060" w:rsidR="003452ED" w:rsidRDefault="003452ED" w:rsidP="003452ED">
    <w:pPr>
      <w:pStyle w:val="Header"/>
    </w:pPr>
    <w:r>
      <w:t>Ian B. Mertes</w:t>
    </w:r>
  </w:p>
  <w:p w14:paraId="18C01916" w14:textId="77777777" w:rsidR="003452ED" w:rsidRDefault="003452ED" w:rsidP="0034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31B8"/>
    <w:multiLevelType w:val="hybridMultilevel"/>
    <w:tmpl w:val="99328852"/>
    <w:lvl w:ilvl="0" w:tplc="B55E7A84">
      <w:start w:val="1"/>
      <w:numFmt w:val="decimal"/>
      <w:lvlText w:val="%1 "/>
      <w:lvlJc w:val="left"/>
      <w:pPr>
        <w:ind w:left="0" w:firstLine="0"/>
      </w:pPr>
      <w:rPr>
        <w:rFonts w:hint="default"/>
        <w:caps w:val="0"/>
        <w:strike w:val="0"/>
        <w:dstrike w:val="0"/>
        <w:vanish w:val="0"/>
        <w:vertAlign w:val="superscript"/>
      </w:rPr>
    </w:lvl>
    <w:lvl w:ilvl="1" w:tplc="C7E2E6E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E6500"/>
    <w:multiLevelType w:val="hybridMultilevel"/>
    <w:tmpl w:val="E78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E7789"/>
    <w:multiLevelType w:val="hybridMultilevel"/>
    <w:tmpl w:val="1138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75E14"/>
    <w:multiLevelType w:val="hybridMultilevel"/>
    <w:tmpl w:val="BFEE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2394E"/>
    <w:multiLevelType w:val="hybridMultilevel"/>
    <w:tmpl w:val="37A2D2A8"/>
    <w:lvl w:ilvl="0" w:tplc="B55C2F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D3B98"/>
    <w:multiLevelType w:val="hybridMultilevel"/>
    <w:tmpl w:val="F73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45A24"/>
    <w:multiLevelType w:val="hybridMultilevel"/>
    <w:tmpl w:val="0BFAE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D398B"/>
    <w:multiLevelType w:val="hybridMultilevel"/>
    <w:tmpl w:val="6D7238C0"/>
    <w:lvl w:ilvl="0" w:tplc="13D666AA">
      <w:start w:val="1"/>
      <w:numFmt w:val="decimal"/>
      <w:lvlText w:val="%1 "/>
      <w:lvlJc w:val="left"/>
      <w:pPr>
        <w:ind w:left="720" w:hanging="360"/>
      </w:pPr>
      <w:rPr>
        <w:rFonts w:hint="default"/>
        <w:caps w:val="0"/>
        <w:strike w:val="0"/>
        <w:dstrike w:val="0"/>
        <w:vanish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A1DE2"/>
    <w:multiLevelType w:val="hybridMultilevel"/>
    <w:tmpl w:val="1A1E3A08"/>
    <w:lvl w:ilvl="0" w:tplc="D272D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777"/>
    <w:rsid w:val="00000EE8"/>
    <w:rsid w:val="00001226"/>
    <w:rsid w:val="000021D2"/>
    <w:rsid w:val="00002B02"/>
    <w:rsid w:val="000037FC"/>
    <w:rsid w:val="00005A3D"/>
    <w:rsid w:val="0000790B"/>
    <w:rsid w:val="000117B4"/>
    <w:rsid w:val="000129DD"/>
    <w:rsid w:val="00012B6A"/>
    <w:rsid w:val="00012CE2"/>
    <w:rsid w:val="00013913"/>
    <w:rsid w:val="00014147"/>
    <w:rsid w:val="00014475"/>
    <w:rsid w:val="000145AB"/>
    <w:rsid w:val="00017EDB"/>
    <w:rsid w:val="0002176C"/>
    <w:rsid w:val="00021973"/>
    <w:rsid w:val="00022E9D"/>
    <w:rsid w:val="0002333B"/>
    <w:rsid w:val="00023CB0"/>
    <w:rsid w:val="00023E5E"/>
    <w:rsid w:val="0002427D"/>
    <w:rsid w:val="00027129"/>
    <w:rsid w:val="00031714"/>
    <w:rsid w:val="00032F77"/>
    <w:rsid w:val="00034DD6"/>
    <w:rsid w:val="00035C46"/>
    <w:rsid w:val="000366AE"/>
    <w:rsid w:val="0004017F"/>
    <w:rsid w:val="00040E94"/>
    <w:rsid w:val="000419B1"/>
    <w:rsid w:val="00042B3A"/>
    <w:rsid w:val="00043AB2"/>
    <w:rsid w:val="00044F30"/>
    <w:rsid w:val="00045B7D"/>
    <w:rsid w:val="00045ED6"/>
    <w:rsid w:val="000467E5"/>
    <w:rsid w:val="00046BBF"/>
    <w:rsid w:val="00046BDF"/>
    <w:rsid w:val="00047A09"/>
    <w:rsid w:val="0005039A"/>
    <w:rsid w:val="00050654"/>
    <w:rsid w:val="00050F39"/>
    <w:rsid w:val="0005202F"/>
    <w:rsid w:val="00052DB9"/>
    <w:rsid w:val="000546ED"/>
    <w:rsid w:val="000553ED"/>
    <w:rsid w:val="00057AB7"/>
    <w:rsid w:val="000602DC"/>
    <w:rsid w:val="00060735"/>
    <w:rsid w:val="000639F1"/>
    <w:rsid w:val="00063D6E"/>
    <w:rsid w:val="00063DD2"/>
    <w:rsid w:val="0006608F"/>
    <w:rsid w:val="000670E8"/>
    <w:rsid w:val="000715AA"/>
    <w:rsid w:val="000720D4"/>
    <w:rsid w:val="000732AD"/>
    <w:rsid w:val="00074A2F"/>
    <w:rsid w:val="00076444"/>
    <w:rsid w:val="00077476"/>
    <w:rsid w:val="0008174C"/>
    <w:rsid w:val="00081D4B"/>
    <w:rsid w:val="0008311A"/>
    <w:rsid w:val="00084711"/>
    <w:rsid w:val="00084C8E"/>
    <w:rsid w:val="00085738"/>
    <w:rsid w:val="00085D1B"/>
    <w:rsid w:val="00085E5B"/>
    <w:rsid w:val="00086693"/>
    <w:rsid w:val="0008701D"/>
    <w:rsid w:val="0008786E"/>
    <w:rsid w:val="00087E7B"/>
    <w:rsid w:val="00087EF9"/>
    <w:rsid w:val="00091362"/>
    <w:rsid w:val="00092857"/>
    <w:rsid w:val="000929E7"/>
    <w:rsid w:val="00095D47"/>
    <w:rsid w:val="0009740F"/>
    <w:rsid w:val="000A050B"/>
    <w:rsid w:val="000A4AD1"/>
    <w:rsid w:val="000A55BF"/>
    <w:rsid w:val="000A56BB"/>
    <w:rsid w:val="000A5D22"/>
    <w:rsid w:val="000A7819"/>
    <w:rsid w:val="000B1648"/>
    <w:rsid w:val="000B1873"/>
    <w:rsid w:val="000B37A9"/>
    <w:rsid w:val="000B4597"/>
    <w:rsid w:val="000B556A"/>
    <w:rsid w:val="000B65F6"/>
    <w:rsid w:val="000B6A92"/>
    <w:rsid w:val="000C1181"/>
    <w:rsid w:val="000C28B1"/>
    <w:rsid w:val="000C4108"/>
    <w:rsid w:val="000C515A"/>
    <w:rsid w:val="000C51EB"/>
    <w:rsid w:val="000C5EC1"/>
    <w:rsid w:val="000C6729"/>
    <w:rsid w:val="000C6CE3"/>
    <w:rsid w:val="000C72D8"/>
    <w:rsid w:val="000C7395"/>
    <w:rsid w:val="000C7D35"/>
    <w:rsid w:val="000D12AE"/>
    <w:rsid w:val="000D4DE0"/>
    <w:rsid w:val="000D526C"/>
    <w:rsid w:val="000D6AD3"/>
    <w:rsid w:val="000E0E9A"/>
    <w:rsid w:val="000E0F91"/>
    <w:rsid w:val="000E457B"/>
    <w:rsid w:val="000E4D7E"/>
    <w:rsid w:val="000E6083"/>
    <w:rsid w:val="000E720A"/>
    <w:rsid w:val="000F0688"/>
    <w:rsid w:val="000F0F97"/>
    <w:rsid w:val="000F295A"/>
    <w:rsid w:val="000F3CAE"/>
    <w:rsid w:val="000F4D3B"/>
    <w:rsid w:val="000F5CBD"/>
    <w:rsid w:val="000F6510"/>
    <w:rsid w:val="000F720F"/>
    <w:rsid w:val="000F7335"/>
    <w:rsid w:val="000F77F4"/>
    <w:rsid w:val="001022B4"/>
    <w:rsid w:val="001023F0"/>
    <w:rsid w:val="001025C8"/>
    <w:rsid w:val="00103284"/>
    <w:rsid w:val="001039AC"/>
    <w:rsid w:val="0010422E"/>
    <w:rsid w:val="0010466C"/>
    <w:rsid w:val="001060D5"/>
    <w:rsid w:val="00106C4A"/>
    <w:rsid w:val="00107C81"/>
    <w:rsid w:val="00107F25"/>
    <w:rsid w:val="00112291"/>
    <w:rsid w:val="00113597"/>
    <w:rsid w:val="00114C9C"/>
    <w:rsid w:val="00117ADF"/>
    <w:rsid w:val="00122BBF"/>
    <w:rsid w:val="0012376B"/>
    <w:rsid w:val="00124081"/>
    <w:rsid w:val="00125820"/>
    <w:rsid w:val="0012785D"/>
    <w:rsid w:val="001312A9"/>
    <w:rsid w:val="001312B4"/>
    <w:rsid w:val="00133A35"/>
    <w:rsid w:val="00134BFC"/>
    <w:rsid w:val="00137489"/>
    <w:rsid w:val="00140EBC"/>
    <w:rsid w:val="00144226"/>
    <w:rsid w:val="00144BBE"/>
    <w:rsid w:val="00145C8F"/>
    <w:rsid w:val="0014771D"/>
    <w:rsid w:val="0015240F"/>
    <w:rsid w:val="00152DB6"/>
    <w:rsid w:val="00152EB8"/>
    <w:rsid w:val="00153C93"/>
    <w:rsid w:val="00154572"/>
    <w:rsid w:val="001545F2"/>
    <w:rsid w:val="00157B35"/>
    <w:rsid w:val="00160E68"/>
    <w:rsid w:val="0016255A"/>
    <w:rsid w:val="00163651"/>
    <w:rsid w:val="00163739"/>
    <w:rsid w:val="001667C2"/>
    <w:rsid w:val="00166D92"/>
    <w:rsid w:val="00166FBC"/>
    <w:rsid w:val="00167BA4"/>
    <w:rsid w:val="00167CF6"/>
    <w:rsid w:val="0017072E"/>
    <w:rsid w:val="001707BC"/>
    <w:rsid w:val="00171369"/>
    <w:rsid w:val="00171D90"/>
    <w:rsid w:val="0017389B"/>
    <w:rsid w:val="0017515A"/>
    <w:rsid w:val="0017522D"/>
    <w:rsid w:val="00175298"/>
    <w:rsid w:val="00176185"/>
    <w:rsid w:val="00176B02"/>
    <w:rsid w:val="00176CCF"/>
    <w:rsid w:val="00176E11"/>
    <w:rsid w:val="00176F1B"/>
    <w:rsid w:val="00177C6A"/>
    <w:rsid w:val="00181BD2"/>
    <w:rsid w:val="00182393"/>
    <w:rsid w:val="001843C4"/>
    <w:rsid w:val="00185744"/>
    <w:rsid w:val="00187D39"/>
    <w:rsid w:val="001910D4"/>
    <w:rsid w:val="001916F7"/>
    <w:rsid w:val="00191B13"/>
    <w:rsid w:val="00193EA1"/>
    <w:rsid w:val="00195203"/>
    <w:rsid w:val="00196857"/>
    <w:rsid w:val="001A2126"/>
    <w:rsid w:val="001A2630"/>
    <w:rsid w:val="001A395B"/>
    <w:rsid w:val="001A472A"/>
    <w:rsid w:val="001A4973"/>
    <w:rsid w:val="001A5D22"/>
    <w:rsid w:val="001A6144"/>
    <w:rsid w:val="001A6EEC"/>
    <w:rsid w:val="001A7C6F"/>
    <w:rsid w:val="001B3E57"/>
    <w:rsid w:val="001B4802"/>
    <w:rsid w:val="001B4DF9"/>
    <w:rsid w:val="001B6FDF"/>
    <w:rsid w:val="001C5750"/>
    <w:rsid w:val="001C6796"/>
    <w:rsid w:val="001D0F49"/>
    <w:rsid w:val="001D17E4"/>
    <w:rsid w:val="001D30D3"/>
    <w:rsid w:val="001D5236"/>
    <w:rsid w:val="001D6ABF"/>
    <w:rsid w:val="001D6D3D"/>
    <w:rsid w:val="001D730C"/>
    <w:rsid w:val="001E0B66"/>
    <w:rsid w:val="001E2964"/>
    <w:rsid w:val="001E3426"/>
    <w:rsid w:val="001E4121"/>
    <w:rsid w:val="001F0692"/>
    <w:rsid w:val="001F1083"/>
    <w:rsid w:val="001F15E3"/>
    <w:rsid w:val="001F38A9"/>
    <w:rsid w:val="001F38FF"/>
    <w:rsid w:val="001F4CBE"/>
    <w:rsid w:val="001F5EE3"/>
    <w:rsid w:val="001F742A"/>
    <w:rsid w:val="00200BFE"/>
    <w:rsid w:val="00201885"/>
    <w:rsid w:val="002031B8"/>
    <w:rsid w:val="00203739"/>
    <w:rsid w:val="00204AE5"/>
    <w:rsid w:val="00204B2E"/>
    <w:rsid w:val="00204D62"/>
    <w:rsid w:val="002051C1"/>
    <w:rsid w:val="0020559A"/>
    <w:rsid w:val="00207769"/>
    <w:rsid w:val="00207A0A"/>
    <w:rsid w:val="0021021F"/>
    <w:rsid w:val="00211501"/>
    <w:rsid w:val="00212C69"/>
    <w:rsid w:val="002138A5"/>
    <w:rsid w:val="002141D4"/>
    <w:rsid w:val="00214324"/>
    <w:rsid w:val="00214373"/>
    <w:rsid w:val="00214491"/>
    <w:rsid w:val="002145AB"/>
    <w:rsid w:val="00214709"/>
    <w:rsid w:val="0021525D"/>
    <w:rsid w:val="00215331"/>
    <w:rsid w:val="00216D01"/>
    <w:rsid w:val="0021732D"/>
    <w:rsid w:val="00217378"/>
    <w:rsid w:val="00220BAB"/>
    <w:rsid w:val="0022160E"/>
    <w:rsid w:val="00221BD4"/>
    <w:rsid w:val="00222F70"/>
    <w:rsid w:val="002232C5"/>
    <w:rsid w:val="00225C15"/>
    <w:rsid w:val="002260BA"/>
    <w:rsid w:val="002263FC"/>
    <w:rsid w:val="002275E6"/>
    <w:rsid w:val="00227677"/>
    <w:rsid w:val="00227A74"/>
    <w:rsid w:val="002302CF"/>
    <w:rsid w:val="002310E0"/>
    <w:rsid w:val="00231427"/>
    <w:rsid w:val="002328D1"/>
    <w:rsid w:val="00233207"/>
    <w:rsid w:val="002335DD"/>
    <w:rsid w:val="0023396B"/>
    <w:rsid w:val="00234064"/>
    <w:rsid w:val="002340CC"/>
    <w:rsid w:val="002370CD"/>
    <w:rsid w:val="002372B4"/>
    <w:rsid w:val="002400FF"/>
    <w:rsid w:val="00242312"/>
    <w:rsid w:val="002428E1"/>
    <w:rsid w:val="00242983"/>
    <w:rsid w:val="00243208"/>
    <w:rsid w:val="002519D0"/>
    <w:rsid w:val="00252E47"/>
    <w:rsid w:val="00253626"/>
    <w:rsid w:val="0025449D"/>
    <w:rsid w:val="00254700"/>
    <w:rsid w:val="00256374"/>
    <w:rsid w:val="00257DD5"/>
    <w:rsid w:val="00260242"/>
    <w:rsid w:val="00261B8B"/>
    <w:rsid w:val="0026214E"/>
    <w:rsid w:val="00262A24"/>
    <w:rsid w:val="00262CAF"/>
    <w:rsid w:val="002645B6"/>
    <w:rsid w:val="002651CD"/>
    <w:rsid w:val="00265718"/>
    <w:rsid w:val="00265BD6"/>
    <w:rsid w:val="0027075B"/>
    <w:rsid w:val="00271B84"/>
    <w:rsid w:val="00271EF1"/>
    <w:rsid w:val="00272869"/>
    <w:rsid w:val="00272DC6"/>
    <w:rsid w:val="00273556"/>
    <w:rsid w:val="00274675"/>
    <w:rsid w:val="00275763"/>
    <w:rsid w:val="00281786"/>
    <w:rsid w:val="00281D70"/>
    <w:rsid w:val="0028366C"/>
    <w:rsid w:val="002849CC"/>
    <w:rsid w:val="002860A5"/>
    <w:rsid w:val="002876A1"/>
    <w:rsid w:val="00290963"/>
    <w:rsid w:val="00292F5C"/>
    <w:rsid w:val="00293637"/>
    <w:rsid w:val="0029376F"/>
    <w:rsid w:val="00294519"/>
    <w:rsid w:val="0029542D"/>
    <w:rsid w:val="00296371"/>
    <w:rsid w:val="00296EA9"/>
    <w:rsid w:val="002A0639"/>
    <w:rsid w:val="002A1166"/>
    <w:rsid w:val="002A3A84"/>
    <w:rsid w:val="002A3C92"/>
    <w:rsid w:val="002A4108"/>
    <w:rsid w:val="002A4EC9"/>
    <w:rsid w:val="002A536A"/>
    <w:rsid w:val="002B02EA"/>
    <w:rsid w:val="002B3049"/>
    <w:rsid w:val="002B30F3"/>
    <w:rsid w:val="002B361C"/>
    <w:rsid w:val="002B52AF"/>
    <w:rsid w:val="002B7702"/>
    <w:rsid w:val="002C288B"/>
    <w:rsid w:val="002C3C4A"/>
    <w:rsid w:val="002C7DD8"/>
    <w:rsid w:val="002D0EE8"/>
    <w:rsid w:val="002D1A61"/>
    <w:rsid w:val="002D1FFD"/>
    <w:rsid w:val="002D4959"/>
    <w:rsid w:val="002D574D"/>
    <w:rsid w:val="002D6A5B"/>
    <w:rsid w:val="002D6A81"/>
    <w:rsid w:val="002D721C"/>
    <w:rsid w:val="002E3055"/>
    <w:rsid w:val="002E3709"/>
    <w:rsid w:val="002E4866"/>
    <w:rsid w:val="002E4A51"/>
    <w:rsid w:val="002E5184"/>
    <w:rsid w:val="002E70D1"/>
    <w:rsid w:val="002E765B"/>
    <w:rsid w:val="002F07EA"/>
    <w:rsid w:val="002F1FA9"/>
    <w:rsid w:val="002F3C2D"/>
    <w:rsid w:val="002F3C62"/>
    <w:rsid w:val="002F4611"/>
    <w:rsid w:val="002F54F0"/>
    <w:rsid w:val="002F6A2D"/>
    <w:rsid w:val="00300076"/>
    <w:rsid w:val="00302FA5"/>
    <w:rsid w:val="00305F0D"/>
    <w:rsid w:val="00307B60"/>
    <w:rsid w:val="003105BD"/>
    <w:rsid w:val="00310A1D"/>
    <w:rsid w:val="00310ED7"/>
    <w:rsid w:val="00311E01"/>
    <w:rsid w:val="00311E13"/>
    <w:rsid w:val="003127E1"/>
    <w:rsid w:val="00312D22"/>
    <w:rsid w:val="00313AC9"/>
    <w:rsid w:val="00314E8B"/>
    <w:rsid w:val="003166F7"/>
    <w:rsid w:val="00317E6D"/>
    <w:rsid w:val="00320648"/>
    <w:rsid w:val="00320E42"/>
    <w:rsid w:val="00321633"/>
    <w:rsid w:val="00321B13"/>
    <w:rsid w:val="003222CF"/>
    <w:rsid w:val="00323216"/>
    <w:rsid w:val="003235F2"/>
    <w:rsid w:val="003254FE"/>
    <w:rsid w:val="003264F2"/>
    <w:rsid w:val="00330B0B"/>
    <w:rsid w:val="00330E69"/>
    <w:rsid w:val="003312A3"/>
    <w:rsid w:val="00333BB9"/>
    <w:rsid w:val="0033469F"/>
    <w:rsid w:val="00335018"/>
    <w:rsid w:val="00335104"/>
    <w:rsid w:val="003379AD"/>
    <w:rsid w:val="00340463"/>
    <w:rsid w:val="00340D39"/>
    <w:rsid w:val="00342693"/>
    <w:rsid w:val="00343001"/>
    <w:rsid w:val="003436F2"/>
    <w:rsid w:val="00343CC5"/>
    <w:rsid w:val="00344FA3"/>
    <w:rsid w:val="003452ED"/>
    <w:rsid w:val="003508EE"/>
    <w:rsid w:val="00350FA4"/>
    <w:rsid w:val="003518E4"/>
    <w:rsid w:val="00351E8E"/>
    <w:rsid w:val="00352F12"/>
    <w:rsid w:val="003542B7"/>
    <w:rsid w:val="003561BA"/>
    <w:rsid w:val="00357E93"/>
    <w:rsid w:val="003603E8"/>
    <w:rsid w:val="00360DAE"/>
    <w:rsid w:val="003613EB"/>
    <w:rsid w:val="00361C7E"/>
    <w:rsid w:val="00362746"/>
    <w:rsid w:val="00362B12"/>
    <w:rsid w:val="00364629"/>
    <w:rsid w:val="00364992"/>
    <w:rsid w:val="00364D8E"/>
    <w:rsid w:val="00364DFC"/>
    <w:rsid w:val="00365244"/>
    <w:rsid w:val="00366458"/>
    <w:rsid w:val="00366D39"/>
    <w:rsid w:val="0037046F"/>
    <w:rsid w:val="00370E01"/>
    <w:rsid w:val="00371DF5"/>
    <w:rsid w:val="00372D60"/>
    <w:rsid w:val="003740E9"/>
    <w:rsid w:val="00375656"/>
    <w:rsid w:val="00380BFE"/>
    <w:rsid w:val="00381556"/>
    <w:rsid w:val="00381B9D"/>
    <w:rsid w:val="003831D5"/>
    <w:rsid w:val="003833F9"/>
    <w:rsid w:val="00383DEA"/>
    <w:rsid w:val="003840F3"/>
    <w:rsid w:val="003846DC"/>
    <w:rsid w:val="0038749B"/>
    <w:rsid w:val="00391EA7"/>
    <w:rsid w:val="003927BC"/>
    <w:rsid w:val="003927F3"/>
    <w:rsid w:val="0039377D"/>
    <w:rsid w:val="00393BAA"/>
    <w:rsid w:val="00395620"/>
    <w:rsid w:val="00395C76"/>
    <w:rsid w:val="00397027"/>
    <w:rsid w:val="0039781C"/>
    <w:rsid w:val="003A0A97"/>
    <w:rsid w:val="003A1558"/>
    <w:rsid w:val="003A1D53"/>
    <w:rsid w:val="003A2B25"/>
    <w:rsid w:val="003A4575"/>
    <w:rsid w:val="003A4B1B"/>
    <w:rsid w:val="003B0BF0"/>
    <w:rsid w:val="003B0E36"/>
    <w:rsid w:val="003B5B95"/>
    <w:rsid w:val="003B7F42"/>
    <w:rsid w:val="003C026B"/>
    <w:rsid w:val="003C129E"/>
    <w:rsid w:val="003C22FD"/>
    <w:rsid w:val="003C2491"/>
    <w:rsid w:val="003C24D1"/>
    <w:rsid w:val="003C4243"/>
    <w:rsid w:val="003C43F2"/>
    <w:rsid w:val="003C672E"/>
    <w:rsid w:val="003D2774"/>
    <w:rsid w:val="003D378D"/>
    <w:rsid w:val="003D4931"/>
    <w:rsid w:val="003D4B8F"/>
    <w:rsid w:val="003D640C"/>
    <w:rsid w:val="003D6902"/>
    <w:rsid w:val="003D70C4"/>
    <w:rsid w:val="003D74ED"/>
    <w:rsid w:val="003D7865"/>
    <w:rsid w:val="003E18DB"/>
    <w:rsid w:val="003E1D65"/>
    <w:rsid w:val="003E1F6A"/>
    <w:rsid w:val="003E34D0"/>
    <w:rsid w:val="003E35AA"/>
    <w:rsid w:val="003E4B33"/>
    <w:rsid w:val="003E590D"/>
    <w:rsid w:val="003E61FA"/>
    <w:rsid w:val="003E6412"/>
    <w:rsid w:val="003E7EA9"/>
    <w:rsid w:val="003F0758"/>
    <w:rsid w:val="003F0E0A"/>
    <w:rsid w:val="003F117C"/>
    <w:rsid w:val="003F1B7F"/>
    <w:rsid w:val="003F448B"/>
    <w:rsid w:val="003F4833"/>
    <w:rsid w:val="003F6B06"/>
    <w:rsid w:val="004012A0"/>
    <w:rsid w:val="004020F7"/>
    <w:rsid w:val="00402111"/>
    <w:rsid w:val="00403851"/>
    <w:rsid w:val="00407AF4"/>
    <w:rsid w:val="00410405"/>
    <w:rsid w:val="00410EFB"/>
    <w:rsid w:val="00410F35"/>
    <w:rsid w:val="00410FD1"/>
    <w:rsid w:val="00411C7C"/>
    <w:rsid w:val="00414AEB"/>
    <w:rsid w:val="00415AFC"/>
    <w:rsid w:val="00415C8B"/>
    <w:rsid w:val="004160AE"/>
    <w:rsid w:val="00416331"/>
    <w:rsid w:val="00416A23"/>
    <w:rsid w:val="00416FDE"/>
    <w:rsid w:val="00420132"/>
    <w:rsid w:val="00420A3E"/>
    <w:rsid w:val="00423FB8"/>
    <w:rsid w:val="004243E5"/>
    <w:rsid w:val="00425A81"/>
    <w:rsid w:val="00425AF1"/>
    <w:rsid w:val="00426311"/>
    <w:rsid w:val="00426F5A"/>
    <w:rsid w:val="0043122F"/>
    <w:rsid w:val="00431AAC"/>
    <w:rsid w:val="00432CCD"/>
    <w:rsid w:val="00433727"/>
    <w:rsid w:val="00435BE4"/>
    <w:rsid w:val="00435CCA"/>
    <w:rsid w:val="00436951"/>
    <w:rsid w:val="004369C6"/>
    <w:rsid w:val="004374E5"/>
    <w:rsid w:val="0043779F"/>
    <w:rsid w:val="00440803"/>
    <w:rsid w:val="00440D52"/>
    <w:rsid w:val="00440EE3"/>
    <w:rsid w:val="00442719"/>
    <w:rsid w:val="00442A95"/>
    <w:rsid w:val="00442B2C"/>
    <w:rsid w:val="004430C4"/>
    <w:rsid w:val="0044332F"/>
    <w:rsid w:val="00445216"/>
    <w:rsid w:val="00445505"/>
    <w:rsid w:val="00445B88"/>
    <w:rsid w:val="00445E49"/>
    <w:rsid w:val="00446E41"/>
    <w:rsid w:val="004475DA"/>
    <w:rsid w:val="00450D27"/>
    <w:rsid w:val="00455A14"/>
    <w:rsid w:val="00457536"/>
    <w:rsid w:val="00457BB1"/>
    <w:rsid w:val="00460E98"/>
    <w:rsid w:val="00461BDC"/>
    <w:rsid w:val="00462990"/>
    <w:rsid w:val="00463209"/>
    <w:rsid w:val="00463E88"/>
    <w:rsid w:val="004643E6"/>
    <w:rsid w:val="004646E3"/>
    <w:rsid w:val="004655C1"/>
    <w:rsid w:val="004674D2"/>
    <w:rsid w:val="00470D32"/>
    <w:rsid w:val="00471276"/>
    <w:rsid w:val="004714A8"/>
    <w:rsid w:val="00472C67"/>
    <w:rsid w:val="00473807"/>
    <w:rsid w:val="0047406B"/>
    <w:rsid w:val="00474A6C"/>
    <w:rsid w:val="00476545"/>
    <w:rsid w:val="004777E9"/>
    <w:rsid w:val="00480BDB"/>
    <w:rsid w:val="004816D4"/>
    <w:rsid w:val="0048202E"/>
    <w:rsid w:val="0048212E"/>
    <w:rsid w:val="00482DAC"/>
    <w:rsid w:val="00483361"/>
    <w:rsid w:val="0048449A"/>
    <w:rsid w:val="00484583"/>
    <w:rsid w:val="00487C18"/>
    <w:rsid w:val="004902D4"/>
    <w:rsid w:val="004923AB"/>
    <w:rsid w:val="00492667"/>
    <w:rsid w:val="0049453F"/>
    <w:rsid w:val="0049649F"/>
    <w:rsid w:val="004A2332"/>
    <w:rsid w:val="004A2701"/>
    <w:rsid w:val="004A3258"/>
    <w:rsid w:val="004A4DE2"/>
    <w:rsid w:val="004A4F59"/>
    <w:rsid w:val="004A5B84"/>
    <w:rsid w:val="004A6926"/>
    <w:rsid w:val="004A742B"/>
    <w:rsid w:val="004A7A57"/>
    <w:rsid w:val="004B04A5"/>
    <w:rsid w:val="004B49F8"/>
    <w:rsid w:val="004B5A66"/>
    <w:rsid w:val="004B71BA"/>
    <w:rsid w:val="004C1218"/>
    <w:rsid w:val="004C151C"/>
    <w:rsid w:val="004C1544"/>
    <w:rsid w:val="004C16CD"/>
    <w:rsid w:val="004C17D1"/>
    <w:rsid w:val="004C1930"/>
    <w:rsid w:val="004C21F5"/>
    <w:rsid w:val="004C2295"/>
    <w:rsid w:val="004C4522"/>
    <w:rsid w:val="004C45FE"/>
    <w:rsid w:val="004C5626"/>
    <w:rsid w:val="004C70CE"/>
    <w:rsid w:val="004D3DCE"/>
    <w:rsid w:val="004D575F"/>
    <w:rsid w:val="004D5F45"/>
    <w:rsid w:val="004D695E"/>
    <w:rsid w:val="004D6C17"/>
    <w:rsid w:val="004E1CA6"/>
    <w:rsid w:val="004E35CF"/>
    <w:rsid w:val="004E498A"/>
    <w:rsid w:val="004E6E7B"/>
    <w:rsid w:val="004E7617"/>
    <w:rsid w:val="004F13AF"/>
    <w:rsid w:val="004F1CF4"/>
    <w:rsid w:val="004F270C"/>
    <w:rsid w:val="004F2E17"/>
    <w:rsid w:val="004F3A42"/>
    <w:rsid w:val="004F53C8"/>
    <w:rsid w:val="004F7F1B"/>
    <w:rsid w:val="005012FB"/>
    <w:rsid w:val="00501847"/>
    <w:rsid w:val="00501E09"/>
    <w:rsid w:val="0050244B"/>
    <w:rsid w:val="0050297C"/>
    <w:rsid w:val="00502B67"/>
    <w:rsid w:val="0050528E"/>
    <w:rsid w:val="00511AB8"/>
    <w:rsid w:val="005121FF"/>
    <w:rsid w:val="00515FAB"/>
    <w:rsid w:val="005164DE"/>
    <w:rsid w:val="005223E8"/>
    <w:rsid w:val="0052270E"/>
    <w:rsid w:val="00523B57"/>
    <w:rsid w:val="00523D54"/>
    <w:rsid w:val="0052424F"/>
    <w:rsid w:val="0052545C"/>
    <w:rsid w:val="00526738"/>
    <w:rsid w:val="005272DD"/>
    <w:rsid w:val="0052783D"/>
    <w:rsid w:val="00530346"/>
    <w:rsid w:val="005315FB"/>
    <w:rsid w:val="00531C54"/>
    <w:rsid w:val="005325DB"/>
    <w:rsid w:val="00532E10"/>
    <w:rsid w:val="0053441C"/>
    <w:rsid w:val="005355A0"/>
    <w:rsid w:val="005357EB"/>
    <w:rsid w:val="00536A7E"/>
    <w:rsid w:val="00537B8B"/>
    <w:rsid w:val="0054125E"/>
    <w:rsid w:val="005419D6"/>
    <w:rsid w:val="00541A2C"/>
    <w:rsid w:val="00541A81"/>
    <w:rsid w:val="00542825"/>
    <w:rsid w:val="005436B3"/>
    <w:rsid w:val="005443E3"/>
    <w:rsid w:val="005452E3"/>
    <w:rsid w:val="0054536F"/>
    <w:rsid w:val="00546258"/>
    <w:rsid w:val="00550368"/>
    <w:rsid w:val="00550978"/>
    <w:rsid w:val="00550BB2"/>
    <w:rsid w:val="00552C50"/>
    <w:rsid w:val="00553966"/>
    <w:rsid w:val="00554E4A"/>
    <w:rsid w:val="00555AF6"/>
    <w:rsid w:val="00555B4A"/>
    <w:rsid w:val="00556B1C"/>
    <w:rsid w:val="00557A8C"/>
    <w:rsid w:val="00560C5B"/>
    <w:rsid w:val="00562609"/>
    <w:rsid w:val="0056301E"/>
    <w:rsid w:val="00565BDE"/>
    <w:rsid w:val="00565EBD"/>
    <w:rsid w:val="0056672F"/>
    <w:rsid w:val="0056701D"/>
    <w:rsid w:val="00567792"/>
    <w:rsid w:val="0057016E"/>
    <w:rsid w:val="005705A0"/>
    <w:rsid w:val="005705E2"/>
    <w:rsid w:val="005715B3"/>
    <w:rsid w:val="00574EF1"/>
    <w:rsid w:val="005759AF"/>
    <w:rsid w:val="0057649E"/>
    <w:rsid w:val="00577CA8"/>
    <w:rsid w:val="00581F5B"/>
    <w:rsid w:val="005843F9"/>
    <w:rsid w:val="00584552"/>
    <w:rsid w:val="0058593D"/>
    <w:rsid w:val="0058653C"/>
    <w:rsid w:val="00586E72"/>
    <w:rsid w:val="005871D8"/>
    <w:rsid w:val="005879D9"/>
    <w:rsid w:val="00587B69"/>
    <w:rsid w:val="00591797"/>
    <w:rsid w:val="00591AA4"/>
    <w:rsid w:val="00591BE8"/>
    <w:rsid w:val="0059673C"/>
    <w:rsid w:val="00596DEC"/>
    <w:rsid w:val="00596F38"/>
    <w:rsid w:val="005A045E"/>
    <w:rsid w:val="005A1347"/>
    <w:rsid w:val="005A1F3D"/>
    <w:rsid w:val="005A24EF"/>
    <w:rsid w:val="005A2CA5"/>
    <w:rsid w:val="005A3E16"/>
    <w:rsid w:val="005A5BA4"/>
    <w:rsid w:val="005A6435"/>
    <w:rsid w:val="005A7045"/>
    <w:rsid w:val="005A773E"/>
    <w:rsid w:val="005B0201"/>
    <w:rsid w:val="005B1685"/>
    <w:rsid w:val="005B19E1"/>
    <w:rsid w:val="005B3963"/>
    <w:rsid w:val="005B4063"/>
    <w:rsid w:val="005B522F"/>
    <w:rsid w:val="005B63C8"/>
    <w:rsid w:val="005C208D"/>
    <w:rsid w:val="005C25A2"/>
    <w:rsid w:val="005C2A04"/>
    <w:rsid w:val="005C3296"/>
    <w:rsid w:val="005C3B7B"/>
    <w:rsid w:val="005C3CF6"/>
    <w:rsid w:val="005C5281"/>
    <w:rsid w:val="005C575C"/>
    <w:rsid w:val="005C668A"/>
    <w:rsid w:val="005C69D1"/>
    <w:rsid w:val="005C7B20"/>
    <w:rsid w:val="005C7E6E"/>
    <w:rsid w:val="005D1F6A"/>
    <w:rsid w:val="005D2154"/>
    <w:rsid w:val="005D3344"/>
    <w:rsid w:val="005D3BEC"/>
    <w:rsid w:val="005D4C53"/>
    <w:rsid w:val="005D53C1"/>
    <w:rsid w:val="005D58AA"/>
    <w:rsid w:val="005D7464"/>
    <w:rsid w:val="005D7DE3"/>
    <w:rsid w:val="005E14A3"/>
    <w:rsid w:val="005E2AB5"/>
    <w:rsid w:val="005E351B"/>
    <w:rsid w:val="005E4C6F"/>
    <w:rsid w:val="005E4DC4"/>
    <w:rsid w:val="005E5CD3"/>
    <w:rsid w:val="005E686A"/>
    <w:rsid w:val="005E74C5"/>
    <w:rsid w:val="005F2148"/>
    <w:rsid w:val="005F63E1"/>
    <w:rsid w:val="005F680C"/>
    <w:rsid w:val="005F6EFB"/>
    <w:rsid w:val="00600115"/>
    <w:rsid w:val="00600EBD"/>
    <w:rsid w:val="006010ED"/>
    <w:rsid w:val="006023BF"/>
    <w:rsid w:val="00602940"/>
    <w:rsid w:val="006047D6"/>
    <w:rsid w:val="0060483F"/>
    <w:rsid w:val="00605631"/>
    <w:rsid w:val="0060614D"/>
    <w:rsid w:val="006137ED"/>
    <w:rsid w:val="00613CB4"/>
    <w:rsid w:val="0061510A"/>
    <w:rsid w:val="00615192"/>
    <w:rsid w:val="00616E3A"/>
    <w:rsid w:val="00617209"/>
    <w:rsid w:val="00620245"/>
    <w:rsid w:val="0062030F"/>
    <w:rsid w:val="0062209E"/>
    <w:rsid w:val="006222E9"/>
    <w:rsid w:val="006224D9"/>
    <w:rsid w:val="00624446"/>
    <w:rsid w:val="006246AA"/>
    <w:rsid w:val="006248E9"/>
    <w:rsid w:val="00624DB5"/>
    <w:rsid w:val="0062533B"/>
    <w:rsid w:val="00625614"/>
    <w:rsid w:val="00625811"/>
    <w:rsid w:val="00626286"/>
    <w:rsid w:val="00626AD0"/>
    <w:rsid w:val="00630520"/>
    <w:rsid w:val="00630D43"/>
    <w:rsid w:val="00631140"/>
    <w:rsid w:val="00631671"/>
    <w:rsid w:val="006317A2"/>
    <w:rsid w:val="006326B1"/>
    <w:rsid w:val="00632B75"/>
    <w:rsid w:val="00632BE4"/>
    <w:rsid w:val="00632FF2"/>
    <w:rsid w:val="00633972"/>
    <w:rsid w:val="00635390"/>
    <w:rsid w:val="006356A5"/>
    <w:rsid w:val="00635929"/>
    <w:rsid w:val="006441FD"/>
    <w:rsid w:val="006450D8"/>
    <w:rsid w:val="00645936"/>
    <w:rsid w:val="00645DA4"/>
    <w:rsid w:val="00646ED0"/>
    <w:rsid w:val="006515D6"/>
    <w:rsid w:val="00652AB4"/>
    <w:rsid w:val="00656009"/>
    <w:rsid w:val="0065636C"/>
    <w:rsid w:val="00656AA7"/>
    <w:rsid w:val="00657E54"/>
    <w:rsid w:val="00663482"/>
    <w:rsid w:val="006648B7"/>
    <w:rsid w:val="006649DC"/>
    <w:rsid w:val="00664B81"/>
    <w:rsid w:val="00665A10"/>
    <w:rsid w:val="00670472"/>
    <w:rsid w:val="00670886"/>
    <w:rsid w:val="00673F97"/>
    <w:rsid w:val="00674149"/>
    <w:rsid w:val="006749F8"/>
    <w:rsid w:val="006757BA"/>
    <w:rsid w:val="00675812"/>
    <w:rsid w:val="0067682B"/>
    <w:rsid w:val="00677677"/>
    <w:rsid w:val="00677C89"/>
    <w:rsid w:val="00677D2D"/>
    <w:rsid w:val="00681D06"/>
    <w:rsid w:val="006821EE"/>
    <w:rsid w:val="00683525"/>
    <w:rsid w:val="006835FC"/>
    <w:rsid w:val="006841F0"/>
    <w:rsid w:val="00684E0A"/>
    <w:rsid w:val="00686CD7"/>
    <w:rsid w:val="00687850"/>
    <w:rsid w:val="006941A8"/>
    <w:rsid w:val="00694490"/>
    <w:rsid w:val="00694648"/>
    <w:rsid w:val="00694991"/>
    <w:rsid w:val="006A0CAA"/>
    <w:rsid w:val="006A200A"/>
    <w:rsid w:val="006A35BE"/>
    <w:rsid w:val="006A5AE6"/>
    <w:rsid w:val="006A5C3A"/>
    <w:rsid w:val="006A61DA"/>
    <w:rsid w:val="006A62E7"/>
    <w:rsid w:val="006A6350"/>
    <w:rsid w:val="006A646F"/>
    <w:rsid w:val="006A7043"/>
    <w:rsid w:val="006B0374"/>
    <w:rsid w:val="006B0D10"/>
    <w:rsid w:val="006B130E"/>
    <w:rsid w:val="006B1A60"/>
    <w:rsid w:val="006B5623"/>
    <w:rsid w:val="006B5E38"/>
    <w:rsid w:val="006B6C70"/>
    <w:rsid w:val="006B7BEF"/>
    <w:rsid w:val="006C06A3"/>
    <w:rsid w:val="006C29ED"/>
    <w:rsid w:val="006C3AEB"/>
    <w:rsid w:val="006C44B6"/>
    <w:rsid w:val="006C53CA"/>
    <w:rsid w:val="006C6687"/>
    <w:rsid w:val="006C72A7"/>
    <w:rsid w:val="006D0FEE"/>
    <w:rsid w:val="006D1058"/>
    <w:rsid w:val="006D11E2"/>
    <w:rsid w:val="006D2B2C"/>
    <w:rsid w:val="006D3C74"/>
    <w:rsid w:val="006D46D8"/>
    <w:rsid w:val="006D580E"/>
    <w:rsid w:val="006D795D"/>
    <w:rsid w:val="006E014D"/>
    <w:rsid w:val="006E176E"/>
    <w:rsid w:val="006E1D0D"/>
    <w:rsid w:val="006E214D"/>
    <w:rsid w:val="006E2F9C"/>
    <w:rsid w:val="006E39B6"/>
    <w:rsid w:val="006E45E4"/>
    <w:rsid w:val="006E6A17"/>
    <w:rsid w:val="006E77A2"/>
    <w:rsid w:val="006E77A3"/>
    <w:rsid w:val="006E77A6"/>
    <w:rsid w:val="006F270E"/>
    <w:rsid w:val="006F29FD"/>
    <w:rsid w:val="006F5C08"/>
    <w:rsid w:val="006F60C5"/>
    <w:rsid w:val="006F7019"/>
    <w:rsid w:val="007003A0"/>
    <w:rsid w:val="0070506B"/>
    <w:rsid w:val="0071154E"/>
    <w:rsid w:val="00712073"/>
    <w:rsid w:val="007129D5"/>
    <w:rsid w:val="00712A61"/>
    <w:rsid w:val="00712AFC"/>
    <w:rsid w:val="00714638"/>
    <w:rsid w:val="00715C30"/>
    <w:rsid w:val="00716974"/>
    <w:rsid w:val="007203DF"/>
    <w:rsid w:val="0072043B"/>
    <w:rsid w:val="0072065B"/>
    <w:rsid w:val="0072068C"/>
    <w:rsid w:val="007231FE"/>
    <w:rsid w:val="00724824"/>
    <w:rsid w:val="00724FB9"/>
    <w:rsid w:val="00725E59"/>
    <w:rsid w:val="0072655B"/>
    <w:rsid w:val="00726973"/>
    <w:rsid w:val="007269AC"/>
    <w:rsid w:val="0072790F"/>
    <w:rsid w:val="007305D0"/>
    <w:rsid w:val="00737FDE"/>
    <w:rsid w:val="0074228D"/>
    <w:rsid w:val="007422C8"/>
    <w:rsid w:val="0074398D"/>
    <w:rsid w:val="0074540C"/>
    <w:rsid w:val="00747BF9"/>
    <w:rsid w:val="00747F85"/>
    <w:rsid w:val="00750436"/>
    <w:rsid w:val="00750E2C"/>
    <w:rsid w:val="00751BCA"/>
    <w:rsid w:val="00751E06"/>
    <w:rsid w:val="00752DD2"/>
    <w:rsid w:val="00756FC3"/>
    <w:rsid w:val="0075795F"/>
    <w:rsid w:val="00757C2F"/>
    <w:rsid w:val="007614E3"/>
    <w:rsid w:val="00762562"/>
    <w:rsid w:val="00762C37"/>
    <w:rsid w:val="00762F7F"/>
    <w:rsid w:val="00764493"/>
    <w:rsid w:val="007646EC"/>
    <w:rsid w:val="00764D1B"/>
    <w:rsid w:val="00770B6C"/>
    <w:rsid w:val="00770C26"/>
    <w:rsid w:val="007715C5"/>
    <w:rsid w:val="007729DC"/>
    <w:rsid w:val="00774BB1"/>
    <w:rsid w:val="0077670F"/>
    <w:rsid w:val="007770A2"/>
    <w:rsid w:val="007774E9"/>
    <w:rsid w:val="007812B2"/>
    <w:rsid w:val="007815D4"/>
    <w:rsid w:val="007826B0"/>
    <w:rsid w:val="0078382F"/>
    <w:rsid w:val="00785DE7"/>
    <w:rsid w:val="00785EB1"/>
    <w:rsid w:val="007869E4"/>
    <w:rsid w:val="00786E3A"/>
    <w:rsid w:val="00791A7E"/>
    <w:rsid w:val="00792E48"/>
    <w:rsid w:val="0079389F"/>
    <w:rsid w:val="007961BE"/>
    <w:rsid w:val="007961D5"/>
    <w:rsid w:val="00796385"/>
    <w:rsid w:val="00796792"/>
    <w:rsid w:val="0079729F"/>
    <w:rsid w:val="007976CC"/>
    <w:rsid w:val="007A05A9"/>
    <w:rsid w:val="007A062C"/>
    <w:rsid w:val="007A1E88"/>
    <w:rsid w:val="007A3CDF"/>
    <w:rsid w:val="007A4505"/>
    <w:rsid w:val="007A4845"/>
    <w:rsid w:val="007A7EC2"/>
    <w:rsid w:val="007B1A07"/>
    <w:rsid w:val="007B2DE1"/>
    <w:rsid w:val="007B351C"/>
    <w:rsid w:val="007B5D9E"/>
    <w:rsid w:val="007B7458"/>
    <w:rsid w:val="007B7A88"/>
    <w:rsid w:val="007C143D"/>
    <w:rsid w:val="007C2562"/>
    <w:rsid w:val="007C3A53"/>
    <w:rsid w:val="007C413C"/>
    <w:rsid w:val="007C4A1A"/>
    <w:rsid w:val="007C551B"/>
    <w:rsid w:val="007C5D73"/>
    <w:rsid w:val="007C6F0C"/>
    <w:rsid w:val="007C706C"/>
    <w:rsid w:val="007D021D"/>
    <w:rsid w:val="007D0ED5"/>
    <w:rsid w:val="007D2942"/>
    <w:rsid w:val="007D3C2A"/>
    <w:rsid w:val="007D51C9"/>
    <w:rsid w:val="007D5536"/>
    <w:rsid w:val="007D690E"/>
    <w:rsid w:val="007E1E4E"/>
    <w:rsid w:val="007E1F68"/>
    <w:rsid w:val="007E3112"/>
    <w:rsid w:val="007E36A6"/>
    <w:rsid w:val="007E4873"/>
    <w:rsid w:val="007E494E"/>
    <w:rsid w:val="007E507E"/>
    <w:rsid w:val="007E577A"/>
    <w:rsid w:val="007E5954"/>
    <w:rsid w:val="007E6687"/>
    <w:rsid w:val="007F014A"/>
    <w:rsid w:val="007F08A6"/>
    <w:rsid w:val="007F16C1"/>
    <w:rsid w:val="007F1930"/>
    <w:rsid w:val="007F1E2F"/>
    <w:rsid w:val="007F2360"/>
    <w:rsid w:val="007F2D0B"/>
    <w:rsid w:val="007F31A2"/>
    <w:rsid w:val="007F4727"/>
    <w:rsid w:val="007F4953"/>
    <w:rsid w:val="0080137B"/>
    <w:rsid w:val="00801A30"/>
    <w:rsid w:val="00802B2B"/>
    <w:rsid w:val="00803679"/>
    <w:rsid w:val="008051DA"/>
    <w:rsid w:val="0080713B"/>
    <w:rsid w:val="008102D0"/>
    <w:rsid w:val="00811417"/>
    <w:rsid w:val="008116F1"/>
    <w:rsid w:val="00811F58"/>
    <w:rsid w:val="0081419F"/>
    <w:rsid w:val="0081533C"/>
    <w:rsid w:val="00822564"/>
    <w:rsid w:val="0082316E"/>
    <w:rsid w:val="00830AB1"/>
    <w:rsid w:val="00831790"/>
    <w:rsid w:val="008333D0"/>
    <w:rsid w:val="0083347F"/>
    <w:rsid w:val="00833947"/>
    <w:rsid w:val="00833C76"/>
    <w:rsid w:val="00833E5C"/>
    <w:rsid w:val="00834079"/>
    <w:rsid w:val="00834545"/>
    <w:rsid w:val="00834945"/>
    <w:rsid w:val="00835435"/>
    <w:rsid w:val="008374EE"/>
    <w:rsid w:val="008401D6"/>
    <w:rsid w:val="00842454"/>
    <w:rsid w:val="008443C8"/>
    <w:rsid w:val="008447E9"/>
    <w:rsid w:val="008456BF"/>
    <w:rsid w:val="008501AD"/>
    <w:rsid w:val="00851C02"/>
    <w:rsid w:val="00852733"/>
    <w:rsid w:val="00853055"/>
    <w:rsid w:val="00853555"/>
    <w:rsid w:val="008549A0"/>
    <w:rsid w:val="00855AEE"/>
    <w:rsid w:val="00855B32"/>
    <w:rsid w:val="008563B1"/>
    <w:rsid w:val="00856720"/>
    <w:rsid w:val="00857F8E"/>
    <w:rsid w:val="00860F82"/>
    <w:rsid w:val="0086513F"/>
    <w:rsid w:val="008651E0"/>
    <w:rsid w:val="0086554F"/>
    <w:rsid w:val="00865AB6"/>
    <w:rsid w:val="00870073"/>
    <w:rsid w:val="0087051F"/>
    <w:rsid w:val="008725C0"/>
    <w:rsid w:val="0087269C"/>
    <w:rsid w:val="00872F1C"/>
    <w:rsid w:val="00874079"/>
    <w:rsid w:val="00875714"/>
    <w:rsid w:val="008769A5"/>
    <w:rsid w:val="00877826"/>
    <w:rsid w:val="00877E0C"/>
    <w:rsid w:val="00880ABA"/>
    <w:rsid w:val="0088241C"/>
    <w:rsid w:val="0088271C"/>
    <w:rsid w:val="0088375F"/>
    <w:rsid w:val="00883FBA"/>
    <w:rsid w:val="00884042"/>
    <w:rsid w:val="00884E5F"/>
    <w:rsid w:val="0088556C"/>
    <w:rsid w:val="00886284"/>
    <w:rsid w:val="00886593"/>
    <w:rsid w:val="00887549"/>
    <w:rsid w:val="00887BA1"/>
    <w:rsid w:val="00890CC0"/>
    <w:rsid w:val="00890DF8"/>
    <w:rsid w:val="008916D1"/>
    <w:rsid w:val="008921C6"/>
    <w:rsid w:val="0089319A"/>
    <w:rsid w:val="008936F7"/>
    <w:rsid w:val="0089500A"/>
    <w:rsid w:val="00895072"/>
    <w:rsid w:val="00895A22"/>
    <w:rsid w:val="008964F7"/>
    <w:rsid w:val="00896565"/>
    <w:rsid w:val="008975E6"/>
    <w:rsid w:val="008A0F87"/>
    <w:rsid w:val="008A1AAF"/>
    <w:rsid w:val="008A228D"/>
    <w:rsid w:val="008A3484"/>
    <w:rsid w:val="008A4629"/>
    <w:rsid w:val="008A4BC1"/>
    <w:rsid w:val="008A4F03"/>
    <w:rsid w:val="008A6345"/>
    <w:rsid w:val="008A6A0B"/>
    <w:rsid w:val="008B079F"/>
    <w:rsid w:val="008B0F4E"/>
    <w:rsid w:val="008B246F"/>
    <w:rsid w:val="008B2A3D"/>
    <w:rsid w:val="008B3202"/>
    <w:rsid w:val="008B3EA0"/>
    <w:rsid w:val="008B401E"/>
    <w:rsid w:val="008B745E"/>
    <w:rsid w:val="008B78F1"/>
    <w:rsid w:val="008B7F28"/>
    <w:rsid w:val="008C038F"/>
    <w:rsid w:val="008C460A"/>
    <w:rsid w:val="008C753E"/>
    <w:rsid w:val="008D10F6"/>
    <w:rsid w:val="008D19DC"/>
    <w:rsid w:val="008D1E69"/>
    <w:rsid w:val="008D2610"/>
    <w:rsid w:val="008D35AD"/>
    <w:rsid w:val="008D41B7"/>
    <w:rsid w:val="008D4464"/>
    <w:rsid w:val="008D5C31"/>
    <w:rsid w:val="008D7987"/>
    <w:rsid w:val="008E000E"/>
    <w:rsid w:val="008E0D2F"/>
    <w:rsid w:val="008E4250"/>
    <w:rsid w:val="008E682C"/>
    <w:rsid w:val="008F0F83"/>
    <w:rsid w:val="008F287C"/>
    <w:rsid w:val="008F4EF3"/>
    <w:rsid w:val="008F52D8"/>
    <w:rsid w:val="008F644E"/>
    <w:rsid w:val="008F7414"/>
    <w:rsid w:val="008F7AED"/>
    <w:rsid w:val="009002BF"/>
    <w:rsid w:val="009009E1"/>
    <w:rsid w:val="009012BA"/>
    <w:rsid w:val="00902618"/>
    <w:rsid w:val="0090337E"/>
    <w:rsid w:val="00904835"/>
    <w:rsid w:val="0090520B"/>
    <w:rsid w:val="0090717C"/>
    <w:rsid w:val="00907C1D"/>
    <w:rsid w:val="0091298E"/>
    <w:rsid w:val="00913326"/>
    <w:rsid w:val="00913626"/>
    <w:rsid w:val="00913694"/>
    <w:rsid w:val="00914314"/>
    <w:rsid w:val="00915BB2"/>
    <w:rsid w:val="00916709"/>
    <w:rsid w:val="0091683B"/>
    <w:rsid w:val="00916F00"/>
    <w:rsid w:val="009210DD"/>
    <w:rsid w:val="0092355C"/>
    <w:rsid w:val="009242D9"/>
    <w:rsid w:val="00924723"/>
    <w:rsid w:val="0092593E"/>
    <w:rsid w:val="00927288"/>
    <w:rsid w:val="00931B1B"/>
    <w:rsid w:val="00933D46"/>
    <w:rsid w:val="00933DDA"/>
    <w:rsid w:val="009341F6"/>
    <w:rsid w:val="00934A3F"/>
    <w:rsid w:val="00936136"/>
    <w:rsid w:val="00936A6E"/>
    <w:rsid w:val="009371D1"/>
    <w:rsid w:val="00937ED7"/>
    <w:rsid w:val="0094130C"/>
    <w:rsid w:val="009424F4"/>
    <w:rsid w:val="00942C73"/>
    <w:rsid w:val="0094317B"/>
    <w:rsid w:val="009439AD"/>
    <w:rsid w:val="00943AF2"/>
    <w:rsid w:val="00944B73"/>
    <w:rsid w:val="009451A2"/>
    <w:rsid w:val="0094578D"/>
    <w:rsid w:val="009473B3"/>
    <w:rsid w:val="00947E4D"/>
    <w:rsid w:val="00951C7C"/>
    <w:rsid w:val="00951ED7"/>
    <w:rsid w:val="0095203A"/>
    <w:rsid w:val="00954282"/>
    <w:rsid w:val="009552BE"/>
    <w:rsid w:val="009574D5"/>
    <w:rsid w:val="009576BC"/>
    <w:rsid w:val="009605CB"/>
    <w:rsid w:val="009617E5"/>
    <w:rsid w:val="00962AB5"/>
    <w:rsid w:val="00962C2D"/>
    <w:rsid w:val="00965EA5"/>
    <w:rsid w:val="00966145"/>
    <w:rsid w:val="00967CA2"/>
    <w:rsid w:val="00970E9F"/>
    <w:rsid w:val="00971185"/>
    <w:rsid w:val="009716CB"/>
    <w:rsid w:val="00971773"/>
    <w:rsid w:val="00971907"/>
    <w:rsid w:val="00971DB2"/>
    <w:rsid w:val="0097407D"/>
    <w:rsid w:val="0097415D"/>
    <w:rsid w:val="00974546"/>
    <w:rsid w:val="00974FC0"/>
    <w:rsid w:val="009756DA"/>
    <w:rsid w:val="00975A53"/>
    <w:rsid w:val="00975AB0"/>
    <w:rsid w:val="009767E0"/>
    <w:rsid w:val="00977B82"/>
    <w:rsid w:val="00981A02"/>
    <w:rsid w:val="009836A3"/>
    <w:rsid w:val="00983A4C"/>
    <w:rsid w:val="00983FB9"/>
    <w:rsid w:val="00984505"/>
    <w:rsid w:val="009854F7"/>
    <w:rsid w:val="009856F6"/>
    <w:rsid w:val="009863DD"/>
    <w:rsid w:val="009866ED"/>
    <w:rsid w:val="009870BE"/>
    <w:rsid w:val="00987647"/>
    <w:rsid w:val="00987DDA"/>
    <w:rsid w:val="0099059D"/>
    <w:rsid w:val="0099199B"/>
    <w:rsid w:val="00992D04"/>
    <w:rsid w:val="00997E65"/>
    <w:rsid w:val="009A11C3"/>
    <w:rsid w:val="009A51D3"/>
    <w:rsid w:val="009A52B9"/>
    <w:rsid w:val="009B098F"/>
    <w:rsid w:val="009B0E3C"/>
    <w:rsid w:val="009B253E"/>
    <w:rsid w:val="009B288C"/>
    <w:rsid w:val="009B2B43"/>
    <w:rsid w:val="009B5BCF"/>
    <w:rsid w:val="009C12CE"/>
    <w:rsid w:val="009C166B"/>
    <w:rsid w:val="009C2841"/>
    <w:rsid w:val="009C31B1"/>
    <w:rsid w:val="009C3B19"/>
    <w:rsid w:val="009C3B26"/>
    <w:rsid w:val="009C4649"/>
    <w:rsid w:val="009C5348"/>
    <w:rsid w:val="009C5BBB"/>
    <w:rsid w:val="009C6413"/>
    <w:rsid w:val="009D1E1A"/>
    <w:rsid w:val="009D228C"/>
    <w:rsid w:val="009D2C71"/>
    <w:rsid w:val="009D365D"/>
    <w:rsid w:val="009D515D"/>
    <w:rsid w:val="009D5588"/>
    <w:rsid w:val="009E0EE8"/>
    <w:rsid w:val="009E0F66"/>
    <w:rsid w:val="009E448F"/>
    <w:rsid w:val="009E56AB"/>
    <w:rsid w:val="009E590E"/>
    <w:rsid w:val="009E7740"/>
    <w:rsid w:val="009F0B42"/>
    <w:rsid w:val="009F0CDA"/>
    <w:rsid w:val="009F0E03"/>
    <w:rsid w:val="009F2577"/>
    <w:rsid w:val="009F397F"/>
    <w:rsid w:val="00A00271"/>
    <w:rsid w:val="00A01539"/>
    <w:rsid w:val="00A01A14"/>
    <w:rsid w:val="00A01CAE"/>
    <w:rsid w:val="00A0202A"/>
    <w:rsid w:val="00A0214F"/>
    <w:rsid w:val="00A02214"/>
    <w:rsid w:val="00A022BE"/>
    <w:rsid w:val="00A02FA8"/>
    <w:rsid w:val="00A04B40"/>
    <w:rsid w:val="00A04FC3"/>
    <w:rsid w:val="00A07AB8"/>
    <w:rsid w:val="00A119BE"/>
    <w:rsid w:val="00A12562"/>
    <w:rsid w:val="00A14453"/>
    <w:rsid w:val="00A14611"/>
    <w:rsid w:val="00A1648E"/>
    <w:rsid w:val="00A170C8"/>
    <w:rsid w:val="00A17DED"/>
    <w:rsid w:val="00A21CE7"/>
    <w:rsid w:val="00A22CF9"/>
    <w:rsid w:val="00A23761"/>
    <w:rsid w:val="00A2569F"/>
    <w:rsid w:val="00A262A9"/>
    <w:rsid w:val="00A26C16"/>
    <w:rsid w:val="00A2748C"/>
    <w:rsid w:val="00A2783B"/>
    <w:rsid w:val="00A27F77"/>
    <w:rsid w:val="00A30017"/>
    <w:rsid w:val="00A311D2"/>
    <w:rsid w:val="00A3233C"/>
    <w:rsid w:val="00A32BB1"/>
    <w:rsid w:val="00A34509"/>
    <w:rsid w:val="00A3498A"/>
    <w:rsid w:val="00A3561E"/>
    <w:rsid w:val="00A35BF7"/>
    <w:rsid w:val="00A35DAE"/>
    <w:rsid w:val="00A3721E"/>
    <w:rsid w:val="00A37527"/>
    <w:rsid w:val="00A37FBF"/>
    <w:rsid w:val="00A40BAF"/>
    <w:rsid w:val="00A40C2D"/>
    <w:rsid w:val="00A4178A"/>
    <w:rsid w:val="00A428F8"/>
    <w:rsid w:val="00A44C6C"/>
    <w:rsid w:val="00A45980"/>
    <w:rsid w:val="00A52FA8"/>
    <w:rsid w:val="00A5316B"/>
    <w:rsid w:val="00A5318D"/>
    <w:rsid w:val="00A53B41"/>
    <w:rsid w:val="00A547F6"/>
    <w:rsid w:val="00A55469"/>
    <w:rsid w:val="00A56149"/>
    <w:rsid w:val="00A56777"/>
    <w:rsid w:val="00A60BA4"/>
    <w:rsid w:val="00A62CE3"/>
    <w:rsid w:val="00A656F4"/>
    <w:rsid w:val="00A66081"/>
    <w:rsid w:val="00A71E07"/>
    <w:rsid w:val="00A7216B"/>
    <w:rsid w:val="00A72B61"/>
    <w:rsid w:val="00A74BA7"/>
    <w:rsid w:val="00A74E8B"/>
    <w:rsid w:val="00A75828"/>
    <w:rsid w:val="00A76BAE"/>
    <w:rsid w:val="00A76E12"/>
    <w:rsid w:val="00A77F9F"/>
    <w:rsid w:val="00A8335E"/>
    <w:rsid w:val="00A84E1D"/>
    <w:rsid w:val="00A8549D"/>
    <w:rsid w:val="00A867C3"/>
    <w:rsid w:val="00A87D91"/>
    <w:rsid w:val="00A912B0"/>
    <w:rsid w:val="00A931C3"/>
    <w:rsid w:val="00A96493"/>
    <w:rsid w:val="00AA1750"/>
    <w:rsid w:val="00AA1F1D"/>
    <w:rsid w:val="00AA1FC3"/>
    <w:rsid w:val="00AA20A2"/>
    <w:rsid w:val="00AA3D72"/>
    <w:rsid w:val="00AA400E"/>
    <w:rsid w:val="00AA46FA"/>
    <w:rsid w:val="00AB0670"/>
    <w:rsid w:val="00AB1542"/>
    <w:rsid w:val="00AB196D"/>
    <w:rsid w:val="00AB1B9D"/>
    <w:rsid w:val="00AB26E0"/>
    <w:rsid w:val="00AB2DA6"/>
    <w:rsid w:val="00AB35FD"/>
    <w:rsid w:val="00AB4539"/>
    <w:rsid w:val="00AB4768"/>
    <w:rsid w:val="00AB767F"/>
    <w:rsid w:val="00AC0056"/>
    <w:rsid w:val="00AC0E43"/>
    <w:rsid w:val="00AC331B"/>
    <w:rsid w:val="00AC37F8"/>
    <w:rsid w:val="00AC4ACE"/>
    <w:rsid w:val="00AC6C5E"/>
    <w:rsid w:val="00AC6F0E"/>
    <w:rsid w:val="00AC78EA"/>
    <w:rsid w:val="00AC7B21"/>
    <w:rsid w:val="00AC7DBF"/>
    <w:rsid w:val="00AD2AA8"/>
    <w:rsid w:val="00AD4982"/>
    <w:rsid w:val="00AD5658"/>
    <w:rsid w:val="00AD59E4"/>
    <w:rsid w:val="00AD6151"/>
    <w:rsid w:val="00AD6269"/>
    <w:rsid w:val="00AD6604"/>
    <w:rsid w:val="00AD7988"/>
    <w:rsid w:val="00AE1D42"/>
    <w:rsid w:val="00AE2805"/>
    <w:rsid w:val="00AE3AEE"/>
    <w:rsid w:val="00AE5D9B"/>
    <w:rsid w:val="00AE6114"/>
    <w:rsid w:val="00AF208D"/>
    <w:rsid w:val="00AF2610"/>
    <w:rsid w:val="00AF26E9"/>
    <w:rsid w:val="00AF3058"/>
    <w:rsid w:val="00AF40A6"/>
    <w:rsid w:val="00AF55E7"/>
    <w:rsid w:val="00AF5670"/>
    <w:rsid w:val="00AF7176"/>
    <w:rsid w:val="00AF7797"/>
    <w:rsid w:val="00B00974"/>
    <w:rsid w:val="00B04AFB"/>
    <w:rsid w:val="00B0529D"/>
    <w:rsid w:val="00B05822"/>
    <w:rsid w:val="00B058B7"/>
    <w:rsid w:val="00B05DEE"/>
    <w:rsid w:val="00B07B67"/>
    <w:rsid w:val="00B10C52"/>
    <w:rsid w:val="00B159C0"/>
    <w:rsid w:val="00B16C23"/>
    <w:rsid w:val="00B17013"/>
    <w:rsid w:val="00B174AB"/>
    <w:rsid w:val="00B2003D"/>
    <w:rsid w:val="00B21AE0"/>
    <w:rsid w:val="00B22853"/>
    <w:rsid w:val="00B25983"/>
    <w:rsid w:val="00B27275"/>
    <w:rsid w:val="00B27BA2"/>
    <w:rsid w:val="00B32635"/>
    <w:rsid w:val="00B327C9"/>
    <w:rsid w:val="00B32CE8"/>
    <w:rsid w:val="00B3330E"/>
    <w:rsid w:val="00B33A30"/>
    <w:rsid w:val="00B35074"/>
    <w:rsid w:val="00B357B1"/>
    <w:rsid w:val="00B377C6"/>
    <w:rsid w:val="00B377F0"/>
    <w:rsid w:val="00B41640"/>
    <w:rsid w:val="00B42CFB"/>
    <w:rsid w:val="00B43251"/>
    <w:rsid w:val="00B44096"/>
    <w:rsid w:val="00B44DD4"/>
    <w:rsid w:val="00B44F66"/>
    <w:rsid w:val="00B4547B"/>
    <w:rsid w:val="00B461FB"/>
    <w:rsid w:val="00B511C0"/>
    <w:rsid w:val="00B52269"/>
    <w:rsid w:val="00B56AA9"/>
    <w:rsid w:val="00B5763E"/>
    <w:rsid w:val="00B638AB"/>
    <w:rsid w:val="00B6400F"/>
    <w:rsid w:val="00B64CD3"/>
    <w:rsid w:val="00B710B2"/>
    <w:rsid w:val="00B71C3C"/>
    <w:rsid w:val="00B729EE"/>
    <w:rsid w:val="00B72E48"/>
    <w:rsid w:val="00B73859"/>
    <w:rsid w:val="00B74BD1"/>
    <w:rsid w:val="00B74ED2"/>
    <w:rsid w:val="00B75A31"/>
    <w:rsid w:val="00B802C8"/>
    <w:rsid w:val="00B80AFC"/>
    <w:rsid w:val="00B829BC"/>
    <w:rsid w:val="00B82EA3"/>
    <w:rsid w:val="00B83706"/>
    <w:rsid w:val="00B841D1"/>
    <w:rsid w:val="00B865A0"/>
    <w:rsid w:val="00B87735"/>
    <w:rsid w:val="00B87BAF"/>
    <w:rsid w:val="00B91B11"/>
    <w:rsid w:val="00B91F45"/>
    <w:rsid w:val="00B91FE1"/>
    <w:rsid w:val="00B92178"/>
    <w:rsid w:val="00B944C6"/>
    <w:rsid w:val="00B945F0"/>
    <w:rsid w:val="00B952B5"/>
    <w:rsid w:val="00B962E2"/>
    <w:rsid w:val="00B9681B"/>
    <w:rsid w:val="00BA0682"/>
    <w:rsid w:val="00BA123D"/>
    <w:rsid w:val="00BA3FD7"/>
    <w:rsid w:val="00BA4DCF"/>
    <w:rsid w:val="00BA4FA5"/>
    <w:rsid w:val="00BA5D91"/>
    <w:rsid w:val="00BA6D28"/>
    <w:rsid w:val="00BA7534"/>
    <w:rsid w:val="00BB08F4"/>
    <w:rsid w:val="00BB1BCD"/>
    <w:rsid w:val="00BB6167"/>
    <w:rsid w:val="00BC1165"/>
    <w:rsid w:val="00BC18B3"/>
    <w:rsid w:val="00BC22C2"/>
    <w:rsid w:val="00BC4A87"/>
    <w:rsid w:val="00BC6ADA"/>
    <w:rsid w:val="00BC6C7F"/>
    <w:rsid w:val="00BC717B"/>
    <w:rsid w:val="00BC71BC"/>
    <w:rsid w:val="00BC7553"/>
    <w:rsid w:val="00BC76F9"/>
    <w:rsid w:val="00BD1B11"/>
    <w:rsid w:val="00BD28A0"/>
    <w:rsid w:val="00BD2A62"/>
    <w:rsid w:val="00BD3CEC"/>
    <w:rsid w:val="00BD57F6"/>
    <w:rsid w:val="00BD7BED"/>
    <w:rsid w:val="00BE3367"/>
    <w:rsid w:val="00BE4540"/>
    <w:rsid w:val="00BE4574"/>
    <w:rsid w:val="00BE7267"/>
    <w:rsid w:val="00BF10A2"/>
    <w:rsid w:val="00BF14F6"/>
    <w:rsid w:val="00BF2621"/>
    <w:rsid w:val="00BF3D9D"/>
    <w:rsid w:val="00BF46A9"/>
    <w:rsid w:val="00BF5777"/>
    <w:rsid w:val="00C007F8"/>
    <w:rsid w:val="00C02F35"/>
    <w:rsid w:val="00C033EA"/>
    <w:rsid w:val="00C04E71"/>
    <w:rsid w:val="00C0679E"/>
    <w:rsid w:val="00C0777B"/>
    <w:rsid w:val="00C103FC"/>
    <w:rsid w:val="00C10573"/>
    <w:rsid w:val="00C1124F"/>
    <w:rsid w:val="00C11509"/>
    <w:rsid w:val="00C11FDB"/>
    <w:rsid w:val="00C12934"/>
    <w:rsid w:val="00C13295"/>
    <w:rsid w:val="00C14B9D"/>
    <w:rsid w:val="00C15425"/>
    <w:rsid w:val="00C154AE"/>
    <w:rsid w:val="00C2024C"/>
    <w:rsid w:val="00C208D8"/>
    <w:rsid w:val="00C20A1C"/>
    <w:rsid w:val="00C216CC"/>
    <w:rsid w:val="00C22D31"/>
    <w:rsid w:val="00C232AA"/>
    <w:rsid w:val="00C2411F"/>
    <w:rsid w:val="00C243E5"/>
    <w:rsid w:val="00C2453D"/>
    <w:rsid w:val="00C2480A"/>
    <w:rsid w:val="00C24D93"/>
    <w:rsid w:val="00C26A80"/>
    <w:rsid w:val="00C27ACE"/>
    <w:rsid w:val="00C3186F"/>
    <w:rsid w:val="00C329A0"/>
    <w:rsid w:val="00C34133"/>
    <w:rsid w:val="00C35B2C"/>
    <w:rsid w:val="00C3624D"/>
    <w:rsid w:val="00C36319"/>
    <w:rsid w:val="00C365AE"/>
    <w:rsid w:val="00C37C75"/>
    <w:rsid w:val="00C41C2E"/>
    <w:rsid w:val="00C41DFC"/>
    <w:rsid w:val="00C4210E"/>
    <w:rsid w:val="00C42469"/>
    <w:rsid w:val="00C42B9D"/>
    <w:rsid w:val="00C43207"/>
    <w:rsid w:val="00C4322F"/>
    <w:rsid w:val="00C43E47"/>
    <w:rsid w:val="00C44A06"/>
    <w:rsid w:val="00C46214"/>
    <w:rsid w:val="00C46970"/>
    <w:rsid w:val="00C47D88"/>
    <w:rsid w:val="00C50B82"/>
    <w:rsid w:val="00C50E12"/>
    <w:rsid w:val="00C51A2B"/>
    <w:rsid w:val="00C5205D"/>
    <w:rsid w:val="00C531C5"/>
    <w:rsid w:val="00C55D47"/>
    <w:rsid w:val="00C56065"/>
    <w:rsid w:val="00C56848"/>
    <w:rsid w:val="00C57666"/>
    <w:rsid w:val="00C5785C"/>
    <w:rsid w:val="00C606C3"/>
    <w:rsid w:val="00C6093C"/>
    <w:rsid w:val="00C62994"/>
    <w:rsid w:val="00C637AE"/>
    <w:rsid w:val="00C63C46"/>
    <w:rsid w:val="00C65FC5"/>
    <w:rsid w:val="00C67164"/>
    <w:rsid w:val="00C67767"/>
    <w:rsid w:val="00C719AF"/>
    <w:rsid w:val="00C72294"/>
    <w:rsid w:val="00C73851"/>
    <w:rsid w:val="00C73974"/>
    <w:rsid w:val="00C80EDE"/>
    <w:rsid w:val="00C81F17"/>
    <w:rsid w:val="00C82B5C"/>
    <w:rsid w:val="00C8314C"/>
    <w:rsid w:val="00C8330A"/>
    <w:rsid w:val="00C83335"/>
    <w:rsid w:val="00C86A8E"/>
    <w:rsid w:val="00C876C7"/>
    <w:rsid w:val="00C87ABD"/>
    <w:rsid w:val="00C87DAD"/>
    <w:rsid w:val="00C90E7C"/>
    <w:rsid w:val="00C930CC"/>
    <w:rsid w:val="00C93E7A"/>
    <w:rsid w:val="00C951E8"/>
    <w:rsid w:val="00C95E82"/>
    <w:rsid w:val="00CA17FD"/>
    <w:rsid w:val="00CA2FFE"/>
    <w:rsid w:val="00CA3EA3"/>
    <w:rsid w:val="00CA6265"/>
    <w:rsid w:val="00CB0441"/>
    <w:rsid w:val="00CB0CE3"/>
    <w:rsid w:val="00CB427C"/>
    <w:rsid w:val="00CB52BD"/>
    <w:rsid w:val="00CB5E48"/>
    <w:rsid w:val="00CB63C1"/>
    <w:rsid w:val="00CB785A"/>
    <w:rsid w:val="00CC0D6D"/>
    <w:rsid w:val="00CC1EBE"/>
    <w:rsid w:val="00CC4FBD"/>
    <w:rsid w:val="00CC5BD8"/>
    <w:rsid w:val="00CC6B50"/>
    <w:rsid w:val="00CD294D"/>
    <w:rsid w:val="00CD29E0"/>
    <w:rsid w:val="00CD3C6C"/>
    <w:rsid w:val="00CD4740"/>
    <w:rsid w:val="00CD4770"/>
    <w:rsid w:val="00CD47CD"/>
    <w:rsid w:val="00CD558E"/>
    <w:rsid w:val="00CD6144"/>
    <w:rsid w:val="00CD7230"/>
    <w:rsid w:val="00CD7310"/>
    <w:rsid w:val="00CE1383"/>
    <w:rsid w:val="00CE3FF5"/>
    <w:rsid w:val="00CE4BF8"/>
    <w:rsid w:val="00CE5578"/>
    <w:rsid w:val="00CE5EAE"/>
    <w:rsid w:val="00CE68A8"/>
    <w:rsid w:val="00CF0536"/>
    <w:rsid w:val="00CF2684"/>
    <w:rsid w:val="00CF4FBF"/>
    <w:rsid w:val="00CF5A49"/>
    <w:rsid w:val="00CF647C"/>
    <w:rsid w:val="00CF6823"/>
    <w:rsid w:val="00CF7214"/>
    <w:rsid w:val="00D0060D"/>
    <w:rsid w:val="00D029E6"/>
    <w:rsid w:val="00D06379"/>
    <w:rsid w:val="00D10F62"/>
    <w:rsid w:val="00D114F1"/>
    <w:rsid w:val="00D12B17"/>
    <w:rsid w:val="00D164D6"/>
    <w:rsid w:val="00D21F36"/>
    <w:rsid w:val="00D22797"/>
    <w:rsid w:val="00D231AC"/>
    <w:rsid w:val="00D23636"/>
    <w:rsid w:val="00D23980"/>
    <w:rsid w:val="00D24A9F"/>
    <w:rsid w:val="00D25760"/>
    <w:rsid w:val="00D277D4"/>
    <w:rsid w:val="00D3027D"/>
    <w:rsid w:val="00D3106E"/>
    <w:rsid w:val="00D31243"/>
    <w:rsid w:val="00D31C32"/>
    <w:rsid w:val="00D32628"/>
    <w:rsid w:val="00D34DEE"/>
    <w:rsid w:val="00D3573B"/>
    <w:rsid w:val="00D36B48"/>
    <w:rsid w:val="00D37347"/>
    <w:rsid w:val="00D40722"/>
    <w:rsid w:val="00D412D6"/>
    <w:rsid w:val="00D41C6B"/>
    <w:rsid w:val="00D41DE8"/>
    <w:rsid w:val="00D421CB"/>
    <w:rsid w:val="00D42526"/>
    <w:rsid w:val="00D42E2D"/>
    <w:rsid w:val="00D43A48"/>
    <w:rsid w:val="00D453AB"/>
    <w:rsid w:val="00D45496"/>
    <w:rsid w:val="00D47337"/>
    <w:rsid w:val="00D509D2"/>
    <w:rsid w:val="00D50A14"/>
    <w:rsid w:val="00D51315"/>
    <w:rsid w:val="00D52960"/>
    <w:rsid w:val="00D52A7D"/>
    <w:rsid w:val="00D5419B"/>
    <w:rsid w:val="00D556B8"/>
    <w:rsid w:val="00D5676B"/>
    <w:rsid w:val="00D6023E"/>
    <w:rsid w:val="00D6025F"/>
    <w:rsid w:val="00D61586"/>
    <w:rsid w:val="00D64595"/>
    <w:rsid w:val="00D657DB"/>
    <w:rsid w:val="00D70862"/>
    <w:rsid w:val="00D70DEF"/>
    <w:rsid w:val="00D71E06"/>
    <w:rsid w:val="00D71ED3"/>
    <w:rsid w:val="00D71EF3"/>
    <w:rsid w:val="00D742EA"/>
    <w:rsid w:val="00D75463"/>
    <w:rsid w:val="00D755DE"/>
    <w:rsid w:val="00D76CEF"/>
    <w:rsid w:val="00D76FCC"/>
    <w:rsid w:val="00D77FA0"/>
    <w:rsid w:val="00D800F9"/>
    <w:rsid w:val="00D83453"/>
    <w:rsid w:val="00D8440A"/>
    <w:rsid w:val="00D85A5D"/>
    <w:rsid w:val="00D8636A"/>
    <w:rsid w:val="00D91B23"/>
    <w:rsid w:val="00D91CFC"/>
    <w:rsid w:val="00D92530"/>
    <w:rsid w:val="00D93405"/>
    <w:rsid w:val="00D95BED"/>
    <w:rsid w:val="00D96E4B"/>
    <w:rsid w:val="00DA37A4"/>
    <w:rsid w:val="00DA4059"/>
    <w:rsid w:val="00DA4968"/>
    <w:rsid w:val="00DA5D40"/>
    <w:rsid w:val="00DA61EA"/>
    <w:rsid w:val="00DA6707"/>
    <w:rsid w:val="00DB37A4"/>
    <w:rsid w:val="00DB3A68"/>
    <w:rsid w:val="00DB44DA"/>
    <w:rsid w:val="00DB4CED"/>
    <w:rsid w:val="00DB5961"/>
    <w:rsid w:val="00DB5E9F"/>
    <w:rsid w:val="00DB5F65"/>
    <w:rsid w:val="00DB7073"/>
    <w:rsid w:val="00DC1F8C"/>
    <w:rsid w:val="00DC20A3"/>
    <w:rsid w:val="00DC2B9B"/>
    <w:rsid w:val="00DC3731"/>
    <w:rsid w:val="00DC4E75"/>
    <w:rsid w:val="00DD0E1B"/>
    <w:rsid w:val="00DD12B3"/>
    <w:rsid w:val="00DD1639"/>
    <w:rsid w:val="00DD2651"/>
    <w:rsid w:val="00DD37A6"/>
    <w:rsid w:val="00DD3FF2"/>
    <w:rsid w:val="00DD7132"/>
    <w:rsid w:val="00DE074B"/>
    <w:rsid w:val="00DE0E93"/>
    <w:rsid w:val="00DE15AB"/>
    <w:rsid w:val="00DE2996"/>
    <w:rsid w:val="00DE40E3"/>
    <w:rsid w:val="00DE4DE1"/>
    <w:rsid w:val="00DE5092"/>
    <w:rsid w:val="00DE513C"/>
    <w:rsid w:val="00DE6051"/>
    <w:rsid w:val="00DF16B5"/>
    <w:rsid w:val="00DF5F63"/>
    <w:rsid w:val="00DF7618"/>
    <w:rsid w:val="00DF78A2"/>
    <w:rsid w:val="00E00C68"/>
    <w:rsid w:val="00E02843"/>
    <w:rsid w:val="00E05CBB"/>
    <w:rsid w:val="00E06CAE"/>
    <w:rsid w:val="00E07512"/>
    <w:rsid w:val="00E11304"/>
    <w:rsid w:val="00E12C50"/>
    <w:rsid w:val="00E14258"/>
    <w:rsid w:val="00E150DB"/>
    <w:rsid w:val="00E154C2"/>
    <w:rsid w:val="00E15E6B"/>
    <w:rsid w:val="00E15FAA"/>
    <w:rsid w:val="00E2149C"/>
    <w:rsid w:val="00E217EB"/>
    <w:rsid w:val="00E218A0"/>
    <w:rsid w:val="00E21F2F"/>
    <w:rsid w:val="00E234D5"/>
    <w:rsid w:val="00E235A0"/>
    <w:rsid w:val="00E23CA4"/>
    <w:rsid w:val="00E23CE2"/>
    <w:rsid w:val="00E26AD1"/>
    <w:rsid w:val="00E30973"/>
    <w:rsid w:val="00E31EEB"/>
    <w:rsid w:val="00E3469E"/>
    <w:rsid w:val="00E3476E"/>
    <w:rsid w:val="00E35947"/>
    <w:rsid w:val="00E35E96"/>
    <w:rsid w:val="00E36788"/>
    <w:rsid w:val="00E36A74"/>
    <w:rsid w:val="00E37E28"/>
    <w:rsid w:val="00E401EE"/>
    <w:rsid w:val="00E402A9"/>
    <w:rsid w:val="00E4283B"/>
    <w:rsid w:val="00E4425F"/>
    <w:rsid w:val="00E44586"/>
    <w:rsid w:val="00E44AFE"/>
    <w:rsid w:val="00E44B40"/>
    <w:rsid w:val="00E45177"/>
    <w:rsid w:val="00E460CD"/>
    <w:rsid w:val="00E46549"/>
    <w:rsid w:val="00E46834"/>
    <w:rsid w:val="00E50CAB"/>
    <w:rsid w:val="00E545C0"/>
    <w:rsid w:val="00E565A7"/>
    <w:rsid w:val="00E6009C"/>
    <w:rsid w:val="00E607A1"/>
    <w:rsid w:val="00E60999"/>
    <w:rsid w:val="00E613ED"/>
    <w:rsid w:val="00E61DC0"/>
    <w:rsid w:val="00E6250B"/>
    <w:rsid w:val="00E6255B"/>
    <w:rsid w:val="00E6255C"/>
    <w:rsid w:val="00E63B42"/>
    <w:rsid w:val="00E63BD2"/>
    <w:rsid w:val="00E645E4"/>
    <w:rsid w:val="00E64631"/>
    <w:rsid w:val="00E6468D"/>
    <w:rsid w:val="00E6519D"/>
    <w:rsid w:val="00E662B1"/>
    <w:rsid w:val="00E66836"/>
    <w:rsid w:val="00E67AF1"/>
    <w:rsid w:val="00E701AC"/>
    <w:rsid w:val="00E703B9"/>
    <w:rsid w:val="00E7146C"/>
    <w:rsid w:val="00E74E72"/>
    <w:rsid w:val="00E75EA5"/>
    <w:rsid w:val="00E76783"/>
    <w:rsid w:val="00E76F95"/>
    <w:rsid w:val="00E812D6"/>
    <w:rsid w:val="00E8230A"/>
    <w:rsid w:val="00E82544"/>
    <w:rsid w:val="00E82F52"/>
    <w:rsid w:val="00E834C4"/>
    <w:rsid w:val="00E83C84"/>
    <w:rsid w:val="00E840CD"/>
    <w:rsid w:val="00E84808"/>
    <w:rsid w:val="00E8667F"/>
    <w:rsid w:val="00E86F38"/>
    <w:rsid w:val="00E942FC"/>
    <w:rsid w:val="00E94FD4"/>
    <w:rsid w:val="00E955C5"/>
    <w:rsid w:val="00E97B7B"/>
    <w:rsid w:val="00E97FC3"/>
    <w:rsid w:val="00EA09EA"/>
    <w:rsid w:val="00EA0F4D"/>
    <w:rsid w:val="00EA17EB"/>
    <w:rsid w:val="00EA2B58"/>
    <w:rsid w:val="00EA2C27"/>
    <w:rsid w:val="00EA3418"/>
    <w:rsid w:val="00EA5213"/>
    <w:rsid w:val="00EA5769"/>
    <w:rsid w:val="00EA7929"/>
    <w:rsid w:val="00EA7AC6"/>
    <w:rsid w:val="00EB0FB8"/>
    <w:rsid w:val="00EB2C53"/>
    <w:rsid w:val="00EB3133"/>
    <w:rsid w:val="00EB4ABA"/>
    <w:rsid w:val="00EB5E37"/>
    <w:rsid w:val="00EB7013"/>
    <w:rsid w:val="00EC019D"/>
    <w:rsid w:val="00EC0E65"/>
    <w:rsid w:val="00EC1344"/>
    <w:rsid w:val="00EC135E"/>
    <w:rsid w:val="00EC3AFD"/>
    <w:rsid w:val="00ED15B1"/>
    <w:rsid w:val="00ED509E"/>
    <w:rsid w:val="00ED52C7"/>
    <w:rsid w:val="00ED64AC"/>
    <w:rsid w:val="00EE3CD5"/>
    <w:rsid w:val="00EE507A"/>
    <w:rsid w:val="00EF0401"/>
    <w:rsid w:val="00EF0B6A"/>
    <w:rsid w:val="00EF13FE"/>
    <w:rsid w:val="00EF2746"/>
    <w:rsid w:val="00EF2A6F"/>
    <w:rsid w:val="00EF3356"/>
    <w:rsid w:val="00EF4A34"/>
    <w:rsid w:val="00EF5EBE"/>
    <w:rsid w:val="00EF788F"/>
    <w:rsid w:val="00F00176"/>
    <w:rsid w:val="00F011C0"/>
    <w:rsid w:val="00F02598"/>
    <w:rsid w:val="00F02E7E"/>
    <w:rsid w:val="00F041E6"/>
    <w:rsid w:val="00F04204"/>
    <w:rsid w:val="00F115F1"/>
    <w:rsid w:val="00F12D77"/>
    <w:rsid w:val="00F15860"/>
    <w:rsid w:val="00F178FD"/>
    <w:rsid w:val="00F20B84"/>
    <w:rsid w:val="00F22BC2"/>
    <w:rsid w:val="00F23ACE"/>
    <w:rsid w:val="00F23E87"/>
    <w:rsid w:val="00F24ACE"/>
    <w:rsid w:val="00F25CA1"/>
    <w:rsid w:val="00F265CA"/>
    <w:rsid w:val="00F26717"/>
    <w:rsid w:val="00F26809"/>
    <w:rsid w:val="00F30EC6"/>
    <w:rsid w:val="00F3167B"/>
    <w:rsid w:val="00F31AF3"/>
    <w:rsid w:val="00F35902"/>
    <w:rsid w:val="00F367BE"/>
    <w:rsid w:val="00F373DB"/>
    <w:rsid w:val="00F37465"/>
    <w:rsid w:val="00F4030C"/>
    <w:rsid w:val="00F4227E"/>
    <w:rsid w:val="00F42AF2"/>
    <w:rsid w:val="00F43030"/>
    <w:rsid w:val="00F4394D"/>
    <w:rsid w:val="00F449CF"/>
    <w:rsid w:val="00F45B40"/>
    <w:rsid w:val="00F47D2E"/>
    <w:rsid w:val="00F502CC"/>
    <w:rsid w:val="00F50A4F"/>
    <w:rsid w:val="00F54153"/>
    <w:rsid w:val="00F54D86"/>
    <w:rsid w:val="00F560CF"/>
    <w:rsid w:val="00F57EFD"/>
    <w:rsid w:val="00F60A0F"/>
    <w:rsid w:val="00F63376"/>
    <w:rsid w:val="00F66267"/>
    <w:rsid w:val="00F667F3"/>
    <w:rsid w:val="00F720FC"/>
    <w:rsid w:val="00F72459"/>
    <w:rsid w:val="00F72B99"/>
    <w:rsid w:val="00F73BA4"/>
    <w:rsid w:val="00F775F3"/>
    <w:rsid w:val="00F82647"/>
    <w:rsid w:val="00F8265C"/>
    <w:rsid w:val="00F82BBB"/>
    <w:rsid w:val="00F83094"/>
    <w:rsid w:val="00F85A9E"/>
    <w:rsid w:val="00F87500"/>
    <w:rsid w:val="00F904AE"/>
    <w:rsid w:val="00F9184C"/>
    <w:rsid w:val="00F9383D"/>
    <w:rsid w:val="00F94B01"/>
    <w:rsid w:val="00F9578B"/>
    <w:rsid w:val="00F95E9F"/>
    <w:rsid w:val="00F979F4"/>
    <w:rsid w:val="00FA12A0"/>
    <w:rsid w:val="00FA44F3"/>
    <w:rsid w:val="00FA5F7E"/>
    <w:rsid w:val="00FA6456"/>
    <w:rsid w:val="00FA6637"/>
    <w:rsid w:val="00FA7099"/>
    <w:rsid w:val="00FA7590"/>
    <w:rsid w:val="00FB0955"/>
    <w:rsid w:val="00FB34E3"/>
    <w:rsid w:val="00FB4903"/>
    <w:rsid w:val="00FB4F05"/>
    <w:rsid w:val="00FB68C3"/>
    <w:rsid w:val="00FC278B"/>
    <w:rsid w:val="00FC2EAD"/>
    <w:rsid w:val="00FC3A50"/>
    <w:rsid w:val="00FC4740"/>
    <w:rsid w:val="00FC4D01"/>
    <w:rsid w:val="00FC53D6"/>
    <w:rsid w:val="00FD009B"/>
    <w:rsid w:val="00FD05D1"/>
    <w:rsid w:val="00FD0ACB"/>
    <w:rsid w:val="00FD236D"/>
    <w:rsid w:val="00FD2DC4"/>
    <w:rsid w:val="00FD2F4E"/>
    <w:rsid w:val="00FD5018"/>
    <w:rsid w:val="00FD5B5A"/>
    <w:rsid w:val="00FD7BF4"/>
    <w:rsid w:val="00FE4292"/>
    <w:rsid w:val="00FE6827"/>
    <w:rsid w:val="00FE6D97"/>
    <w:rsid w:val="00FE7698"/>
    <w:rsid w:val="00FF0FF5"/>
    <w:rsid w:val="00FF1B62"/>
    <w:rsid w:val="00FF45F6"/>
    <w:rsid w:val="00FF56CD"/>
    <w:rsid w:val="00FF6F75"/>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E755A"/>
  <w14:defaultImageDpi w14:val="330"/>
  <w15:chartTrackingRefBased/>
  <w15:docId w15:val="{EBEB8CEB-30C1-46AC-817A-62905D46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777"/>
    <w:rPr>
      <w:color w:val="0563C1" w:themeColor="hyperlink"/>
      <w:u w:val="single"/>
    </w:rPr>
  </w:style>
  <w:style w:type="character" w:styleId="LineNumber">
    <w:name w:val="line number"/>
    <w:basedOn w:val="DefaultParagraphFont"/>
    <w:uiPriority w:val="99"/>
    <w:semiHidden/>
    <w:unhideWhenUsed/>
    <w:rsid w:val="00133A35"/>
  </w:style>
  <w:style w:type="paragraph" w:styleId="ListParagraph">
    <w:name w:val="List Paragraph"/>
    <w:basedOn w:val="Normal"/>
    <w:uiPriority w:val="34"/>
    <w:qFormat/>
    <w:rsid w:val="00087EF9"/>
    <w:pPr>
      <w:ind w:left="720"/>
      <w:contextualSpacing/>
    </w:pPr>
  </w:style>
  <w:style w:type="paragraph" w:styleId="Header">
    <w:name w:val="header"/>
    <w:basedOn w:val="Normal"/>
    <w:link w:val="HeaderChar"/>
    <w:uiPriority w:val="99"/>
    <w:unhideWhenUsed/>
    <w:rsid w:val="00913326"/>
    <w:pPr>
      <w:tabs>
        <w:tab w:val="center" w:pos="4680"/>
        <w:tab w:val="right" w:pos="9360"/>
      </w:tabs>
      <w:spacing w:line="240" w:lineRule="auto"/>
    </w:pPr>
  </w:style>
  <w:style w:type="character" w:customStyle="1" w:styleId="HeaderChar">
    <w:name w:val="Header Char"/>
    <w:basedOn w:val="DefaultParagraphFont"/>
    <w:link w:val="Header"/>
    <w:uiPriority w:val="99"/>
    <w:rsid w:val="00913326"/>
  </w:style>
  <w:style w:type="paragraph" w:styleId="Footer">
    <w:name w:val="footer"/>
    <w:basedOn w:val="Normal"/>
    <w:link w:val="FooterChar"/>
    <w:uiPriority w:val="99"/>
    <w:unhideWhenUsed/>
    <w:rsid w:val="00913326"/>
    <w:pPr>
      <w:tabs>
        <w:tab w:val="center" w:pos="4680"/>
        <w:tab w:val="right" w:pos="9360"/>
      </w:tabs>
      <w:spacing w:line="240" w:lineRule="auto"/>
    </w:pPr>
  </w:style>
  <w:style w:type="character" w:customStyle="1" w:styleId="FooterChar">
    <w:name w:val="Footer Char"/>
    <w:basedOn w:val="DefaultParagraphFont"/>
    <w:link w:val="Footer"/>
    <w:uiPriority w:val="99"/>
    <w:rsid w:val="00913326"/>
  </w:style>
  <w:style w:type="character" w:styleId="PlaceholderText">
    <w:name w:val="Placeholder Text"/>
    <w:basedOn w:val="DefaultParagraphFont"/>
    <w:uiPriority w:val="99"/>
    <w:semiHidden/>
    <w:rsid w:val="00E05CBB"/>
    <w:rPr>
      <w:color w:val="808080"/>
    </w:rPr>
  </w:style>
  <w:style w:type="table" w:styleId="TableGrid">
    <w:name w:val="Table Grid"/>
    <w:basedOn w:val="TableNormal"/>
    <w:uiPriority w:val="39"/>
    <w:rsid w:val="005E68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12B3"/>
    <w:rPr>
      <w:color w:val="954F72" w:themeColor="followedHyperlink"/>
      <w:u w:val="single"/>
    </w:rPr>
  </w:style>
  <w:style w:type="character" w:styleId="CommentReference">
    <w:name w:val="annotation reference"/>
    <w:basedOn w:val="DefaultParagraphFont"/>
    <w:uiPriority w:val="99"/>
    <w:semiHidden/>
    <w:unhideWhenUsed/>
    <w:rsid w:val="00342693"/>
    <w:rPr>
      <w:sz w:val="16"/>
      <w:szCs w:val="16"/>
    </w:rPr>
  </w:style>
  <w:style w:type="paragraph" w:styleId="CommentText">
    <w:name w:val="annotation text"/>
    <w:basedOn w:val="Normal"/>
    <w:link w:val="CommentTextChar"/>
    <w:uiPriority w:val="99"/>
    <w:semiHidden/>
    <w:unhideWhenUsed/>
    <w:rsid w:val="00342693"/>
    <w:pPr>
      <w:spacing w:line="240" w:lineRule="auto"/>
    </w:pPr>
    <w:rPr>
      <w:sz w:val="20"/>
      <w:szCs w:val="20"/>
    </w:rPr>
  </w:style>
  <w:style w:type="character" w:customStyle="1" w:styleId="CommentTextChar">
    <w:name w:val="Comment Text Char"/>
    <w:basedOn w:val="DefaultParagraphFont"/>
    <w:link w:val="CommentText"/>
    <w:uiPriority w:val="99"/>
    <w:semiHidden/>
    <w:rsid w:val="00342693"/>
    <w:rPr>
      <w:sz w:val="20"/>
      <w:szCs w:val="20"/>
    </w:rPr>
  </w:style>
  <w:style w:type="paragraph" w:styleId="CommentSubject">
    <w:name w:val="annotation subject"/>
    <w:basedOn w:val="CommentText"/>
    <w:next w:val="CommentText"/>
    <w:link w:val="CommentSubjectChar"/>
    <w:uiPriority w:val="99"/>
    <w:semiHidden/>
    <w:unhideWhenUsed/>
    <w:rsid w:val="00342693"/>
    <w:rPr>
      <w:b/>
      <w:bCs/>
    </w:rPr>
  </w:style>
  <w:style w:type="character" w:customStyle="1" w:styleId="CommentSubjectChar">
    <w:name w:val="Comment Subject Char"/>
    <w:basedOn w:val="CommentTextChar"/>
    <w:link w:val="CommentSubject"/>
    <w:uiPriority w:val="99"/>
    <w:semiHidden/>
    <w:rsid w:val="00342693"/>
    <w:rPr>
      <w:b/>
      <w:bCs/>
      <w:sz w:val="20"/>
      <w:szCs w:val="20"/>
    </w:rPr>
  </w:style>
  <w:style w:type="paragraph" w:styleId="BalloonText">
    <w:name w:val="Balloon Text"/>
    <w:basedOn w:val="Normal"/>
    <w:link w:val="BalloonTextChar"/>
    <w:uiPriority w:val="99"/>
    <w:semiHidden/>
    <w:unhideWhenUsed/>
    <w:rsid w:val="003426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263">
      <w:bodyDiv w:val="1"/>
      <w:marLeft w:val="0"/>
      <w:marRight w:val="0"/>
      <w:marTop w:val="0"/>
      <w:marBottom w:val="0"/>
      <w:divBdr>
        <w:top w:val="none" w:sz="0" w:space="0" w:color="auto"/>
        <w:left w:val="none" w:sz="0" w:space="0" w:color="auto"/>
        <w:bottom w:val="none" w:sz="0" w:space="0" w:color="auto"/>
        <w:right w:val="none" w:sz="0" w:space="0" w:color="auto"/>
      </w:divBdr>
      <w:divsChild>
        <w:div w:id="855079926">
          <w:marLeft w:val="0"/>
          <w:marRight w:val="0"/>
          <w:marTop w:val="0"/>
          <w:marBottom w:val="0"/>
          <w:divBdr>
            <w:top w:val="none" w:sz="0" w:space="0" w:color="auto"/>
            <w:left w:val="none" w:sz="0" w:space="0" w:color="auto"/>
            <w:bottom w:val="none" w:sz="0" w:space="0" w:color="auto"/>
            <w:right w:val="none" w:sz="0" w:space="0" w:color="auto"/>
          </w:divBdr>
        </w:div>
      </w:divsChild>
    </w:div>
    <w:div w:id="197015207">
      <w:bodyDiv w:val="1"/>
      <w:marLeft w:val="0"/>
      <w:marRight w:val="0"/>
      <w:marTop w:val="0"/>
      <w:marBottom w:val="0"/>
      <w:divBdr>
        <w:top w:val="none" w:sz="0" w:space="0" w:color="auto"/>
        <w:left w:val="none" w:sz="0" w:space="0" w:color="auto"/>
        <w:bottom w:val="none" w:sz="0" w:space="0" w:color="auto"/>
        <w:right w:val="none" w:sz="0" w:space="0" w:color="auto"/>
      </w:divBdr>
    </w:div>
    <w:div w:id="300422837">
      <w:bodyDiv w:val="1"/>
      <w:marLeft w:val="0"/>
      <w:marRight w:val="0"/>
      <w:marTop w:val="0"/>
      <w:marBottom w:val="0"/>
      <w:divBdr>
        <w:top w:val="none" w:sz="0" w:space="0" w:color="auto"/>
        <w:left w:val="none" w:sz="0" w:space="0" w:color="auto"/>
        <w:bottom w:val="none" w:sz="0" w:space="0" w:color="auto"/>
        <w:right w:val="none" w:sz="0" w:space="0" w:color="auto"/>
      </w:divBdr>
    </w:div>
    <w:div w:id="334455729">
      <w:bodyDiv w:val="1"/>
      <w:marLeft w:val="0"/>
      <w:marRight w:val="0"/>
      <w:marTop w:val="0"/>
      <w:marBottom w:val="0"/>
      <w:divBdr>
        <w:top w:val="none" w:sz="0" w:space="0" w:color="auto"/>
        <w:left w:val="none" w:sz="0" w:space="0" w:color="auto"/>
        <w:bottom w:val="none" w:sz="0" w:space="0" w:color="auto"/>
        <w:right w:val="none" w:sz="0" w:space="0" w:color="auto"/>
      </w:divBdr>
      <w:divsChild>
        <w:div w:id="1115320935">
          <w:marLeft w:val="0"/>
          <w:marRight w:val="0"/>
          <w:marTop w:val="0"/>
          <w:marBottom w:val="0"/>
          <w:divBdr>
            <w:top w:val="none" w:sz="0" w:space="0" w:color="auto"/>
            <w:left w:val="none" w:sz="0" w:space="0" w:color="auto"/>
            <w:bottom w:val="none" w:sz="0" w:space="0" w:color="auto"/>
            <w:right w:val="none" w:sz="0" w:space="0" w:color="auto"/>
          </w:divBdr>
        </w:div>
      </w:divsChild>
    </w:div>
    <w:div w:id="454061639">
      <w:bodyDiv w:val="1"/>
      <w:marLeft w:val="0"/>
      <w:marRight w:val="0"/>
      <w:marTop w:val="0"/>
      <w:marBottom w:val="0"/>
      <w:divBdr>
        <w:top w:val="none" w:sz="0" w:space="0" w:color="auto"/>
        <w:left w:val="none" w:sz="0" w:space="0" w:color="auto"/>
        <w:bottom w:val="none" w:sz="0" w:space="0" w:color="auto"/>
        <w:right w:val="none" w:sz="0" w:space="0" w:color="auto"/>
      </w:divBdr>
    </w:div>
    <w:div w:id="520749297">
      <w:bodyDiv w:val="1"/>
      <w:marLeft w:val="0"/>
      <w:marRight w:val="0"/>
      <w:marTop w:val="0"/>
      <w:marBottom w:val="0"/>
      <w:divBdr>
        <w:top w:val="none" w:sz="0" w:space="0" w:color="auto"/>
        <w:left w:val="none" w:sz="0" w:space="0" w:color="auto"/>
        <w:bottom w:val="none" w:sz="0" w:space="0" w:color="auto"/>
        <w:right w:val="none" w:sz="0" w:space="0" w:color="auto"/>
      </w:divBdr>
    </w:div>
    <w:div w:id="874583405">
      <w:bodyDiv w:val="1"/>
      <w:marLeft w:val="0"/>
      <w:marRight w:val="0"/>
      <w:marTop w:val="0"/>
      <w:marBottom w:val="0"/>
      <w:divBdr>
        <w:top w:val="none" w:sz="0" w:space="0" w:color="auto"/>
        <w:left w:val="none" w:sz="0" w:space="0" w:color="auto"/>
        <w:bottom w:val="none" w:sz="0" w:space="0" w:color="auto"/>
        <w:right w:val="none" w:sz="0" w:space="0" w:color="auto"/>
      </w:divBdr>
    </w:div>
    <w:div w:id="1310359180">
      <w:bodyDiv w:val="1"/>
      <w:marLeft w:val="0"/>
      <w:marRight w:val="0"/>
      <w:marTop w:val="0"/>
      <w:marBottom w:val="0"/>
      <w:divBdr>
        <w:top w:val="none" w:sz="0" w:space="0" w:color="auto"/>
        <w:left w:val="none" w:sz="0" w:space="0" w:color="auto"/>
        <w:bottom w:val="none" w:sz="0" w:space="0" w:color="auto"/>
        <w:right w:val="none" w:sz="0" w:space="0" w:color="auto"/>
      </w:divBdr>
    </w:div>
    <w:div w:id="1390690145">
      <w:bodyDiv w:val="1"/>
      <w:marLeft w:val="0"/>
      <w:marRight w:val="0"/>
      <w:marTop w:val="0"/>
      <w:marBottom w:val="0"/>
      <w:divBdr>
        <w:top w:val="none" w:sz="0" w:space="0" w:color="auto"/>
        <w:left w:val="none" w:sz="0" w:space="0" w:color="auto"/>
        <w:bottom w:val="none" w:sz="0" w:space="0" w:color="auto"/>
        <w:right w:val="none" w:sz="0" w:space="0" w:color="auto"/>
      </w:divBdr>
    </w:div>
    <w:div w:id="1406343447">
      <w:bodyDiv w:val="1"/>
      <w:marLeft w:val="0"/>
      <w:marRight w:val="0"/>
      <w:marTop w:val="0"/>
      <w:marBottom w:val="0"/>
      <w:divBdr>
        <w:top w:val="none" w:sz="0" w:space="0" w:color="auto"/>
        <w:left w:val="none" w:sz="0" w:space="0" w:color="auto"/>
        <w:bottom w:val="none" w:sz="0" w:space="0" w:color="auto"/>
        <w:right w:val="none" w:sz="0" w:space="0" w:color="auto"/>
      </w:divBdr>
    </w:div>
    <w:div w:id="1508599777">
      <w:bodyDiv w:val="1"/>
      <w:marLeft w:val="0"/>
      <w:marRight w:val="0"/>
      <w:marTop w:val="0"/>
      <w:marBottom w:val="0"/>
      <w:divBdr>
        <w:top w:val="none" w:sz="0" w:space="0" w:color="auto"/>
        <w:left w:val="none" w:sz="0" w:space="0" w:color="auto"/>
        <w:bottom w:val="none" w:sz="0" w:space="0" w:color="auto"/>
        <w:right w:val="none" w:sz="0" w:space="0" w:color="auto"/>
      </w:divBdr>
      <w:divsChild>
        <w:div w:id="1821457957">
          <w:marLeft w:val="0"/>
          <w:marRight w:val="0"/>
          <w:marTop w:val="0"/>
          <w:marBottom w:val="0"/>
          <w:divBdr>
            <w:top w:val="none" w:sz="0" w:space="0" w:color="auto"/>
            <w:left w:val="none" w:sz="0" w:space="0" w:color="auto"/>
            <w:bottom w:val="none" w:sz="0" w:space="0" w:color="auto"/>
            <w:right w:val="none" w:sz="0" w:space="0" w:color="auto"/>
          </w:divBdr>
        </w:div>
        <w:div w:id="957221610">
          <w:marLeft w:val="0"/>
          <w:marRight w:val="0"/>
          <w:marTop w:val="0"/>
          <w:marBottom w:val="0"/>
          <w:divBdr>
            <w:top w:val="none" w:sz="0" w:space="0" w:color="auto"/>
            <w:left w:val="none" w:sz="0" w:space="0" w:color="auto"/>
            <w:bottom w:val="none" w:sz="0" w:space="0" w:color="auto"/>
            <w:right w:val="none" w:sz="0" w:space="0" w:color="auto"/>
          </w:divBdr>
        </w:div>
        <w:div w:id="854150536">
          <w:marLeft w:val="0"/>
          <w:marRight w:val="0"/>
          <w:marTop w:val="0"/>
          <w:marBottom w:val="0"/>
          <w:divBdr>
            <w:top w:val="none" w:sz="0" w:space="0" w:color="auto"/>
            <w:left w:val="none" w:sz="0" w:space="0" w:color="auto"/>
            <w:bottom w:val="none" w:sz="0" w:space="0" w:color="auto"/>
            <w:right w:val="none" w:sz="0" w:space="0" w:color="auto"/>
          </w:divBdr>
        </w:div>
        <w:div w:id="1769736656">
          <w:marLeft w:val="0"/>
          <w:marRight w:val="0"/>
          <w:marTop w:val="0"/>
          <w:marBottom w:val="0"/>
          <w:divBdr>
            <w:top w:val="none" w:sz="0" w:space="0" w:color="auto"/>
            <w:left w:val="none" w:sz="0" w:space="0" w:color="auto"/>
            <w:bottom w:val="none" w:sz="0" w:space="0" w:color="auto"/>
            <w:right w:val="none" w:sz="0" w:space="0" w:color="auto"/>
          </w:divBdr>
        </w:div>
        <w:div w:id="141314132">
          <w:marLeft w:val="0"/>
          <w:marRight w:val="0"/>
          <w:marTop w:val="0"/>
          <w:marBottom w:val="0"/>
          <w:divBdr>
            <w:top w:val="none" w:sz="0" w:space="0" w:color="auto"/>
            <w:left w:val="none" w:sz="0" w:space="0" w:color="auto"/>
            <w:bottom w:val="none" w:sz="0" w:space="0" w:color="auto"/>
            <w:right w:val="none" w:sz="0" w:space="0" w:color="auto"/>
          </w:divBdr>
        </w:div>
      </w:divsChild>
    </w:div>
    <w:div w:id="1894533857">
      <w:bodyDiv w:val="1"/>
      <w:marLeft w:val="0"/>
      <w:marRight w:val="0"/>
      <w:marTop w:val="0"/>
      <w:marBottom w:val="0"/>
      <w:divBdr>
        <w:top w:val="none" w:sz="0" w:space="0" w:color="auto"/>
        <w:left w:val="none" w:sz="0" w:space="0" w:color="auto"/>
        <w:bottom w:val="none" w:sz="0" w:space="0" w:color="auto"/>
        <w:right w:val="none" w:sz="0" w:space="0" w:color="auto"/>
      </w:divBdr>
    </w:div>
    <w:div w:id="1906182353">
      <w:bodyDiv w:val="1"/>
      <w:marLeft w:val="0"/>
      <w:marRight w:val="0"/>
      <w:marTop w:val="0"/>
      <w:marBottom w:val="0"/>
      <w:divBdr>
        <w:top w:val="none" w:sz="0" w:space="0" w:color="auto"/>
        <w:left w:val="none" w:sz="0" w:space="0" w:color="auto"/>
        <w:bottom w:val="none" w:sz="0" w:space="0" w:color="auto"/>
        <w:right w:val="none" w:sz="0" w:space="0" w:color="auto"/>
      </w:divBdr>
    </w:div>
    <w:div w:id="1995449156">
      <w:bodyDiv w:val="1"/>
      <w:marLeft w:val="0"/>
      <w:marRight w:val="0"/>
      <w:marTop w:val="0"/>
      <w:marBottom w:val="0"/>
      <w:divBdr>
        <w:top w:val="none" w:sz="0" w:space="0" w:color="auto"/>
        <w:left w:val="none" w:sz="0" w:space="0" w:color="auto"/>
        <w:bottom w:val="none" w:sz="0" w:space="0" w:color="auto"/>
        <w:right w:val="none" w:sz="0" w:space="0" w:color="auto"/>
      </w:divBdr>
    </w:div>
    <w:div w:id="20832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D391A-C89A-435E-9EE2-DB083036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Mertes, Ian Benjamin</dc:creator>
  <cp:keywords/>
  <dc:description/>
  <cp:lastModifiedBy>owner</cp:lastModifiedBy>
  <cp:revision>54</cp:revision>
  <cp:lastPrinted>2019-06-27T18:31:00Z</cp:lastPrinted>
  <dcterms:created xsi:type="dcterms:W3CDTF">2019-07-03T20:28:00Z</dcterms:created>
  <dcterms:modified xsi:type="dcterms:W3CDTF">2019-09-18T03:55:00Z</dcterms:modified>
</cp:coreProperties>
</file>