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</w:pPr>
      <w:bookmarkStart w:id="0" w:name="_GoBack"/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3960495" cy="2364105"/>
            <wp:effectExtent l="0" t="0" r="1905" b="1714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t>Figure S1: Additional information on FITC-VHP-Fe</w:t>
      </w: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t>@SiO</w:t>
      </w: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vertAlign w:val="subscript"/>
          <w:lang w:val="en-US" w:eastAsia="zh-CN" w:bidi="ar"/>
        </w:rPr>
        <w:t>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Arial" w:hAnsi="Arial" w:eastAsia="宋体" w:cs="Arial"/>
          <w:color w:val="333333"/>
          <w:szCs w:val="21"/>
          <w:shd w:val="clear" w:fill="F7F8FA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(a) DLS results showed that the potential of Fe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@SiO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 was approximately  +21.6±0.6mv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(b) UV-Vis showed that FITC-VHP-Fe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@SiO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bscript"/>
          <w:lang w:val="en-US" w:eastAsia="zh-CN" w:bidi="ar"/>
        </w:rPr>
        <w:t xml:space="preserve">2 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had a wave peak at 220nm.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2241550" cy="2289810"/>
            <wp:effectExtent l="0" t="0" r="6350" b="15240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t>Figure S2: The expression of VCAM-1 in MAECs was increased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(a)The expression of VCAM-1 before and after LPS stimulation was analyzed by western blot assay.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(b)Protein expression level was quantitatively analyzed by image J software.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809615" cy="1657985"/>
            <wp:effectExtent l="0" t="0" r="635" b="1841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kern w:val="2"/>
          <w:sz w:val="24"/>
          <w:szCs w:val="24"/>
          <w:lang w:val="en-US" w:eastAsia="zh-CN" w:bidi="ar"/>
        </w:rPr>
        <w:t>Figure S3 : Establishment of atherosclerosis model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Blood biochemical indexes(a) and HE staining (b)of C57BL/6 mice fed with normal diet for 20weeks and ApoE-/- mice fed with high cholesterol diet for 20weeks.</w:t>
      </w:r>
    </w:p>
    <w:p/>
    <w:sectPr>
      <w:pgSz w:w="12240" w:h="15840"/>
      <w:pgMar w:top="1440" w:right="1800" w:bottom="1440" w:left="1800" w:header="720" w:footer="720" w:gutter="0"/>
      <w:paperSrc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F9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xuwan</dc:creator>
  <cp:lastModifiedBy>A-grape~</cp:lastModifiedBy>
  <dcterms:modified xsi:type="dcterms:W3CDTF">2019-04-22T14:29:00Z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