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1F07AD" w14:textId="53BDC1DB" w:rsidR="00CE31BE" w:rsidRPr="00CE31BE" w:rsidRDefault="00CE31BE" w:rsidP="00A04F8A">
      <w:pPr>
        <w:rPr>
          <w:rFonts w:ascii="Times New Roman" w:hAnsi="Times New Roman" w:cs="Times New Roman"/>
          <w:b/>
          <w:sz w:val="28"/>
        </w:rPr>
      </w:pPr>
      <w:r w:rsidRPr="00CE31BE">
        <w:rPr>
          <w:rFonts w:ascii="Times New Roman" w:hAnsi="Times New Roman" w:cs="Times New Roman"/>
          <w:b/>
          <w:sz w:val="28"/>
        </w:rPr>
        <w:t>Supplemental Material</w:t>
      </w:r>
      <w:bookmarkStart w:id="0" w:name="_GoBack"/>
      <w:bookmarkEnd w:id="0"/>
    </w:p>
    <w:p w14:paraId="555B850F" w14:textId="77777777" w:rsidR="00A51341" w:rsidRPr="00A04F8A" w:rsidRDefault="00A04F8A" w:rsidP="00A04F8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04F8A">
        <w:rPr>
          <w:rFonts w:ascii="Times New Roman" w:hAnsi="Times New Roman" w:cs="Times New Roman"/>
          <w:b/>
          <w:sz w:val="24"/>
        </w:rPr>
        <w:t xml:space="preserve">Sensitivity Analysis on Different </w:t>
      </w:r>
      <w:r w:rsidR="00A7385C">
        <w:rPr>
          <w:rFonts w:ascii="Times New Roman" w:hAnsi="Times New Roman" w:cs="Times New Roman"/>
          <w:b/>
          <w:sz w:val="24"/>
        </w:rPr>
        <w:t xml:space="preserve">Upper </w:t>
      </w:r>
      <w:r w:rsidRPr="00A04F8A">
        <w:rPr>
          <w:rFonts w:ascii="Times New Roman" w:hAnsi="Times New Roman" w:cs="Times New Roman"/>
          <w:b/>
          <w:sz w:val="24"/>
        </w:rPr>
        <w:t>Age Limit</w:t>
      </w:r>
    </w:p>
    <w:p w14:paraId="330C6AF7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34BC5BFE" w14:textId="585096B2" w:rsidR="00A04F8A" w:rsidRPr="009E42F5" w:rsidRDefault="00A7385C" w:rsidP="00E4412A">
      <w:pPr>
        <w:spacing w:after="0" w:line="360" w:lineRule="auto"/>
        <w:ind w:firstLine="4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</w:t>
      </w:r>
      <w:r w:rsidR="00A04F8A" w:rsidRPr="009E42F5">
        <w:rPr>
          <w:rFonts w:ascii="Times New Roman" w:hAnsi="Times New Roman" w:cs="Times New Roman"/>
          <w:sz w:val="21"/>
          <w:szCs w:val="21"/>
        </w:rPr>
        <w:t>o verify the robustness of our key findings</w:t>
      </w:r>
      <w:r>
        <w:rPr>
          <w:rFonts w:ascii="Times New Roman" w:hAnsi="Times New Roman" w:cs="Times New Roman"/>
          <w:sz w:val="21"/>
          <w:szCs w:val="21"/>
        </w:rPr>
        <w:t xml:space="preserve"> to age inclusion criteria</w:t>
      </w:r>
      <w:r w:rsidR="00A04F8A" w:rsidRPr="009E42F5">
        <w:rPr>
          <w:rFonts w:ascii="Times New Roman" w:hAnsi="Times New Roman" w:cs="Times New Roman"/>
          <w:sz w:val="21"/>
          <w:szCs w:val="21"/>
        </w:rPr>
        <w:t xml:space="preserve">, we conducted a sensitivity analysis to determine whether </w:t>
      </w:r>
      <w:r>
        <w:rPr>
          <w:rFonts w:ascii="Times New Roman" w:hAnsi="Times New Roman" w:cs="Times New Roman"/>
          <w:sz w:val="21"/>
          <w:szCs w:val="21"/>
        </w:rPr>
        <w:t xml:space="preserve">limiting the analysis to those patients younger than 18 years old produced different findings. We found no differences from those in the primary analysis (Figures 1 and 2). Specifically, </w:t>
      </w:r>
      <w:r w:rsidR="00A04F8A" w:rsidRPr="009E42F5">
        <w:rPr>
          <w:rFonts w:ascii="Times New Roman" w:hAnsi="Times New Roman" w:cs="Times New Roman"/>
          <w:sz w:val="21"/>
          <w:szCs w:val="21"/>
        </w:rPr>
        <w:t xml:space="preserve">earlier </w:t>
      </w:r>
      <w:r>
        <w:rPr>
          <w:rFonts w:ascii="Times New Roman" w:hAnsi="Times New Roman" w:cs="Times New Roman"/>
          <w:sz w:val="21"/>
          <w:szCs w:val="21"/>
        </w:rPr>
        <w:t xml:space="preserve">sequence </w:t>
      </w:r>
      <w:r w:rsidR="00A04F8A" w:rsidRPr="009E42F5">
        <w:rPr>
          <w:rFonts w:ascii="Times New Roman" w:hAnsi="Times New Roman" w:cs="Times New Roman"/>
          <w:sz w:val="21"/>
          <w:szCs w:val="21"/>
        </w:rPr>
        <w:t xml:space="preserve">placement of administering corticosteroids to pediatric asthma patients was positively correlated with better treatment outcomes – shorter length of stay and lower admission rate. </w:t>
      </w:r>
    </w:p>
    <w:p w14:paraId="3921F105" w14:textId="77777777" w:rsidR="00A04F8A" w:rsidRPr="009E42F5" w:rsidRDefault="00A04F8A" w:rsidP="00A04F8A">
      <w:pPr>
        <w:spacing w:line="360" w:lineRule="auto"/>
        <w:ind w:firstLine="400"/>
        <w:rPr>
          <w:rFonts w:ascii="Times New Roman" w:hAnsi="Times New Roman" w:cs="Times New Roman"/>
          <w:sz w:val="21"/>
          <w:szCs w:val="21"/>
        </w:rPr>
      </w:pPr>
      <w:r w:rsidRPr="009E42F5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66282D2C" w14:textId="77777777" w:rsidR="00A04F8A" w:rsidRPr="009E42F5" w:rsidRDefault="00A04F8A" w:rsidP="00A04F8A">
      <w:pPr>
        <w:keepNext/>
        <w:spacing w:line="360" w:lineRule="auto"/>
        <w:jc w:val="center"/>
      </w:pPr>
      <w:r w:rsidRPr="009E42F5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607B0B3A" wp14:editId="6B6A95D2">
            <wp:extent cx="4398727" cy="3147238"/>
            <wp:effectExtent l="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859" cy="31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E174" w14:textId="77777777" w:rsidR="00A04F8A" w:rsidRPr="00A04F8A" w:rsidRDefault="00A04F8A" w:rsidP="00A04F8A">
      <w:pPr>
        <w:pStyle w:val="a5"/>
        <w:jc w:val="center"/>
        <w:rPr>
          <w:rFonts w:ascii="Times New Roman" w:hAnsi="Times New Roman" w:cs="Times New Roman"/>
          <w:b/>
          <w:color w:val="auto"/>
          <w:sz w:val="21"/>
          <w:szCs w:val="21"/>
        </w:rPr>
      </w:pPr>
      <w:r w:rsidRPr="00A04F8A">
        <w:rPr>
          <w:rFonts w:ascii="Times New Roman" w:hAnsi="Times New Roman" w:cs="Times New Roman"/>
          <w:b/>
          <w:color w:val="auto"/>
        </w:rPr>
        <w:t xml:space="preserve">Figure </w:t>
      </w:r>
      <w:r w:rsidRPr="00A04F8A">
        <w:rPr>
          <w:rFonts w:ascii="Times New Roman" w:hAnsi="Times New Roman" w:cs="Times New Roman"/>
          <w:b/>
          <w:color w:val="auto"/>
        </w:rPr>
        <w:fldChar w:fldCharType="begin"/>
      </w:r>
      <w:r w:rsidRPr="00A04F8A">
        <w:rPr>
          <w:rFonts w:ascii="Times New Roman" w:hAnsi="Times New Roman" w:cs="Times New Roman"/>
          <w:b/>
          <w:color w:val="auto"/>
        </w:rPr>
        <w:instrText xml:space="preserve"> SEQ Figure \* ARABIC </w:instrText>
      </w:r>
      <w:r w:rsidRPr="00A04F8A">
        <w:rPr>
          <w:rFonts w:ascii="Times New Roman" w:hAnsi="Times New Roman" w:cs="Times New Roman"/>
          <w:b/>
          <w:color w:val="auto"/>
        </w:rPr>
        <w:fldChar w:fldCharType="separate"/>
      </w:r>
      <w:r w:rsidRPr="00A04F8A">
        <w:rPr>
          <w:rFonts w:ascii="Times New Roman" w:hAnsi="Times New Roman" w:cs="Times New Roman"/>
          <w:b/>
          <w:noProof/>
          <w:color w:val="auto"/>
        </w:rPr>
        <w:t>1</w:t>
      </w:r>
      <w:r w:rsidRPr="00A04F8A">
        <w:rPr>
          <w:rFonts w:ascii="Times New Roman" w:hAnsi="Times New Roman" w:cs="Times New Roman"/>
          <w:b/>
          <w:color w:val="auto"/>
        </w:rPr>
        <w:fldChar w:fldCharType="end"/>
      </w:r>
      <w:r w:rsidRPr="00A04F8A">
        <w:rPr>
          <w:rFonts w:ascii="Times New Roman" w:hAnsi="Times New Roman" w:cs="Times New Roman"/>
          <w:b/>
          <w:color w:val="auto"/>
        </w:rPr>
        <w:t>. The association between the TTFS and treatment outcomes</w:t>
      </w:r>
    </w:p>
    <w:p w14:paraId="492AEB44" w14:textId="77777777" w:rsidR="00A04F8A" w:rsidRPr="009E42F5" w:rsidRDefault="00A04F8A" w:rsidP="00A04F8A">
      <w:pPr>
        <w:keepNext/>
        <w:spacing w:line="360" w:lineRule="auto"/>
        <w:jc w:val="center"/>
      </w:pPr>
      <w:r w:rsidRPr="009E42F5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73028CC0" wp14:editId="43DE9E81">
            <wp:extent cx="4303443" cy="3125972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0163" cy="316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7E87" w14:textId="77777777" w:rsidR="00A04F8A" w:rsidRPr="00A04F8A" w:rsidRDefault="00A04F8A" w:rsidP="00A04F8A">
      <w:pPr>
        <w:pStyle w:val="a5"/>
        <w:jc w:val="center"/>
        <w:rPr>
          <w:rFonts w:ascii="Times New Roman" w:hAnsi="Times New Roman" w:cs="Times New Roman"/>
          <w:b/>
          <w:color w:val="auto"/>
          <w:sz w:val="21"/>
          <w:szCs w:val="21"/>
        </w:rPr>
      </w:pPr>
      <w:r w:rsidRPr="00A04F8A">
        <w:rPr>
          <w:rFonts w:ascii="Times New Roman" w:hAnsi="Times New Roman" w:cs="Times New Roman"/>
          <w:b/>
          <w:color w:val="auto"/>
        </w:rPr>
        <w:t xml:space="preserve">Figure </w:t>
      </w:r>
      <w:r w:rsidRPr="00A04F8A">
        <w:rPr>
          <w:rFonts w:ascii="Times New Roman" w:hAnsi="Times New Roman" w:cs="Times New Roman"/>
          <w:b/>
          <w:color w:val="auto"/>
        </w:rPr>
        <w:fldChar w:fldCharType="begin"/>
      </w:r>
      <w:r w:rsidRPr="00A04F8A">
        <w:rPr>
          <w:rFonts w:ascii="Times New Roman" w:hAnsi="Times New Roman" w:cs="Times New Roman"/>
          <w:b/>
          <w:color w:val="auto"/>
        </w:rPr>
        <w:instrText xml:space="preserve"> SEQ Figure \* ARABIC </w:instrText>
      </w:r>
      <w:r w:rsidRPr="00A04F8A">
        <w:rPr>
          <w:rFonts w:ascii="Times New Roman" w:hAnsi="Times New Roman" w:cs="Times New Roman"/>
          <w:b/>
          <w:color w:val="auto"/>
        </w:rPr>
        <w:fldChar w:fldCharType="separate"/>
      </w:r>
      <w:r w:rsidRPr="00A04F8A">
        <w:rPr>
          <w:rFonts w:ascii="Times New Roman" w:hAnsi="Times New Roman" w:cs="Times New Roman"/>
          <w:b/>
          <w:noProof/>
          <w:color w:val="auto"/>
        </w:rPr>
        <w:t>2</w:t>
      </w:r>
      <w:r w:rsidRPr="00A04F8A">
        <w:rPr>
          <w:rFonts w:ascii="Times New Roman" w:hAnsi="Times New Roman" w:cs="Times New Roman"/>
          <w:b/>
          <w:color w:val="auto"/>
        </w:rPr>
        <w:fldChar w:fldCharType="end"/>
      </w:r>
      <w:r w:rsidRPr="00A04F8A">
        <w:rPr>
          <w:rFonts w:ascii="Times New Roman" w:hAnsi="Times New Roman" w:cs="Times New Roman"/>
          <w:b/>
          <w:color w:val="auto"/>
        </w:rPr>
        <w:t>. The association between the sequence placement of corticosteroids and treatment outcomes</w:t>
      </w:r>
    </w:p>
    <w:p w14:paraId="5852A6F5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75DBDB65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0E7C9C18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5D7CF57F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1DE2EC7E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25977212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3DFFDD47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1BD8C43D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5ED0AA9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51BEDF91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2293A647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155EBB27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E3E73F9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CF4091F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90ED93A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79B086B8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042D3C54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5670232D" w14:textId="21A697CE" w:rsidR="00A04F8A" w:rsidRPr="00A04F8A" w:rsidRDefault="00A7385C" w:rsidP="00DD4713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Sensitivity </w:t>
      </w:r>
      <w:r w:rsidR="00A04F8A" w:rsidRPr="00A04F8A">
        <w:rPr>
          <w:rFonts w:ascii="Times New Roman" w:hAnsi="Times New Roman" w:cs="Times New Roman"/>
          <w:b/>
          <w:sz w:val="24"/>
        </w:rPr>
        <w:t xml:space="preserve">Analysis </w:t>
      </w:r>
      <w:r w:rsidR="008A465E">
        <w:rPr>
          <w:rFonts w:ascii="Times New Roman" w:hAnsi="Times New Roman" w:cs="Times New Roman"/>
          <w:b/>
          <w:sz w:val="24"/>
        </w:rPr>
        <w:t xml:space="preserve">in First Visits </w:t>
      </w:r>
      <w:r>
        <w:rPr>
          <w:rFonts w:ascii="Times New Roman" w:hAnsi="Times New Roman" w:cs="Times New Roman"/>
          <w:b/>
          <w:sz w:val="24"/>
        </w:rPr>
        <w:t>Excluding All But One Visit for Patients with Multiple Visits</w:t>
      </w:r>
      <w:r w:rsidRPr="00A04F8A">
        <w:rPr>
          <w:rFonts w:ascii="Times New Roman" w:hAnsi="Times New Roman" w:cs="Times New Roman"/>
          <w:b/>
          <w:sz w:val="24"/>
        </w:rPr>
        <w:t xml:space="preserve"> </w:t>
      </w:r>
    </w:p>
    <w:p w14:paraId="27026C30" w14:textId="77777777" w:rsidR="00A04F8A" w:rsidRDefault="00A04F8A" w:rsidP="00A04F8A">
      <w:pPr>
        <w:rPr>
          <w:rFonts w:ascii="Times New Roman" w:hAnsi="Times New Roman" w:cs="Times New Roman"/>
          <w:sz w:val="21"/>
          <w:szCs w:val="21"/>
        </w:rPr>
      </w:pPr>
    </w:p>
    <w:p w14:paraId="645D3D3F" w14:textId="62789CD0" w:rsidR="00D46466" w:rsidRPr="009E42F5" w:rsidRDefault="00D46466" w:rsidP="00E4412A">
      <w:pPr>
        <w:spacing w:after="0" w:line="360" w:lineRule="auto"/>
        <w:ind w:firstLine="400"/>
        <w:rPr>
          <w:rFonts w:ascii="Times New Roman" w:hAnsi="Times New Roman" w:cs="Times New Roman"/>
          <w:sz w:val="21"/>
          <w:szCs w:val="21"/>
        </w:rPr>
      </w:pPr>
      <w:r w:rsidRPr="009E42F5">
        <w:rPr>
          <w:rFonts w:ascii="Times New Roman" w:hAnsi="Times New Roman" w:cs="Times New Roman"/>
          <w:sz w:val="21"/>
          <w:szCs w:val="21"/>
        </w:rPr>
        <w:t>Because we used a large</w:t>
      </w:r>
      <w:r w:rsidR="008A465E">
        <w:rPr>
          <w:rFonts w:ascii="Times New Roman" w:hAnsi="Times New Roman" w:cs="Times New Roman"/>
          <w:sz w:val="21"/>
          <w:szCs w:val="21"/>
        </w:rPr>
        <w:t xml:space="preserve"> timeframe (data </w:t>
      </w:r>
      <w:r w:rsidRPr="009E42F5">
        <w:rPr>
          <w:rFonts w:ascii="Times New Roman" w:hAnsi="Times New Roman" w:cs="Times New Roman"/>
          <w:sz w:val="21"/>
          <w:szCs w:val="21"/>
        </w:rPr>
        <w:t xml:space="preserve">collected 2009 – 2013), </w:t>
      </w:r>
      <w:r>
        <w:rPr>
          <w:rFonts w:ascii="Times New Roman" w:hAnsi="Times New Roman" w:cs="Times New Roman"/>
          <w:sz w:val="21"/>
          <w:szCs w:val="21"/>
        </w:rPr>
        <w:t>a patient can enter the ED multiple times</w:t>
      </w:r>
      <w:r w:rsidRPr="009E42F5">
        <w:rPr>
          <w:rFonts w:ascii="Times New Roman" w:hAnsi="Times New Roman" w:cs="Times New Roman"/>
          <w:sz w:val="21"/>
          <w:szCs w:val="21"/>
        </w:rPr>
        <w:t>.</w:t>
      </w:r>
      <w:r w:rsidR="00A7385C">
        <w:rPr>
          <w:rFonts w:ascii="Times New Roman" w:hAnsi="Times New Roman" w:cs="Times New Roman"/>
          <w:sz w:val="21"/>
          <w:szCs w:val="21"/>
        </w:rPr>
        <w:t xml:space="preserve"> </w:t>
      </w:r>
      <w:r w:rsidRPr="009E42F5">
        <w:rPr>
          <w:rFonts w:ascii="Times New Roman" w:hAnsi="Times New Roman" w:cs="Times New Roman"/>
          <w:sz w:val="21"/>
          <w:szCs w:val="21"/>
        </w:rPr>
        <w:t xml:space="preserve">To examine the effect of </w:t>
      </w:r>
      <w:r>
        <w:rPr>
          <w:rFonts w:ascii="Times New Roman" w:hAnsi="Times New Roman" w:cs="Times New Roman"/>
          <w:sz w:val="21"/>
          <w:szCs w:val="21"/>
        </w:rPr>
        <w:t>multiple visits by the same patient</w:t>
      </w:r>
      <w:r w:rsidRPr="009E42F5">
        <w:rPr>
          <w:rFonts w:ascii="Times New Roman" w:hAnsi="Times New Roman" w:cs="Times New Roman"/>
          <w:sz w:val="21"/>
          <w:szCs w:val="21"/>
        </w:rPr>
        <w:t>, we prepared a new dataset</w:t>
      </w:r>
      <w:r w:rsidR="00EF0A42">
        <w:rPr>
          <w:rFonts w:ascii="Times New Roman" w:hAnsi="Times New Roman" w:cs="Times New Roman"/>
          <w:sz w:val="21"/>
          <w:szCs w:val="21"/>
        </w:rPr>
        <w:t>.</w:t>
      </w:r>
      <w:r w:rsidR="00A7385C">
        <w:rPr>
          <w:rFonts w:ascii="Times New Roman" w:hAnsi="Times New Roman" w:cs="Times New Roman"/>
          <w:sz w:val="21"/>
          <w:szCs w:val="21"/>
        </w:rPr>
        <w:t xml:space="preserve"> For patients with multiple visits, </w:t>
      </w:r>
      <w:r w:rsidR="00E4412A">
        <w:rPr>
          <w:rFonts w:ascii="Times New Roman" w:hAnsi="Times New Roman" w:cs="Times New Roman" w:hint="eastAsia"/>
          <w:sz w:val="21"/>
          <w:szCs w:val="21"/>
        </w:rPr>
        <w:t>w</w:t>
      </w:r>
      <w:r w:rsidR="00E4412A">
        <w:rPr>
          <w:rFonts w:ascii="Times New Roman" w:hAnsi="Times New Roman" w:cs="Times New Roman"/>
          <w:sz w:val="21"/>
          <w:szCs w:val="21"/>
        </w:rPr>
        <w:t>e randomly selected one visit per patient</w:t>
      </w:r>
      <w:r w:rsidR="00A7385C">
        <w:rPr>
          <w:rFonts w:ascii="Times New Roman" w:hAnsi="Times New Roman" w:cs="Times New Roman"/>
          <w:sz w:val="21"/>
          <w:szCs w:val="21"/>
        </w:rPr>
        <w:t>.</w:t>
      </w:r>
      <w:r w:rsidRPr="009E42F5">
        <w:rPr>
          <w:rFonts w:ascii="Times New Roman" w:hAnsi="Times New Roman" w:cs="Times New Roman"/>
          <w:sz w:val="21"/>
          <w:szCs w:val="21"/>
        </w:rPr>
        <w:t xml:space="preserve"> After eliminating </w:t>
      </w:r>
      <w:r w:rsidR="008A465E">
        <w:rPr>
          <w:rFonts w:ascii="Times New Roman" w:hAnsi="Times New Roman" w:cs="Times New Roman"/>
          <w:sz w:val="21"/>
          <w:szCs w:val="21"/>
        </w:rPr>
        <w:t xml:space="preserve">subsequent </w:t>
      </w:r>
      <w:r w:rsidRPr="009E42F5">
        <w:rPr>
          <w:rFonts w:ascii="Times New Roman" w:hAnsi="Times New Roman" w:cs="Times New Roman"/>
          <w:sz w:val="21"/>
          <w:szCs w:val="21"/>
        </w:rPr>
        <w:t>encounters, we conducted examine</w:t>
      </w:r>
      <w:r w:rsidR="008A465E">
        <w:rPr>
          <w:rFonts w:ascii="Times New Roman" w:hAnsi="Times New Roman" w:cs="Times New Roman"/>
          <w:sz w:val="21"/>
          <w:szCs w:val="21"/>
        </w:rPr>
        <w:t>d</w:t>
      </w:r>
      <w:r w:rsidRPr="009E42F5">
        <w:rPr>
          <w:rFonts w:ascii="Times New Roman" w:hAnsi="Times New Roman" w:cs="Times New Roman"/>
          <w:sz w:val="21"/>
          <w:szCs w:val="21"/>
        </w:rPr>
        <w:t xml:space="preserve"> whether</w:t>
      </w:r>
      <w:r w:rsidR="008A465E">
        <w:rPr>
          <w:rFonts w:ascii="Times New Roman" w:hAnsi="Times New Roman" w:cs="Times New Roman"/>
          <w:sz w:val="21"/>
          <w:szCs w:val="21"/>
        </w:rPr>
        <w:t xml:space="preserve"> </w:t>
      </w:r>
      <w:r w:rsidR="00E4412A">
        <w:rPr>
          <w:rFonts w:ascii="Times New Roman" w:hAnsi="Times New Roman" w:cs="Times New Roman"/>
          <w:sz w:val="21"/>
          <w:szCs w:val="21"/>
        </w:rPr>
        <w:t xml:space="preserve">multiple </w:t>
      </w:r>
      <w:r w:rsidRPr="009E42F5">
        <w:rPr>
          <w:rFonts w:ascii="Times New Roman" w:hAnsi="Times New Roman" w:cs="Times New Roman"/>
          <w:sz w:val="21"/>
          <w:szCs w:val="21"/>
        </w:rPr>
        <w:t>encounters</w:t>
      </w:r>
      <w:r w:rsidR="008A465E">
        <w:rPr>
          <w:rFonts w:ascii="Times New Roman" w:hAnsi="Times New Roman" w:cs="Times New Roman"/>
          <w:sz w:val="21"/>
          <w:szCs w:val="21"/>
        </w:rPr>
        <w:t xml:space="preserve"> (multiple entries per patient)</w:t>
      </w:r>
      <w:r w:rsidRPr="009E42F5">
        <w:rPr>
          <w:rFonts w:ascii="Times New Roman" w:hAnsi="Times New Roman" w:cs="Times New Roman"/>
          <w:sz w:val="21"/>
          <w:szCs w:val="21"/>
        </w:rPr>
        <w:t xml:space="preserve"> affected our key research findings</w:t>
      </w:r>
      <w:r w:rsidR="00E4412A">
        <w:rPr>
          <w:rFonts w:ascii="Times New Roman" w:hAnsi="Times New Roman" w:cs="Times New Roman"/>
          <w:sz w:val="21"/>
          <w:szCs w:val="21"/>
        </w:rPr>
        <w:t xml:space="preserve"> on the remaining dataset (</w:t>
      </w:r>
      <w:r w:rsidR="008A465E">
        <w:rPr>
          <w:rFonts w:ascii="Times New Roman" w:hAnsi="Times New Roman" w:cs="Times New Roman"/>
          <w:sz w:val="21"/>
          <w:szCs w:val="21"/>
        </w:rPr>
        <w:t>930</w:t>
      </w:r>
      <w:r w:rsidR="00E4412A">
        <w:rPr>
          <w:rFonts w:ascii="Times New Roman" w:hAnsi="Times New Roman" w:cs="Times New Roman"/>
          <w:sz w:val="21"/>
          <w:szCs w:val="21"/>
        </w:rPr>
        <w:t xml:space="preserve"> encounter records</w:t>
      </w:r>
      <w:r w:rsidR="008A465E">
        <w:rPr>
          <w:rFonts w:ascii="Times New Roman" w:hAnsi="Times New Roman" w:cs="Times New Roman"/>
          <w:sz w:val="21"/>
          <w:szCs w:val="21"/>
        </w:rPr>
        <w:t>)</w:t>
      </w:r>
      <w:r w:rsidRPr="009E42F5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68038602" w14:textId="6E37CEF0" w:rsidR="00D46466" w:rsidRDefault="005F6027" w:rsidP="00D46466">
      <w:pPr>
        <w:spacing w:after="0" w:line="360" w:lineRule="auto"/>
        <w:ind w:firstLine="4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</w:t>
      </w:r>
      <w:r w:rsidR="00D46466" w:rsidRPr="009E42F5">
        <w:rPr>
          <w:rFonts w:ascii="Times New Roman" w:hAnsi="Times New Roman" w:cs="Times New Roman"/>
          <w:sz w:val="21"/>
          <w:szCs w:val="21"/>
        </w:rPr>
        <w:t xml:space="preserve">imilar to the </w:t>
      </w:r>
      <w:r w:rsidR="00A7385C">
        <w:rPr>
          <w:rFonts w:ascii="Times New Roman" w:hAnsi="Times New Roman" w:cs="Times New Roman"/>
          <w:sz w:val="21"/>
          <w:szCs w:val="21"/>
        </w:rPr>
        <w:t>primary analysis</w:t>
      </w:r>
      <w:r w:rsidR="008A465E">
        <w:rPr>
          <w:rFonts w:ascii="Times New Roman" w:hAnsi="Times New Roman" w:cs="Times New Roman"/>
          <w:sz w:val="21"/>
          <w:szCs w:val="21"/>
        </w:rPr>
        <w:t xml:space="preserve">, </w:t>
      </w:r>
      <w:r w:rsidR="00D46466" w:rsidRPr="009E42F5">
        <w:rPr>
          <w:rFonts w:ascii="Times New Roman" w:hAnsi="Times New Roman" w:cs="Times New Roman"/>
          <w:sz w:val="21"/>
          <w:szCs w:val="21"/>
        </w:rPr>
        <w:t>there still exists a positive correlation between the earlier placement of corticosteroids and better treatment outcomes</w:t>
      </w:r>
      <w:r>
        <w:rPr>
          <w:rFonts w:ascii="Times New Roman" w:hAnsi="Times New Roman" w:cs="Times New Roman"/>
          <w:sz w:val="21"/>
          <w:szCs w:val="21"/>
        </w:rPr>
        <w:t xml:space="preserve"> (Figures 3 and 4)</w:t>
      </w:r>
      <w:r w:rsidR="00D46466" w:rsidRPr="009E42F5">
        <w:rPr>
          <w:rFonts w:ascii="Times New Roman" w:hAnsi="Times New Roman" w:cs="Times New Roman"/>
          <w:sz w:val="21"/>
          <w:szCs w:val="21"/>
        </w:rPr>
        <w:t>.</w:t>
      </w:r>
    </w:p>
    <w:p w14:paraId="6A38D8AF" w14:textId="77777777" w:rsidR="00D46466" w:rsidRPr="009E42F5" w:rsidRDefault="00D46466" w:rsidP="00D46466">
      <w:pPr>
        <w:spacing w:after="0" w:line="360" w:lineRule="auto"/>
        <w:ind w:firstLine="400"/>
        <w:rPr>
          <w:rFonts w:ascii="Times New Roman" w:hAnsi="Times New Roman" w:cs="Times New Roman"/>
          <w:sz w:val="21"/>
          <w:szCs w:val="21"/>
        </w:rPr>
      </w:pPr>
    </w:p>
    <w:p w14:paraId="21DDA93D" w14:textId="77777777" w:rsidR="00D46466" w:rsidRPr="009E42F5" w:rsidRDefault="00D46466" w:rsidP="00D46466">
      <w:pPr>
        <w:spacing w:line="360" w:lineRule="auto"/>
        <w:ind w:firstLine="400"/>
        <w:rPr>
          <w:rFonts w:ascii="Times New Roman" w:hAnsi="Times New Roman" w:cs="Times New Roman"/>
          <w:sz w:val="21"/>
          <w:szCs w:val="21"/>
        </w:rPr>
      </w:pPr>
    </w:p>
    <w:p w14:paraId="4FB23FB5" w14:textId="77777777" w:rsidR="00D46466" w:rsidRPr="009E42F5" w:rsidRDefault="00D46466" w:rsidP="00D46466">
      <w:pPr>
        <w:keepNext/>
        <w:spacing w:line="360" w:lineRule="auto"/>
        <w:jc w:val="center"/>
      </w:pPr>
      <w:r w:rsidRPr="009E42F5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4E73A556" wp14:editId="459AB25A">
            <wp:extent cx="4231758" cy="3120136"/>
            <wp:effectExtent l="0" t="0" r="0" b="4445"/>
            <wp:docPr id="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894" cy="313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E597" w14:textId="77777777" w:rsidR="00D46466" w:rsidRPr="00D46466" w:rsidRDefault="00D46466" w:rsidP="00D46466">
      <w:pPr>
        <w:pStyle w:val="a5"/>
        <w:jc w:val="center"/>
        <w:rPr>
          <w:rFonts w:ascii="Times New Roman" w:hAnsi="Times New Roman" w:cs="Times New Roman"/>
          <w:b/>
          <w:color w:val="auto"/>
          <w:sz w:val="21"/>
          <w:szCs w:val="21"/>
        </w:rPr>
      </w:pPr>
      <w:r w:rsidRPr="00D46466">
        <w:rPr>
          <w:rFonts w:ascii="Times New Roman" w:hAnsi="Times New Roman" w:cs="Times New Roman"/>
          <w:color w:val="auto"/>
        </w:rPr>
        <w:t xml:space="preserve">Figure </w:t>
      </w:r>
      <w:r w:rsidRPr="00D46466">
        <w:rPr>
          <w:rFonts w:ascii="Times New Roman" w:hAnsi="Times New Roman" w:cs="Times New Roman"/>
          <w:b/>
          <w:color w:val="auto"/>
        </w:rPr>
        <w:fldChar w:fldCharType="begin"/>
      </w:r>
      <w:r w:rsidRPr="00D46466">
        <w:rPr>
          <w:rFonts w:ascii="Times New Roman" w:hAnsi="Times New Roman" w:cs="Times New Roman"/>
          <w:color w:val="auto"/>
        </w:rPr>
        <w:instrText xml:space="preserve"> SEQ Figure \* ARABIC </w:instrText>
      </w:r>
      <w:r w:rsidRPr="00D46466">
        <w:rPr>
          <w:rFonts w:ascii="Times New Roman" w:hAnsi="Times New Roman" w:cs="Times New Roman"/>
          <w:b/>
          <w:color w:val="auto"/>
        </w:rPr>
        <w:fldChar w:fldCharType="separate"/>
      </w:r>
      <w:r w:rsidRPr="00D46466">
        <w:rPr>
          <w:rFonts w:ascii="Times New Roman" w:hAnsi="Times New Roman" w:cs="Times New Roman"/>
          <w:noProof/>
          <w:color w:val="auto"/>
        </w:rPr>
        <w:t>3</w:t>
      </w:r>
      <w:r w:rsidRPr="00D46466">
        <w:rPr>
          <w:rFonts w:ascii="Times New Roman" w:hAnsi="Times New Roman" w:cs="Times New Roman"/>
          <w:b/>
          <w:color w:val="auto"/>
        </w:rPr>
        <w:fldChar w:fldCharType="end"/>
      </w:r>
      <w:r w:rsidRPr="00D46466">
        <w:rPr>
          <w:rFonts w:ascii="Times New Roman" w:hAnsi="Times New Roman" w:cs="Times New Roman"/>
          <w:color w:val="auto"/>
        </w:rPr>
        <w:t>. The association between the TTFS and treatment outcomes</w:t>
      </w:r>
    </w:p>
    <w:p w14:paraId="156E7560" w14:textId="77777777" w:rsidR="00D46466" w:rsidRPr="009E42F5" w:rsidRDefault="00D46466" w:rsidP="00D46466">
      <w:pPr>
        <w:keepNext/>
        <w:spacing w:line="360" w:lineRule="auto"/>
        <w:jc w:val="center"/>
      </w:pPr>
      <w:r w:rsidRPr="009E42F5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5AB905EE" wp14:editId="07255022">
            <wp:extent cx="4136065" cy="3059662"/>
            <wp:effectExtent l="0" t="0" r="0" b="7620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4827" cy="30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9B19" w14:textId="77777777" w:rsidR="00A04F8A" w:rsidRPr="00D46466" w:rsidRDefault="00D46466" w:rsidP="00D46466">
      <w:pPr>
        <w:jc w:val="center"/>
        <w:rPr>
          <w:rFonts w:ascii="Times New Roman" w:hAnsi="Times New Roman" w:cs="Times New Roman"/>
          <w:i/>
          <w:sz w:val="18"/>
          <w:szCs w:val="21"/>
        </w:rPr>
      </w:pPr>
      <w:r w:rsidRPr="00D46466">
        <w:rPr>
          <w:rFonts w:ascii="Times New Roman" w:hAnsi="Times New Roman" w:cs="Times New Roman"/>
          <w:i/>
          <w:sz w:val="18"/>
        </w:rPr>
        <w:t xml:space="preserve">Figure </w:t>
      </w:r>
      <w:r w:rsidRPr="00D46466">
        <w:rPr>
          <w:rFonts w:ascii="Times New Roman" w:hAnsi="Times New Roman" w:cs="Times New Roman"/>
          <w:b/>
          <w:i/>
          <w:sz w:val="18"/>
        </w:rPr>
        <w:fldChar w:fldCharType="begin"/>
      </w:r>
      <w:r w:rsidRPr="00D46466">
        <w:rPr>
          <w:rFonts w:ascii="Times New Roman" w:hAnsi="Times New Roman" w:cs="Times New Roman"/>
          <w:i/>
          <w:sz w:val="18"/>
        </w:rPr>
        <w:instrText xml:space="preserve"> SEQ Figure \* ARABIC </w:instrText>
      </w:r>
      <w:r w:rsidRPr="00D46466">
        <w:rPr>
          <w:rFonts w:ascii="Times New Roman" w:hAnsi="Times New Roman" w:cs="Times New Roman"/>
          <w:b/>
          <w:i/>
          <w:sz w:val="18"/>
        </w:rPr>
        <w:fldChar w:fldCharType="separate"/>
      </w:r>
      <w:r w:rsidRPr="00D46466">
        <w:rPr>
          <w:rFonts w:ascii="Times New Roman" w:hAnsi="Times New Roman" w:cs="Times New Roman"/>
          <w:i/>
          <w:noProof/>
          <w:sz w:val="18"/>
        </w:rPr>
        <w:t>4</w:t>
      </w:r>
      <w:r w:rsidRPr="00D46466">
        <w:rPr>
          <w:rFonts w:ascii="Times New Roman" w:hAnsi="Times New Roman" w:cs="Times New Roman"/>
          <w:b/>
          <w:i/>
          <w:sz w:val="18"/>
        </w:rPr>
        <w:fldChar w:fldCharType="end"/>
      </w:r>
      <w:r w:rsidRPr="00D46466">
        <w:rPr>
          <w:rFonts w:ascii="Times New Roman" w:hAnsi="Times New Roman" w:cs="Times New Roman"/>
          <w:i/>
          <w:sz w:val="18"/>
        </w:rPr>
        <w:t>. The association between the sequence placement of corticosteroids and treatment outcomes</w:t>
      </w:r>
    </w:p>
    <w:p w14:paraId="24DFE2E7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3C108312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0812A7F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564825A0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28D83CA6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0A9B77C3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094E23F3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15C5C5EC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5F469B64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32C42F0F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2B4E2339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FAA1433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AD5E834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2B3A0083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6B327189" w14:textId="77777777" w:rsidR="00D46466" w:rsidRDefault="00D46466" w:rsidP="00A04F8A">
      <w:pPr>
        <w:rPr>
          <w:rFonts w:ascii="Times New Roman" w:hAnsi="Times New Roman" w:cs="Times New Roman"/>
        </w:rPr>
      </w:pPr>
    </w:p>
    <w:p w14:paraId="093A8DB5" w14:textId="77777777" w:rsidR="00D46466" w:rsidRDefault="00D46466" w:rsidP="00A04F8A">
      <w:pPr>
        <w:rPr>
          <w:rFonts w:ascii="Times New Roman" w:hAnsi="Times New Roman" w:cs="Times New Roman"/>
        </w:rPr>
      </w:pPr>
    </w:p>
    <w:p w14:paraId="265B12D3" w14:textId="77777777" w:rsidR="00A04F8A" w:rsidRDefault="00A04F8A" w:rsidP="00A04F8A">
      <w:pPr>
        <w:rPr>
          <w:rFonts w:ascii="Times New Roman" w:hAnsi="Times New Roman" w:cs="Times New Roman"/>
        </w:rPr>
      </w:pPr>
    </w:p>
    <w:p w14:paraId="0EEDF9BA" w14:textId="77777777" w:rsidR="00A04F8A" w:rsidRPr="00A04F8A" w:rsidRDefault="00A04F8A" w:rsidP="00A04F8A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A04F8A">
        <w:rPr>
          <w:rFonts w:ascii="Times New Roman" w:hAnsi="Times New Roman" w:cs="Times New Roman"/>
          <w:b/>
          <w:sz w:val="24"/>
        </w:rPr>
        <w:lastRenderedPageBreak/>
        <w:t xml:space="preserve">Analysis </w:t>
      </w:r>
      <w:r>
        <w:rPr>
          <w:rFonts w:ascii="Times New Roman" w:hAnsi="Times New Roman" w:cs="Times New Roman"/>
          <w:b/>
          <w:sz w:val="24"/>
        </w:rPr>
        <w:t>on the group of ESI 1 and 5</w:t>
      </w:r>
    </w:p>
    <w:p w14:paraId="5A921C93" w14:textId="77777777" w:rsidR="00A04F8A" w:rsidRDefault="00A04F8A" w:rsidP="00A04F8A">
      <w:pPr>
        <w:rPr>
          <w:rFonts w:ascii="Times New Roman" w:hAnsi="Times New Roman" w:cs="Times New Roman"/>
          <w:sz w:val="21"/>
          <w:szCs w:val="21"/>
        </w:rPr>
      </w:pPr>
    </w:p>
    <w:p w14:paraId="325F2299" w14:textId="61C3F2B5" w:rsidR="00D46466" w:rsidRPr="009E42F5" w:rsidRDefault="00A04F8A" w:rsidP="00D46466">
      <w:pPr>
        <w:spacing w:line="360" w:lineRule="auto"/>
        <w:ind w:firstLine="40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W</w:t>
      </w:r>
      <w:r w:rsidRPr="009E42F5">
        <w:rPr>
          <w:rFonts w:ascii="Times New Roman" w:hAnsi="Times New Roman" w:cs="Times New Roman"/>
          <w:sz w:val="21"/>
          <w:szCs w:val="21"/>
        </w:rPr>
        <w:t xml:space="preserve">e </w:t>
      </w:r>
      <w:r w:rsidR="00D46466" w:rsidRPr="009E42F5">
        <w:rPr>
          <w:rFonts w:ascii="Times New Roman" w:hAnsi="Times New Roman" w:cs="Times New Roman"/>
          <w:sz w:val="21"/>
          <w:szCs w:val="21"/>
        </w:rPr>
        <w:t xml:space="preserve">excluded ESI 1 and ESI 5 (the most and the least urgent, respectively) data because of the low counts compared with populations in other ESI levels. Specifically, the number of encounters belonging to ESI 1 and 5 </w:t>
      </w:r>
      <w:r w:rsidR="00A7385C">
        <w:rPr>
          <w:rFonts w:ascii="Times New Roman" w:hAnsi="Times New Roman" w:cs="Times New Roman"/>
          <w:sz w:val="21"/>
          <w:szCs w:val="21"/>
        </w:rPr>
        <w:t>were</w:t>
      </w:r>
      <w:r w:rsidR="00A7385C" w:rsidRPr="009E42F5">
        <w:rPr>
          <w:rFonts w:ascii="Times New Roman" w:hAnsi="Times New Roman" w:cs="Times New Roman"/>
          <w:sz w:val="21"/>
          <w:szCs w:val="21"/>
        </w:rPr>
        <w:t xml:space="preserve"> </w:t>
      </w:r>
      <w:r w:rsidR="00D46466" w:rsidRPr="009E42F5">
        <w:rPr>
          <w:rFonts w:ascii="Times New Roman" w:hAnsi="Times New Roman" w:cs="Times New Roman"/>
          <w:sz w:val="21"/>
          <w:szCs w:val="21"/>
        </w:rPr>
        <w:t xml:space="preserve">13 and 105, respectively. </w:t>
      </w:r>
      <w:r w:rsidR="00D46466">
        <w:rPr>
          <w:rFonts w:ascii="Times New Roman" w:hAnsi="Times New Roman" w:cs="Times New Roman"/>
          <w:sz w:val="21"/>
          <w:szCs w:val="21"/>
        </w:rPr>
        <w:t xml:space="preserve">Because encounters in ESI 1 is too small numbers to conduct valid statistical tests, we only included encounters in ESI 5 for the statistical tests </w:t>
      </w:r>
      <w:r w:rsidR="00D46466" w:rsidRPr="009E42F5">
        <w:rPr>
          <w:rFonts w:ascii="Times New Roman" w:hAnsi="Times New Roman" w:cs="Times New Roman"/>
          <w:sz w:val="21"/>
          <w:szCs w:val="21"/>
        </w:rPr>
        <w:t>to determine if there exists an association between TTFS (or sequence placement) and treatment outcomes. The results are shown as follows:</w:t>
      </w:r>
    </w:p>
    <w:p w14:paraId="06BF1057" w14:textId="77777777" w:rsidR="00D46466" w:rsidRPr="00D46466" w:rsidRDefault="00D46466" w:rsidP="00D46466">
      <w:pPr>
        <w:pStyle w:val="a5"/>
        <w:keepNext/>
        <w:jc w:val="center"/>
        <w:rPr>
          <w:rFonts w:ascii="Times New Roman" w:hAnsi="Times New Roman" w:cs="Times New Roman"/>
          <w:b/>
          <w:color w:val="auto"/>
        </w:rPr>
      </w:pPr>
      <w:r w:rsidRPr="00D46466">
        <w:rPr>
          <w:rFonts w:ascii="Times New Roman" w:hAnsi="Times New Roman" w:cs="Times New Roman"/>
          <w:color w:val="auto"/>
        </w:rPr>
        <w:t xml:space="preserve">Table </w:t>
      </w:r>
      <w:r w:rsidRPr="00D46466">
        <w:rPr>
          <w:rFonts w:ascii="Times New Roman" w:hAnsi="Times New Roman" w:cs="Times New Roman"/>
          <w:b/>
          <w:color w:val="auto"/>
        </w:rPr>
        <w:fldChar w:fldCharType="begin"/>
      </w:r>
      <w:r w:rsidRPr="00D46466">
        <w:rPr>
          <w:rFonts w:ascii="Times New Roman" w:hAnsi="Times New Roman" w:cs="Times New Roman"/>
          <w:color w:val="auto"/>
        </w:rPr>
        <w:instrText xml:space="preserve"> SEQ Table \* ARABIC </w:instrText>
      </w:r>
      <w:r w:rsidRPr="00D46466">
        <w:rPr>
          <w:rFonts w:ascii="Times New Roman" w:hAnsi="Times New Roman" w:cs="Times New Roman"/>
          <w:b/>
          <w:color w:val="auto"/>
        </w:rPr>
        <w:fldChar w:fldCharType="separate"/>
      </w:r>
      <w:r w:rsidRPr="00D46466">
        <w:rPr>
          <w:rFonts w:ascii="Times New Roman" w:hAnsi="Times New Roman" w:cs="Times New Roman"/>
          <w:noProof/>
          <w:color w:val="auto"/>
        </w:rPr>
        <w:t>1</w:t>
      </w:r>
      <w:r w:rsidRPr="00D46466">
        <w:rPr>
          <w:rFonts w:ascii="Times New Roman" w:hAnsi="Times New Roman" w:cs="Times New Roman"/>
          <w:b/>
          <w:color w:val="auto"/>
        </w:rPr>
        <w:fldChar w:fldCharType="end"/>
      </w:r>
      <w:r w:rsidRPr="00D46466">
        <w:rPr>
          <w:rFonts w:ascii="Times New Roman" w:hAnsi="Times New Roman" w:cs="Times New Roman"/>
          <w:color w:val="auto"/>
        </w:rPr>
        <w:t xml:space="preserve"> The association between TTFS and treatment outcomes</w:t>
      </w:r>
    </w:p>
    <w:tbl>
      <w:tblPr>
        <w:tblStyle w:val="a4"/>
        <w:tblW w:w="9100" w:type="dxa"/>
        <w:tblLook w:val="04A0" w:firstRow="1" w:lastRow="0" w:firstColumn="1" w:lastColumn="0" w:noHBand="0" w:noVBand="1"/>
      </w:tblPr>
      <w:tblGrid>
        <w:gridCol w:w="704"/>
        <w:gridCol w:w="851"/>
        <w:gridCol w:w="567"/>
        <w:gridCol w:w="2131"/>
        <w:gridCol w:w="1271"/>
        <w:gridCol w:w="2556"/>
        <w:gridCol w:w="1020"/>
      </w:tblGrid>
      <w:tr w:rsidR="00D46466" w:rsidRPr="005F28DD" w14:paraId="38A7826C" w14:textId="77777777" w:rsidTr="001C01D4">
        <w:trPr>
          <w:trHeight w:val="268"/>
        </w:trPr>
        <w:tc>
          <w:tcPr>
            <w:tcW w:w="704" w:type="dxa"/>
            <w:tcBorders>
              <w:left w:val="nil"/>
            </w:tcBorders>
            <w:vAlign w:val="center"/>
          </w:tcPr>
          <w:p w14:paraId="6AE29B64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1270379A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TTFS</w:t>
            </w:r>
          </w:p>
        </w:tc>
        <w:tc>
          <w:tcPr>
            <w:tcW w:w="567" w:type="dxa"/>
            <w:vAlign w:val="center"/>
          </w:tcPr>
          <w:p w14:paraId="7611D48D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N</w:t>
            </w:r>
          </w:p>
        </w:tc>
        <w:tc>
          <w:tcPr>
            <w:tcW w:w="2131" w:type="dxa"/>
            <w:vAlign w:val="center"/>
          </w:tcPr>
          <w:p w14:paraId="25141B9C" w14:textId="384EDB05" w:rsidR="00D46466" w:rsidRPr="005F28DD" w:rsidRDefault="001C01D4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Length of Stay</w:t>
            </w:r>
            <w:r w:rsidR="00D46466"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 xml:space="preserve"> (Hour)</w:t>
            </w:r>
          </w:p>
        </w:tc>
        <w:tc>
          <w:tcPr>
            <w:tcW w:w="1271" w:type="dxa"/>
            <w:vAlign w:val="center"/>
          </w:tcPr>
          <w:p w14:paraId="0F740937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i/>
                <w:sz w:val="18"/>
                <w:szCs w:val="21"/>
              </w:rPr>
              <w:t>p</w:t>
            </w: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-value</w:t>
            </w:r>
          </w:p>
        </w:tc>
        <w:tc>
          <w:tcPr>
            <w:tcW w:w="2556" w:type="dxa"/>
            <w:vAlign w:val="center"/>
          </w:tcPr>
          <w:p w14:paraId="719238C7" w14:textId="4409E1DD" w:rsidR="00D46466" w:rsidRPr="005F28DD" w:rsidRDefault="001C01D4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 xml:space="preserve">Admission rate </w:t>
            </w:r>
            <w:r w:rsidR="00D46466"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(%)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1199142B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i/>
                <w:sz w:val="18"/>
                <w:szCs w:val="21"/>
              </w:rPr>
              <w:t>p</w:t>
            </w: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-value</w:t>
            </w:r>
          </w:p>
        </w:tc>
      </w:tr>
      <w:tr w:rsidR="00D46466" w:rsidRPr="009E42F5" w14:paraId="0B595CD1" w14:textId="77777777" w:rsidTr="001C01D4">
        <w:trPr>
          <w:trHeight w:val="337"/>
        </w:trPr>
        <w:tc>
          <w:tcPr>
            <w:tcW w:w="704" w:type="dxa"/>
            <w:vMerge w:val="restart"/>
            <w:tcBorders>
              <w:left w:val="nil"/>
            </w:tcBorders>
            <w:vAlign w:val="center"/>
          </w:tcPr>
          <w:p w14:paraId="0D434A0C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ESI 5</w:t>
            </w:r>
          </w:p>
        </w:tc>
        <w:tc>
          <w:tcPr>
            <w:tcW w:w="851" w:type="dxa"/>
            <w:vAlign w:val="center"/>
          </w:tcPr>
          <w:p w14:paraId="697C558B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Early</w:t>
            </w:r>
          </w:p>
        </w:tc>
        <w:tc>
          <w:tcPr>
            <w:tcW w:w="567" w:type="dxa"/>
            <w:vAlign w:val="center"/>
          </w:tcPr>
          <w:p w14:paraId="61EAB59F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5</w:t>
            </w:r>
          </w:p>
        </w:tc>
        <w:tc>
          <w:tcPr>
            <w:tcW w:w="2131" w:type="dxa"/>
            <w:vAlign w:val="center"/>
          </w:tcPr>
          <w:p w14:paraId="044685D5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3.260</w:t>
            </w:r>
          </w:p>
        </w:tc>
        <w:tc>
          <w:tcPr>
            <w:tcW w:w="1271" w:type="dxa"/>
            <w:vMerge w:val="restart"/>
            <w:vAlign w:val="center"/>
          </w:tcPr>
          <w:p w14:paraId="2088F387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&lt; 0.001</w:t>
            </w:r>
          </w:p>
        </w:tc>
        <w:tc>
          <w:tcPr>
            <w:tcW w:w="2556" w:type="dxa"/>
            <w:vAlign w:val="center"/>
          </w:tcPr>
          <w:p w14:paraId="40F34FE5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0.0%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514CD377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/>
                <w:sz w:val="18"/>
                <w:szCs w:val="21"/>
              </w:rPr>
              <w:t>0.302</w:t>
            </w:r>
          </w:p>
        </w:tc>
      </w:tr>
      <w:tr w:rsidR="00D46466" w:rsidRPr="009E42F5" w14:paraId="652A2274" w14:textId="77777777" w:rsidTr="001C01D4">
        <w:trPr>
          <w:trHeight w:val="337"/>
        </w:trPr>
        <w:tc>
          <w:tcPr>
            <w:tcW w:w="704" w:type="dxa"/>
            <w:vMerge/>
            <w:tcBorders>
              <w:left w:val="nil"/>
            </w:tcBorders>
          </w:tcPr>
          <w:p w14:paraId="7E4A7691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 w14:paraId="09B3A52C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Mode</w:t>
            </w:r>
          </w:p>
        </w:tc>
        <w:tc>
          <w:tcPr>
            <w:tcW w:w="567" w:type="dxa"/>
          </w:tcPr>
          <w:p w14:paraId="4BD42C46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13</w:t>
            </w:r>
          </w:p>
        </w:tc>
        <w:tc>
          <w:tcPr>
            <w:tcW w:w="2131" w:type="dxa"/>
          </w:tcPr>
          <w:p w14:paraId="25B3687A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2.430</w:t>
            </w:r>
          </w:p>
        </w:tc>
        <w:tc>
          <w:tcPr>
            <w:tcW w:w="1271" w:type="dxa"/>
            <w:vMerge/>
          </w:tcPr>
          <w:p w14:paraId="6EBBCB23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  <w:tc>
          <w:tcPr>
            <w:tcW w:w="2556" w:type="dxa"/>
          </w:tcPr>
          <w:p w14:paraId="356CEE1C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0.0%</w:t>
            </w:r>
          </w:p>
        </w:tc>
        <w:tc>
          <w:tcPr>
            <w:tcW w:w="1020" w:type="dxa"/>
            <w:vMerge/>
            <w:tcBorders>
              <w:right w:val="nil"/>
            </w:tcBorders>
          </w:tcPr>
          <w:p w14:paraId="2EF76D55" w14:textId="77777777" w:rsidR="00D46466" w:rsidRPr="009E42F5" w:rsidRDefault="00D46466" w:rsidP="00E20744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D46466" w:rsidRPr="009E42F5" w14:paraId="332BC556" w14:textId="77777777" w:rsidTr="001C01D4">
        <w:trPr>
          <w:trHeight w:val="323"/>
        </w:trPr>
        <w:tc>
          <w:tcPr>
            <w:tcW w:w="704" w:type="dxa"/>
            <w:vMerge/>
            <w:tcBorders>
              <w:left w:val="nil"/>
            </w:tcBorders>
          </w:tcPr>
          <w:p w14:paraId="1C78AE69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</w:tcPr>
          <w:p w14:paraId="5CC7A5B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Late</w:t>
            </w:r>
          </w:p>
        </w:tc>
        <w:tc>
          <w:tcPr>
            <w:tcW w:w="567" w:type="dxa"/>
          </w:tcPr>
          <w:p w14:paraId="722C764D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32</w:t>
            </w:r>
          </w:p>
        </w:tc>
        <w:tc>
          <w:tcPr>
            <w:tcW w:w="2131" w:type="dxa"/>
          </w:tcPr>
          <w:p w14:paraId="2EC3639B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5.161</w:t>
            </w:r>
          </w:p>
        </w:tc>
        <w:tc>
          <w:tcPr>
            <w:tcW w:w="1271" w:type="dxa"/>
            <w:vMerge/>
          </w:tcPr>
          <w:p w14:paraId="18D10010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  <w:tc>
          <w:tcPr>
            <w:tcW w:w="2556" w:type="dxa"/>
          </w:tcPr>
          <w:p w14:paraId="24FC159E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12.5%</w:t>
            </w:r>
          </w:p>
        </w:tc>
        <w:tc>
          <w:tcPr>
            <w:tcW w:w="1020" w:type="dxa"/>
            <w:vMerge/>
            <w:tcBorders>
              <w:right w:val="nil"/>
            </w:tcBorders>
          </w:tcPr>
          <w:p w14:paraId="75D623E3" w14:textId="77777777" w:rsidR="00D46466" w:rsidRPr="009E42F5" w:rsidRDefault="00D46466" w:rsidP="00E20744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313E301C" w14:textId="77777777" w:rsidR="00D46466" w:rsidRPr="009E42F5" w:rsidRDefault="00D46466" w:rsidP="00D46466">
      <w:pPr>
        <w:spacing w:line="360" w:lineRule="auto"/>
        <w:rPr>
          <w:rFonts w:ascii="Times New Roman" w:hAnsi="Times New Roman" w:cs="Times New Roman"/>
          <w:sz w:val="21"/>
          <w:szCs w:val="21"/>
        </w:rPr>
      </w:pPr>
    </w:p>
    <w:p w14:paraId="39C88108" w14:textId="77777777" w:rsidR="00D46466" w:rsidRPr="00D46466" w:rsidRDefault="00D46466" w:rsidP="00D46466">
      <w:pPr>
        <w:pStyle w:val="a5"/>
        <w:keepNext/>
        <w:jc w:val="center"/>
        <w:rPr>
          <w:rFonts w:ascii="Times New Roman" w:hAnsi="Times New Roman" w:cs="Times New Roman"/>
          <w:b/>
          <w:color w:val="auto"/>
        </w:rPr>
      </w:pPr>
      <w:r w:rsidRPr="00D46466">
        <w:rPr>
          <w:rFonts w:ascii="Times New Roman" w:hAnsi="Times New Roman" w:cs="Times New Roman"/>
          <w:color w:val="auto"/>
        </w:rPr>
        <w:t xml:space="preserve">Table </w:t>
      </w:r>
      <w:r w:rsidRPr="00D46466">
        <w:rPr>
          <w:rFonts w:ascii="Times New Roman" w:hAnsi="Times New Roman" w:cs="Times New Roman"/>
          <w:b/>
          <w:color w:val="auto"/>
        </w:rPr>
        <w:fldChar w:fldCharType="begin"/>
      </w:r>
      <w:r w:rsidRPr="00D46466">
        <w:rPr>
          <w:rFonts w:ascii="Times New Roman" w:hAnsi="Times New Roman" w:cs="Times New Roman"/>
          <w:color w:val="auto"/>
        </w:rPr>
        <w:instrText xml:space="preserve"> SEQ Table \* ARABIC </w:instrText>
      </w:r>
      <w:r w:rsidRPr="00D46466">
        <w:rPr>
          <w:rFonts w:ascii="Times New Roman" w:hAnsi="Times New Roman" w:cs="Times New Roman"/>
          <w:b/>
          <w:color w:val="auto"/>
        </w:rPr>
        <w:fldChar w:fldCharType="separate"/>
      </w:r>
      <w:r w:rsidRPr="00D46466">
        <w:rPr>
          <w:rFonts w:ascii="Times New Roman" w:hAnsi="Times New Roman" w:cs="Times New Roman"/>
          <w:noProof/>
          <w:color w:val="auto"/>
        </w:rPr>
        <w:t>2</w:t>
      </w:r>
      <w:r w:rsidRPr="00D46466">
        <w:rPr>
          <w:rFonts w:ascii="Times New Roman" w:hAnsi="Times New Roman" w:cs="Times New Roman"/>
          <w:b/>
          <w:color w:val="auto"/>
        </w:rPr>
        <w:fldChar w:fldCharType="end"/>
      </w:r>
      <w:r w:rsidRPr="00D46466">
        <w:rPr>
          <w:rFonts w:ascii="Times New Roman" w:hAnsi="Times New Roman" w:cs="Times New Roman"/>
          <w:color w:val="auto"/>
        </w:rPr>
        <w:t xml:space="preserve"> The association between the sequence placement of corticosteroids and treatment outcomes</w:t>
      </w:r>
    </w:p>
    <w:tbl>
      <w:tblPr>
        <w:tblStyle w:val="a4"/>
        <w:tblW w:w="9100" w:type="dxa"/>
        <w:tblLayout w:type="fixed"/>
        <w:tblLook w:val="04A0" w:firstRow="1" w:lastRow="0" w:firstColumn="1" w:lastColumn="0" w:noHBand="0" w:noVBand="1"/>
      </w:tblPr>
      <w:tblGrid>
        <w:gridCol w:w="709"/>
        <w:gridCol w:w="1554"/>
        <w:gridCol w:w="856"/>
        <w:gridCol w:w="2126"/>
        <w:gridCol w:w="992"/>
        <w:gridCol w:w="1843"/>
        <w:gridCol w:w="1020"/>
      </w:tblGrid>
      <w:tr w:rsidR="00D46466" w:rsidRPr="009E42F5" w14:paraId="3664D8A8" w14:textId="77777777" w:rsidTr="005F28DD">
        <w:trPr>
          <w:trHeight w:val="268"/>
        </w:trPr>
        <w:tc>
          <w:tcPr>
            <w:tcW w:w="709" w:type="dxa"/>
            <w:tcBorders>
              <w:left w:val="nil"/>
            </w:tcBorders>
            <w:vAlign w:val="center"/>
          </w:tcPr>
          <w:p w14:paraId="5C0AE818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</w:p>
        </w:tc>
        <w:tc>
          <w:tcPr>
            <w:tcW w:w="1554" w:type="dxa"/>
            <w:vAlign w:val="center"/>
          </w:tcPr>
          <w:p w14:paraId="2976D8E8" w14:textId="3542F26E" w:rsidR="00D46466" w:rsidRPr="005F28DD" w:rsidRDefault="00D46466" w:rsidP="005F60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/>
                <w:b/>
                <w:sz w:val="18"/>
                <w:szCs w:val="21"/>
              </w:rPr>
              <w:t>The sequence  of corticosteroids</w:t>
            </w:r>
          </w:p>
        </w:tc>
        <w:tc>
          <w:tcPr>
            <w:tcW w:w="856" w:type="dxa"/>
            <w:vAlign w:val="center"/>
          </w:tcPr>
          <w:p w14:paraId="4F6BFD3E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N</w:t>
            </w:r>
          </w:p>
        </w:tc>
        <w:tc>
          <w:tcPr>
            <w:tcW w:w="2126" w:type="dxa"/>
            <w:vAlign w:val="center"/>
          </w:tcPr>
          <w:p w14:paraId="7CDF1FDE" w14:textId="496C5183" w:rsidR="00D46466" w:rsidRPr="005F28DD" w:rsidRDefault="001C01D4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/>
                <w:b/>
                <w:sz w:val="18"/>
                <w:szCs w:val="21"/>
              </w:rPr>
              <w:t>Length of Stay</w:t>
            </w:r>
            <w:r w:rsidR="00D46466"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 xml:space="preserve"> (Hour)</w:t>
            </w:r>
          </w:p>
        </w:tc>
        <w:tc>
          <w:tcPr>
            <w:tcW w:w="992" w:type="dxa"/>
            <w:vAlign w:val="center"/>
          </w:tcPr>
          <w:p w14:paraId="16D67A84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i/>
                <w:sz w:val="18"/>
                <w:szCs w:val="21"/>
              </w:rPr>
              <w:t>p</w:t>
            </w: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-value</w:t>
            </w:r>
          </w:p>
        </w:tc>
        <w:tc>
          <w:tcPr>
            <w:tcW w:w="1843" w:type="dxa"/>
            <w:vAlign w:val="center"/>
          </w:tcPr>
          <w:p w14:paraId="3D26DEF6" w14:textId="04B4E292" w:rsidR="00D46466" w:rsidRPr="005F28DD" w:rsidRDefault="001C01D4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/>
                <w:b/>
                <w:sz w:val="18"/>
                <w:szCs w:val="21"/>
              </w:rPr>
              <w:t xml:space="preserve">Admission rate </w:t>
            </w:r>
            <w:r w:rsidR="00D46466"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(%)</w:t>
            </w:r>
          </w:p>
        </w:tc>
        <w:tc>
          <w:tcPr>
            <w:tcW w:w="1020" w:type="dxa"/>
            <w:tcBorders>
              <w:right w:val="nil"/>
            </w:tcBorders>
            <w:vAlign w:val="center"/>
          </w:tcPr>
          <w:p w14:paraId="17446860" w14:textId="77777777" w:rsidR="00D46466" w:rsidRPr="005F28DD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21"/>
              </w:rPr>
            </w:pPr>
            <w:r w:rsidRPr="005F28DD">
              <w:rPr>
                <w:rFonts w:ascii="Times New Roman" w:hAnsi="Times New Roman" w:cs="Times New Roman" w:hint="eastAsia"/>
                <w:b/>
                <w:i/>
                <w:sz w:val="18"/>
                <w:szCs w:val="21"/>
              </w:rPr>
              <w:t>p</w:t>
            </w:r>
            <w:r w:rsidRPr="005F28DD">
              <w:rPr>
                <w:rFonts w:ascii="Times New Roman" w:hAnsi="Times New Roman" w:cs="Times New Roman" w:hint="eastAsia"/>
                <w:b/>
                <w:sz w:val="18"/>
                <w:szCs w:val="21"/>
              </w:rPr>
              <w:t>-value</w:t>
            </w:r>
          </w:p>
        </w:tc>
      </w:tr>
      <w:tr w:rsidR="00D46466" w:rsidRPr="009E42F5" w14:paraId="36CC5264" w14:textId="77777777" w:rsidTr="005F28DD">
        <w:trPr>
          <w:trHeight w:val="337"/>
        </w:trPr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14:paraId="55D87E3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ESI 5</w:t>
            </w:r>
          </w:p>
        </w:tc>
        <w:tc>
          <w:tcPr>
            <w:tcW w:w="1554" w:type="dxa"/>
            <w:vAlign w:val="center"/>
          </w:tcPr>
          <w:p w14:paraId="6D6E23D8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Early</w:t>
            </w:r>
          </w:p>
        </w:tc>
        <w:tc>
          <w:tcPr>
            <w:tcW w:w="856" w:type="dxa"/>
            <w:vAlign w:val="center"/>
          </w:tcPr>
          <w:p w14:paraId="356213F3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38</w:t>
            </w:r>
          </w:p>
        </w:tc>
        <w:tc>
          <w:tcPr>
            <w:tcW w:w="2126" w:type="dxa"/>
            <w:vAlign w:val="center"/>
          </w:tcPr>
          <w:p w14:paraId="0EA41C2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3.565</w:t>
            </w:r>
          </w:p>
        </w:tc>
        <w:tc>
          <w:tcPr>
            <w:tcW w:w="992" w:type="dxa"/>
            <w:vMerge w:val="restart"/>
            <w:vAlign w:val="center"/>
          </w:tcPr>
          <w:p w14:paraId="48D8096F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&lt; 0.001</w:t>
            </w:r>
          </w:p>
        </w:tc>
        <w:tc>
          <w:tcPr>
            <w:tcW w:w="1843" w:type="dxa"/>
            <w:vAlign w:val="center"/>
          </w:tcPr>
          <w:p w14:paraId="22EED34C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0.0%</w:t>
            </w:r>
          </w:p>
        </w:tc>
        <w:tc>
          <w:tcPr>
            <w:tcW w:w="1020" w:type="dxa"/>
            <w:vMerge w:val="restart"/>
            <w:tcBorders>
              <w:right w:val="nil"/>
            </w:tcBorders>
            <w:vAlign w:val="center"/>
          </w:tcPr>
          <w:p w14:paraId="3F2CDAA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&lt; 0.001</w:t>
            </w:r>
          </w:p>
        </w:tc>
      </w:tr>
      <w:tr w:rsidR="00D46466" w:rsidRPr="009E42F5" w14:paraId="1AB1D6C1" w14:textId="77777777" w:rsidTr="005F28DD">
        <w:trPr>
          <w:trHeight w:val="337"/>
        </w:trPr>
        <w:tc>
          <w:tcPr>
            <w:tcW w:w="709" w:type="dxa"/>
            <w:vMerge/>
            <w:tcBorders>
              <w:left w:val="nil"/>
            </w:tcBorders>
          </w:tcPr>
          <w:p w14:paraId="5781A27D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  <w:tc>
          <w:tcPr>
            <w:tcW w:w="1554" w:type="dxa"/>
          </w:tcPr>
          <w:p w14:paraId="23437F49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Mode</w:t>
            </w:r>
          </w:p>
        </w:tc>
        <w:tc>
          <w:tcPr>
            <w:tcW w:w="856" w:type="dxa"/>
          </w:tcPr>
          <w:p w14:paraId="6F76E03E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10</w:t>
            </w:r>
          </w:p>
        </w:tc>
        <w:tc>
          <w:tcPr>
            <w:tcW w:w="2126" w:type="dxa"/>
          </w:tcPr>
          <w:p w14:paraId="3E85AABA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6.278</w:t>
            </w:r>
          </w:p>
        </w:tc>
        <w:tc>
          <w:tcPr>
            <w:tcW w:w="992" w:type="dxa"/>
            <w:vMerge/>
          </w:tcPr>
          <w:p w14:paraId="28F3735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  <w:tc>
          <w:tcPr>
            <w:tcW w:w="1843" w:type="dxa"/>
          </w:tcPr>
          <w:p w14:paraId="1E9BCAC9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40.0%</w:t>
            </w:r>
          </w:p>
        </w:tc>
        <w:tc>
          <w:tcPr>
            <w:tcW w:w="1020" w:type="dxa"/>
            <w:vMerge/>
            <w:tcBorders>
              <w:right w:val="nil"/>
            </w:tcBorders>
          </w:tcPr>
          <w:p w14:paraId="59BF4B1F" w14:textId="77777777" w:rsidR="00D46466" w:rsidRPr="009E42F5" w:rsidRDefault="00D46466" w:rsidP="00E20744">
            <w:pPr>
              <w:spacing w:line="360" w:lineRule="auto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</w:tr>
      <w:tr w:rsidR="00D46466" w:rsidRPr="009E42F5" w14:paraId="3CAC5601" w14:textId="77777777" w:rsidTr="005F28DD">
        <w:trPr>
          <w:trHeight w:val="323"/>
        </w:trPr>
        <w:tc>
          <w:tcPr>
            <w:tcW w:w="709" w:type="dxa"/>
            <w:vMerge/>
            <w:tcBorders>
              <w:left w:val="nil"/>
            </w:tcBorders>
          </w:tcPr>
          <w:p w14:paraId="3388729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  <w:tc>
          <w:tcPr>
            <w:tcW w:w="1554" w:type="dxa"/>
          </w:tcPr>
          <w:p w14:paraId="14A01752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Late</w:t>
            </w:r>
          </w:p>
        </w:tc>
        <w:tc>
          <w:tcPr>
            <w:tcW w:w="856" w:type="dxa"/>
          </w:tcPr>
          <w:p w14:paraId="5CAB54D1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2</w:t>
            </w:r>
          </w:p>
        </w:tc>
        <w:tc>
          <w:tcPr>
            <w:tcW w:w="2126" w:type="dxa"/>
          </w:tcPr>
          <w:p w14:paraId="33E1C053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7.392</w:t>
            </w:r>
          </w:p>
        </w:tc>
        <w:tc>
          <w:tcPr>
            <w:tcW w:w="992" w:type="dxa"/>
            <w:vMerge/>
          </w:tcPr>
          <w:p w14:paraId="769C074A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  <w:tc>
          <w:tcPr>
            <w:tcW w:w="1843" w:type="dxa"/>
          </w:tcPr>
          <w:p w14:paraId="5AD0AB9A" w14:textId="77777777" w:rsidR="00D46466" w:rsidRPr="009E42F5" w:rsidRDefault="00D46466" w:rsidP="00E20744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r w:rsidRPr="009E42F5">
              <w:rPr>
                <w:rFonts w:ascii="Times New Roman" w:hAnsi="Times New Roman" w:cs="Times New Roman" w:hint="eastAsia"/>
                <w:sz w:val="18"/>
                <w:szCs w:val="21"/>
              </w:rPr>
              <w:t>0.0%</w:t>
            </w:r>
          </w:p>
        </w:tc>
        <w:tc>
          <w:tcPr>
            <w:tcW w:w="1020" w:type="dxa"/>
            <w:vMerge/>
            <w:tcBorders>
              <w:right w:val="nil"/>
            </w:tcBorders>
          </w:tcPr>
          <w:p w14:paraId="12540765" w14:textId="77777777" w:rsidR="00D46466" w:rsidRPr="009E42F5" w:rsidRDefault="00D46466" w:rsidP="00E20744">
            <w:pPr>
              <w:spacing w:line="360" w:lineRule="auto"/>
              <w:rPr>
                <w:rFonts w:ascii="Times New Roman" w:hAnsi="Times New Roman" w:cs="Times New Roman"/>
                <w:sz w:val="18"/>
                <w:szCs w:val="21"/>
              </w:rPr>
            </w:pPr>
          </w:p>
        </w:tc>
      </w:tr>
    </w:tbl>
    <w:p w14:paraId="3A6C3390" w14:textId="77777777" w:rsidR="00D46466" w:rsidRPr="009E42F5" w:rsidRDefault="00D46466" w:rsidP="00D46466">
      <w:pPr>
        <w:spacing w:line="360" w:lineRule="auto"/>
        <w:rPr>
          <w:rFonts w:ascii="Times New Roman" w:hAnsi="Times New Roman" w:cs="Times New Roman"/>
          <w:sz w:val="21"/>
          <w:szCs w:val="21"/>
        </w:rPr>
      </w:pPr>
    </w:p>
    <w:p w14:paraId="6402F4ED" w14:textId="06BF8943" w:rsidR="00A04F8A" w:rsidRPr="00A04F8A" w:rsidRDefault="00D46466" w:rsidP="00D46466">
      <w:pPr>
        <w:spacing w:line="360" w:lineRule="auto"/>
        <w:ind w:firstLine="400"/>
        <w:rPr>
          <w:rFonts w:ascii="Times New Roman" w:hAnsi="Times New Roman" w:cs="Times New Roman"/>
        </w:rPr>
      </w:pPr>
      <w:r w:rsidRPr="009E42F5">
        <w:rPr>
          <w:rFonts w:ascii="Times New Roman" w:hAnsi="Times New Roman" w:cs="Times New Roman" w:hint="eastAsia"/>
          <w:sz w:val="21"/>
          <w:szCs w:val="21"/>
        </w:rPr>
        <w:t>As presented in the Table</w:t>
      </w:r>
      <w:r w:rsidR="005F6027">
        <w:rPr>
          <w:rFonts w:ascii="Times New Roman" w:hAnsi="Times New Roman" w:cs="Times New Roman"/>
          <w:sz w:val="21"/>
          <w:szCs w:val="21"/>
        </w:rPr>
        <w:t>2</w:t>
      </w:r>
      <w:r w:rsidRPr="009E42F5">
        <w:rPr>
          <w:rFonts w:ascii="Times New Roman" w:hAnsi="Times New Roman" w:cs="Times New Roman" w:hint="eastAsia"/>
          <w:sz w:val="21"/>
          <w:szCs w:val="21"/>
        </w:rPr>
        <w:t>,</w:t>
      </w:r>
      <w:r w:rsidRPr="009E42F5">
        <w:rPr>
          <w:rFonts w:ascii="Times New Roman" w:hAnsi="Times New Roman" w:cs="Times New Roman"/>
          <w:sz w:val="21"/>
          <w:szCs w:val="21"/>
        </w:rPr>
        <w:t xml:space="preserve"> there exists a </w:t>
      </w:r>
      <w:r w:rsidR="005F6027">
        <w:rPr>
          <w:rFonts w:ascii="Times New Roman" w:hAnsi="Times New Roman" w:cs="Times New Roman"/>
          <w:sz w:val="21"/>
          <w:szCs w:val="21"/>
        </w:rPr>
        <w:t xml:space="preserve">statistically significant </w:t>
      </w:r>
      <w:r w:rsidRPr="009E42F5">
        <w:rPr>
          <w:rFonts w:ascii="Times New Roman" w:hAnsi="Times New Roman" w:cs="Times New Roman"/>
          <w:sz w:val="21"/>
          <w:szCs w:val="21"/>
        </w:rPr>
        <w:t>association between the time to first corticosteroid</w:t>
      </w:r>
      <w:r w:rsidR="005F6027">
        <w:rPr>
          <w:rFonts w:ascii="Times New Roman" w:hAnsi="Times New Roman" w:cs="Times New Roman"/>
          <w:sz w:val="21"/>
          <w:szCs w:val="21"/>
        </w:rPr>
        <w:t xml:space="preserve"> is administered</w:t>
      </w:r>
      <w:r w:rsidRPr="009E42F5">
        <w:rPr>
          <w:rFonts w:ascii="Times New Roman" w:hAnsi="Times New Roman" w:cs="Times New Roman"/>
          <w:sz w:val="21"/>
          <w:szCs w:val="21"/>
        </w:rPr>
        <w:t xml:space="preserve"> and a shorter length of stay</w:t>
      </w:r>
      <w:r w:rsidR="005F6027">
        <w:rPr>
          <w:rFonts w:ascii="Times New Roman" w:hAnsi="Times New Roman" w:cs="Times New Roman"/>
          <w:sz w:val="21"/>
          <w:szCs w:val="21"/>
        </w:rPr>
        <w:t xml:space="preserve">, similar to the results obtained </w:t>
      </w:r>
      <w:r w:rsidR="0090142C">
        <w:rPr>
          <w:rFonts w:ascii="Times New Roman" w:hAnsi="Times New Roman" w:cs="Times New Roman"/>
          <w:sz w:val="21"/>
          <w:szCs w:val="21"/>
        </w:rPr>
        <w:t>with other groups (ESI 2 – 4</w:t>
      </w:r>
      <w:r w:rsidR="005F6027">
        <w:rPr>
          <w:rFonts w:ascii="Times New Roman" w:hAnsi="Times New Roman" w:cs="Times New Roman"/>
          <w:sz w:val="21"/>
          <w:szCs w:val="21"/>
        </w:rPr>
        <w:t>)</w:t>
      </w:r>
      <w:r w:rsidRPr="009E42F5">
        <w:rPr>
          <w:rFonts w:ascii="Times New Roman" w:hAnsi="Times New Roman" w:cs="Times New Roman"/>
          <w:sz w:val="21"/>
          <w:szCs w:val="21"/>
        </w:rPr>
        <w:t>. Also, we found a positive correlation between the earlier administration of corticosteroids with patients’</w:t>
      </w:r>
      <w:r w:rsidRPr="009E42F5">
        <w:rPr>
          <w:rFonts w:ascii="Times New Roman" w:hAnsi="Times New Roman" w:cs="Times New Roman" w:hint="eastAsia"/>
          <w:sz w:val="21"/>
          <w:szCs w:val="21"/>
        </w:rPr>
        <w:t xml:space="preserve"> treatment outcomes (length of stay, admission rate</w:t>
      </w:r>
      <w:r w:rsidRPr="009E42F5">
        <w:rPr>
          <w:rFonts w:ascii="Times New Roman" w:hAnsi="Times New Roman" w:cs="Times New Roman"/>
          <w:sz w:val="21"/>
          <w:szCs w:val="21"/>
        </w:rPr>
        <w:t>;</w:t>
      </w:r>
      <w:r w:rsidRPr="009E42F5">
        <w:rPr>
          <w:rFonts w:ascii="Times New Roman" w:hAnsi="Times New Roman" w:cs="Times New Roman" w:hint="eastAsia"/>
          <w:sz w:val="21"/>
          <w:szCs w:val="21"/>
        </w:rPr>
        <w:t xml:space="preserve"> p-value &lt; 0.001).</w:t>
      </w:r>
    </w:p>
    <w:sectPr w:rsidR="00A04F8A" w:rsidRPr="00A04F8A" w:rsidSect="00BA49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58D2E" w14:textId="77777777" w:rsidR="00C2633F" w:rsidRDefault="00C2633F" w:rsidP="00CC1BE8">
      <w:pPr>
        <w:spacing w:after="0" w:line="240" w:lineRule="auto"/>
      </w:pPr>
      <w:r>
        <w:separator/>
      </w:r>
    </w:p>
  </w:endnote>
  <w:endnote w:type="continuationSeparator" w:id="0">
    <w:p w14:paraId="713EE5EE" w14:textId="77777777" w:rsidR="00C2633F" w:rsidRDefault="00C2633F" w:rsidP="00CC1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D13E2" w14:textId="77777777" w:rsidR="00C2633F" w:rsidRDefault="00C2633F" w:rsidP="00CC1BE8">
      <w:pPr>
        <w:spacing w:after="0" w:line="240" w:lineRule="auto"/>
      </w:pPr>
      <w:r>
        <w:separator/>
      </w:r>
    </w:p>
  </w:footnote>
  <w:footnote w:type="continuationSeparator" w:id="0">
    <w:p w14:paraId="209D732C" w14:textId="77777777" w:rsidR="00C2633F" w:rsidRDefault="00C2633F" w:rsidP="00CC1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53408A"/>
    <w:multiLevelType w:val="hybridMultilevel"/>
    <w:tmpl w:val="E47C1F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8FB7B77"/>
    <w:multiLevelType w:val="hybridMultilevel"/>
    <w:tmpl w:val="964C71A6"/>
    <w:lvl w:ilvl="0" w:tplc="4D205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792B465F"/>
    <w:multiLevelType w:val="hybridMultilevel"/>
    <w:tmpl w:val="9202E72E"/>
    <w:lvl w:ilvl="0" w:tplc="FF84288A">
      <w:start w:val="16"/>
      <w:numFmt w:val="bullet"/>
      <w:lvlText w:val="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YwNzU3MzM0MbM0NDJQ0lEKTi0uzszPAykwrAUAEJFRRiwAAAA="/>
  </w:docVars>
  <w:rsids>
    <w:rsidRoot w:val="003E1C78"/>
    <w:rsid w:val="00004746"/>
    <w:rsid w:val="0005180E"/>
    <w:rsid w:val="00121DBD"/>
    <w:rsid w:val="001C01D4"/>
    <w:rsid w:val="001D1739"/>
    <w:rsid w:val="001E4057"/>
    <w:rsid w:val="002A46DD"/>
    <w:rsid w:val="0031228A"/>
    <w:rsid w:val="003E1C78"/>
    <w:rsid w:val="00403D22"/>
    <w:rsid w:val="00530767"/>
    <w:rsid w:val="005940C8"/>
    <w:rsid w:val="005D1847"/>
    <w:rsid w:val="005D6235"/>
    <w:rsid w:val="005F28DD"/>
    <w:rsid w:val="005F6027"/>
    <w:rsid w:val="00646C96"/>
    <w:rsid w:val="00680E89"/>
    <w:rsid w:val="006C430E"/>
    <w:rsid w:val="00720C02"/>
    <w:rsid w:val="0078536F"/>
    <w:rsid w:val="00795CCE"/>
    <w:rsid w:val="007B4AF0"/>
    <w:rsid w:val="007F2540"/>
    <w:rsid w:val="0087647F"/>
    <w:rsid w:val="00883238"/>
    <w:rsid w:val="008A465E"/>
    <w:rsid w:val="008C471D"/>
    <w:rsid w:val="0090142C"/>
    <w:rsid w:val="00960D21"/>
    <w:rsid w:val="00983F20"/>
    <w:rsid w:val="009D0EF1"/>
    <w:rsid w:val="009E16B3"/>
    <w:rsid w:val="00A04F8A"/>
    <w:rsid w:val="00A41CEF"/>
    <w:rsid w:val="00A51341"/>
    <w:rsid w:val="00A7385C"/>
    <w:rsid w:val="00AC62A7"/>
    <w:rsid w:val="00AC7C47"/>
    <w:rsid w:val="00AD2DCA"/>
    <w:rsid w:val="00B56068"/>
    <w:rsid w:val="00BA496B"/>
    <w:rsid w:val="00BC4FA3"/>
    <w:rsid w:val="00C2633F"/>
    <w:rsid w:val="00C96BB2"/>
    <w:rsid w:val="00CC1BE8"/>
    <w:rsid w:val="00CE31BE"/>
    <w:rsid w:val="00D46466"/>
    <w:rsid w:val="00DA4365"/>
    <w:rsid w:val="00E4412A"/>
    <w:rsid w:val="00EF0A42"/>
    <w:rsid w:val="00F27E89"/>
    <w:rsid w:val="00F63DEF"/>
    <w:rsid w:val="00FB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6C5F0F"/>
  <w15:docId w15:val="{B3BC62F3-7329-4DC2-8FD4-FE9DDA42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C78"/>
    <w:pPr>
      <w:ind w:left="720"/>
      <w:contextualSpacing/>
    </w:pPr>
  </w:style>
  <w:style w:type="table" w:styleId="a4">
    <w:name w:val="Table Grid"/>
    <w:basedOn w:val="a1"/>
    <w:uiPriority w:val="39"/>
    <w:rsid w:val="003E1C78"/>
    <w:pPr>
      <w:spacing w:after="0" w:line="240" w:lineRule="auto"/>
      <w:jc w:val="both"/>
    </w:pPr>
    <w:rPr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3E1C7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Char"/>
    <w:uiPriority w:val="99"/>
    <w:unhideWhenUsed/>
    <w:rsid w:val="00CC1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6"/>
    <w:uiPriority w:val="99"/>
    <w:rsid w:val="00CC1BE8"/>
  </w:style>
  <w:style w:type="paragraph" w:styleId="a7">
    <w:name w:val="footer"/>
    <w:basedOn w:val="a"/>
    <w:link w:val="Char0"/>
    <w:uiPriority w:val="99"/>
    <w:unhideWhenUsed/>
    <w:rsid w:val="00CC1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7"/>
    <w:uiPriority w:val="99"/>
    <w:rsid w:val="00CC1BE8"/>
  </w:style>
  <w:style w:type="paragraph" w:styleId="a8">
    <w:name w:val="footnote text"/>
    <w:basedOn w:val="a"/>
    <w:link w:val="Char1"/>
    <w:uiPriority w:val="99"/>
    <w:semiHidden/>
    <w:unhideWhenUsed/>
    <w:rsid w:val="00A04F8A"/>
    <w:pPr>
      <w:widowControl w:val="0"/>
      <w:wordWrap w:val="0"/>
      <w:autoSpaceDE w:val="0"/>
      <w:autoSpaceDN w:val="0"/>
      <w:snapToGrid w:val="0"/>
    </w:pPr>
    <w:rPr>
      <w:kern w:val="2"/>
      <w:sz w:val="20"/>
    </w:rPr>
  </w:style>
  <w:style w:type="character" w:customStyle="1" w:styleId="Char1">
    <w:name w:val="각주 텍스트 Char"/>
    <w:basedOn w:val="a0"/>
    <w:link w:val="a8"/>
    <w:uiPriority w:val="99"/>
    <w:semiHidden/>
    <w:rsid w:val="00A04F8A"/>
    <w:rPr>
      <w:kern w:val="2"/>
      <w:sz w:val="20"/>
    </w:rPr>
  </w:style>
  <w:style w:type="character" w:styleId="a9">
    <w:name w:val="footnote reference"/>
    <w:basedOn w:val="a0"/>
    <w:uiPriority w:val="99"/>
    <w:semiHidden/>
    <w:unhideWhenUsed/>
    <w:rsid w:val="00A04F8A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D46466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D46466"/>
    <w:pPr>
      <w:widowControl w:val="0"/>
      <w:wordWrap w:val="0"/>
      <w:autoSpaceDE w:val="0"/>
      <w:autoSpaceDN w:val="0"/>
      <w:spacing w:line="240" w:lineRule="auto"/>
      <w:jc w:val="both"/>
    </w:pPr>
    <w:rPr>
      <w:kern w:val="2"/>
      <w:sz w:val="20"/>
      <w:szCs w:val="20"/>
    </w:rPr>
  </w:style>
  <w:style w:type="character" w:customStyle="1" w:styleId="Char2">
    <w:name w:val="메모 텍스트 Char"/>
    <w:basedOn w:val="a0"/>
    <w:link w:val="ab"/>
    <w:uiPriority w:val="99"/>
    <w:rsid w:val="00D46466"/>
    <w:rPr>
      <w:kern w:val="2"/>
      <w:sz w:val="20"/>
      <w:szCs w:val="20"/>
    </w:rPr>
  </w:style>
  <w:style w:type="paragraph" w:styleId="ac">
    <w:name w:val="Balloon Text"/>
    <w:basedOn w:val="a"/>
    <w:link w:val="Char3"/>
    <w:uiPriority w:val="99"/>
    <w:semiHidden/>
    <w:unhideWhenUsed/>
    <w:rsid w:val="00D4646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c"/>
    <w:uiPriority w:val="99"/>
    <w:semiHidden/>
    <w:rsid w:val="00D46466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annotation subject"/>
    <w:basedOn w:val="ab"/>
    <w:next w:val="ab"/>
    <w:link w:val="Char4"/>
    <w:uiPriority w:val="99"/>
    <w:semiHidden/>
    <w:unhideWhenUsed/>
    <w:rsid w:val="008A465E"/>
    <w:pPr>
      <w:widowControl/>
      <w:wordWrap/>
      <w:autoSpaceDE/>
      <w:autoSpaceDN/>
      <w:jc w:val="left"/>
    </w:pPr>
    <w:rPr>
      <w:b/>
      <w:bCs/>
      <w:kern w:val="0"/>
    </w:rPr>
  </w:style>
  <w:style w:type="character" w:customStyle="1" w:styleId="Char4">
    <w:name w:val="메모 주제 Char"/>
    <w:basedOn w:val="Char2"/>
    <w:link w:val="ad"/>
    <w:uiPriority w:val="99"/>
    <w:semiHidden/>
    <w:rsid w:val="008A465E"/>
    <w:rPr>
      <w:b/>
      <w:bCs/>
      <w:kern w:val="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BE2D5-C522-44DC-9EBB-000A981B5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498</Words>
  <Characters>2845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HOONJANG</dc:creator>
  <cp:keywords/>
  <dc:description/>
  <cp:lastModifiedBy>HOONJANG</cp:lastModifiedBy>
  <cp:revision>8</cp:revision>
  <dcterms:created xsi:type="dcterms:W3CDTF">2019-08-26T13:38:00Z</dcterms:created>
  <dcterms:modified xsi:type="dcterms:W3CDTF">2019-08-27T14:09:00Z</dcterms:modified>
</cp:coreProperties>
</file>