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88C6" w14:textId="0B1CC5A8" w:rsidR="00795927" w:rsidRDefault="00795927" w:rsidP="0079592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Cs w:val="21"/>
        </w:rPr>
        <w:t xml:space="preserve">S1. </w:t>
      </w:r>
      <w:r w:rsidRPr="00795927">
        <w:rPr>
          <w:rFonts w:ascii="Times New Roman" w:hAnsi="Times New Roman"/>
          <w:b/>
          <w:bCs/>
          <w:szCs w:val="21"/>
        </w:rPr>
        <w:t xml:space="preserve">The case number of </w:t>
      </w:r>
      <w:r w:rsidRPr="00795927">
        <w:rPr>
          <w:rStyle w:val="fontstyle21"/>
          <w:rFonts w:ascii="Times New Roman" w:hAnsi="Times New Roman"/>
          <w:b/>
          <w:bCs/>
          <w:sz w:val="21"/>
          <w:szCs w:val="21"/>
        </w:rPr>
        <w:t>included trials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6"/>
        <w:gridCol w:w="1414"/>
        <w:gridCol w:w="2919"/>
        <w:gridCol w:w="2357"/>
      </w:tblGrid>
      <w:tr w:rsidR="00795927" w:rsidRPr="00DE0C5F" w14:paraId="6E231E97" w14:textId="77777777" w:rsidTr="00AE2639">
        <w:trPr>
          <w:trHeight w:val="285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3204B2" w14:textId="77777777" w:rsidR="00795927" w:rsidRPr="00DE0C5F" w:rsidRDefault="00795927" w:rsidP="00AE26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E0C5F">
              <w:rPr>
                <w:rFonts w:ascii="Arial" w:hAnsi="Arial" w:cs="Arial"/>
                <w:color w:val="000000"/>
                <w:kern w:val="0"/>
                <w:sz w:val="22"/>
              </w:rPr>
              <w:t>Study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EB08AB" w14:textId="77777777" w:rsidR="00795927" w:rsidRPr="00DE0C5F" w:rsidRDefault="00795927" w:rsidP="00AE26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E0C5F">
              <w:rPr>
                <w:rFonts w:ascii="Arial" w:hAnsi="Arial" w:cs="Arial"/>
                <w:color w:val="000000"/>
                <w:kern w:val="0"/>
                <w:sz w:val="22"/>
              </w:rPr>
              <w:t>Year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B84017" w14:textId="77777777" w:rsidR="00795927" w:rsidRPr="00DE0C5F" w:rsidRDefault="00795927" w:rsidP="00AE26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</w:rPr>
              <w:t xml:space="preserve">Pessary group number </w:t>
            </w:r>
            <w:r w:rsidRPr="00DE0C5F">
              <w:rPr>
                <w:rFonts w:ascii="Arial" w:hAnsi="Arial" w:cs="Arial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7FA67E" w14:textId="77777777" w:rsidR="00795927" w:rsidRPr="00DE0C5F" w:rsidRDefault="00795927" w:rsidP="00AE26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E0C5F">
              <w:rPr>
                <w:rFonts w:ascii="Arial" w:hAnsi="Arial" w:cs="Arial"/>
                <w:color w:val="000000"/>
                <w:kern w:val="0"/>
                <w:sz w:val="22"/>
              </w:rPr>
              <w:t>C</w:t>
            </w:r>
            <w:r>
              <w:rPr>
                <w:rFonts w:ascii="Arial" w:hAnsi="Arial" w:cs="Arial"/>
                <w:color w:val="000000"/>
                <w:kern w:val="0"/>
                <w:sz w:val="22"/>
              </w:rPr>
              <w:t>ontrol group number</w:t>
            </w:r>
          </w:p>
        </w:tc>
      </w:tr>
      <w:tr w:rsidR="00795927" w:rsidRPr="00DE0C5F" w14:paraId="2B02F590" w14:textId="77777777" w:rsidTr="00AE2639">
        <w:trPr>
          <w:trHeight w:val="285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797F" w14:textId="77777777" w:rsidR="00795927" w:rsidRPr="00DE0C5F" w:rsidRDefault="00795927" w:rsidP="00AE26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proofErr w:type="spellStart"/>
            <w:r w:rsidRPr="00DE0C5F">
              <w:rPr>
                <w:rFonts w:ascii="Arial" w:hAnsi="Arial" w:cs="Arial"/>
                <w:color w:val="000000"/>
                <w:kern w:val="0"/>
                <w:szCs w:val="21"/>
              </w:rPr>
              <w:t>Karbasian</w:t>
            </w:r>
            <w:proofErr w:type="spellEnd"/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D3AF" w14:textId="77777777" w:rsidR="00795927" w:rsidRPr="00DE0C5F" w:rsidRDefault="00795927" w:rsidP="00AE26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E0C5F">
              <w:rPr>
                <w:rFonts w:ascii="Arial" w:hAnsi="Arial" w:cs="Arial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8C2F" w14:textId="77777777" w:rsidR="00795927" w:rsidRPr="00DE0C5F" w:rsidRDefault="00795927" w:rsidP="00AE26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E0C5F">
              <w:rPr>
                <w:rFonts w:ascii="Arial" w:hAnsi="Arial" w:cs="Arial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B5F8" w14:textId="77777777" w:rsidR="00795927" w:rsidRPr="00DE0C5F" w:rsidRDefault="00795927" w:rsidP="00AE26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E0C5F">
              <w:rPr>
                <w:rFonts w:ascii="Arial" w:hAnsi="Arial" w:cs="Arial"/>
                <w:color w:val="000000"/>
                <w:kern w:val="0"/>
                <w:sz w:val="22"/>
              </w:rPr>
              <w:t>73</w:t>
            </w:r>
          </w:p>
        </w:tc>
      </w:tr>
      <w:tr w:rsidR="00795927" w:rsidRPr="00DE0C5F" w14:paraId="4C3D688C" w14:textId="77777777" w:rsidTr="00AE2639">
        <w:trPr>
          <w:trHeight w:val="285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6291" w14:textId="77777777" w:rsidR="00795927" w:rsidRPr="00DE0C5F" w:rsidRDefault="00795927" w:rsidP="00AE26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DE0C5F">
              <w:rPr>
                <w:rFonts w:ascii="Arial" w:hAnsi="Arial" w:cs="Arial"/>
                <w:color w:val="000000"/>
                <w:kern w:val="0"/>
                <w:szCs w:val="21"/>
              </w:rPr>
              <w:t>Nicolaides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1291" w14:textId="77777777" w:rsidR="00795927" w:rsidRPr="00DE0C5F" w:rsidRDefault="00795927" w:rsidP="00AE26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E0C5F">
              <w:rPr>
                <w:rFonts w:ascii="Arial" w:hAnsi="Arial" w:cs="Arial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1FDD" w14:textId="77777777" w:rsidR="00795927" w:rsidRPr="00DE0C5F" w:rsidRDefault="00795927" w:rsidP="00AE26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E0C5F">
              <w:rPr>
                <w:rFonts w:ascii="Arial" w:hAnsi="Arial" w:cs="Arial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3D4D" w14:textId="77777777" w:rsidR="00795927" w:rsidRPr="00DE0C5F" w:rsidRDefault="00795927" w:rsidP="00AE26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E0C5F">
              <w:rPr>
                <w:rFonts w:ascii="Arial" w:hAnsi="Arial" w:cs="Arial"/>
                <w:color w:val="000000"/>
                <w:kern w:val="0"/>
                <w:sz w:val="22"/>
              </w:rPr>
              <w:t>217</w:t>
            </w:r>
          </w:p>
        </w:tc>
      </w:tr>
      <w:tr w:rsidR="00795927" w:rsidRPr="00DE0C5F" w14:paraId="380FFCBE" w14:textId="77777777" w:rsidTr="00AE2639">
        <w:trPr>
          <w:trHeight w:val="285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97D3" w14:textId="77777777" w:rsidR="00795927" w:rsidRPr="00DE0C5F" w:rsidRDefault="00795927" w:rsidP="00AE26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DE0C5F">
              <w:rPr>
                <w:rFonts w:ascii="Arial" w:hAnsi="Arial" w:cs="Arial"/>
                <w:color w:val="000000"/>
                <w:kern w:val="0"/>
                <w:szCs w:val="21"/>
              </w:rPr>
              <w:t>Saccone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791B" w14:textId="77777777" w:rsidR="00795927" w:rsidRPr="00DE0C5F" w:rsidRDefault="00795927" w:rsidP="00AE26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E0C5F">
              <w:rPr>
                <w:rFonts w:ascii="Arial" w:hAnsi="Arial" w:cs="Arial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D998" w14:textId="77777777" w:rsidR="00795927" w:rsidRPr="00DE0C5F" w:rsidRDefault="00795927" w:rsidP="00AE26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E0C5F">
              <w:rPr>
                <w:rFonts w:ascii="Arial" w:hAnsi="Arial" w:cs="Arial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A5CA" w14:textId="77777777" w:rsidR="00795927" w:rsidRPr="00DE0C5F" w:rsidRDefault="00795927" w:rsidP="00AE2639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E0C5F">
              <w:rPr>
                <w:rFonts w:ascii="Arial" w:hAnsi="Arial" w:cs="Arial"/>
                <w:color w:val="000000"/>
                <w:kern w:val="0"/>
                <w:sz w:val="22"/>
              </w:rPr>
              <w:t>125</w:t>
            </w:r>
          </w:p>
        </w:tc>
      </w:tr>
    </w:tbl>
    <w:p w14:paraId="585FCE01" w14:textId="77777777" w:rsidR="00795927" w:rsidRDefault="00795927" w:rsidP="00795927"/>
    <w:p w14:paraId="6DD99E31" w14:textId="59BDA997" w:rsidR="00DE0C5F" w:rsidRPr="00795927" w:rsidRDefault="00DE0C5F" w:rsidP="00DE0C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left"/>
        <w:rPr>
          <w:rFonts w:ascii="Times New Roman" w:hAnsi="Times New Roman"/>
          <w:sz w:val="20"/>
          <w:szCs w:val="20"/>
        </w:rPr>
      </w:pPr>
      <w:r w:rsidRPr="00795927">
        <w:rPr>
          <w:rFonts w:ascii="Times New Roman" w:hAnsi="Times New Roman"/>
          <w:sz w:val="20"/>
          <w:szCs w:val="20"/>
        </w:rPr>
        <w:t xml:space="preserve">For </w:t>
      </w:r>
      <w:proofErr w:type="spellStart"/>
      <w:r w:rsidRPr="00795927">
        <w:rPr>
          <w:rFonts w:ascii="Times New Roman" w:hAnsi="Times New Roman"/>
          <w:sz w:val="20"/>
          <w:szCs w:val="20"/>
        </w:rPr>
        <w:t>Karbasian</w:t>
      </w:r>
      <w:proofErr w:type="spellEnd"/>
      <w:r w:rsidRPr="00795927">
        <w:rPr>
          <w:rFonts w:ascii="Times New Roman" w:hAnsi="Times New Roman"/>
          <w:sz w:val="20"/>
          <w:szCs w:val="20"/>
        </w:rPr>
        <w:t xml:space="preserve"> 2016, they included 144 patients.</w:t>
      </w:r>
    </w:p>
    <w:p w14:paraId="5096A6A0" w14:textId="5CE03AC7" w:rsidR="00DE0C5F" w:rsidRPr="00795927" w:rsidRDefault="00DE0C5F" w:rsidP="00DE0C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left"/>
        <w:rPr>
          <w:rFonts w:ascii="Times New Roman" w:hAnsi="Times New Roman"/>
          <w:sz w:val="20"/>
          <w:szCs w:val="20"/>
        </w:rPr>
      </w:pPr>
      <w:r w:rsidRPr="00795927">
        <w:rPr>
          <w:rFonts w:ascii="Times New Roman" w:hAnsi="Times New Roman"/>
          <w:sz w:val="20"/>
          <w:szCs w:val="20"/>
        </w:rPr>
        <w:t xml:space="preserve">For Nicolaides 2016, they included 465 participants in </w:t>
      </w:r>
      <w:r w:rsidR="00885472">
        <w:rPr>
          <w:rFonts w:ascii="Times New Roman" w:hAnsi="Times New Roman"/>
          <w:sz w:val="20"/>
          <w:szCs w:val="20"/>
        </w:rPr>
        <w:t xml:space="preserve">the </w:t>
      </w:r>
      <w:bookmarkStart w:id="0" w:name="_GoBack"/>
      <w:bookmarkEnd w:id="0"/>
      <w:r w:rsidRPr="00795927">
        <w:rPr>
          <w:rFonts w:ascii="Times New Roman" w:hAnsi="Times New Roman"/>
          <w:sz w:val="20"/>
          <w:szCs w:val="20"/>
        </w:rPr>
        <w:t xml:space="preserve">pessary group and 467 participants in the control group., there were 201 patients combined with progesterone therapy in </w:t>
      </w:r>
      <w:r w:rsidR="00885472">
        <w:rPr>
          <w:rFonts w:ascii="Times New Roman" w:hAnsi="Times New Roman"/>
          <w:sz w:val="20"/>
          <w:szCs w:val="20"/>
        </w:rPr>
        <w:t xml:space="preserve">the </w:t>
      </w:r>
      <w:r w:rsidRPr="00795927">
        <w:rPr>
          <w:rFonts w:ascii="Times New Roman" w:hAnsi="Times New Roman"/>
          <w:sz w:val="20"/>
          <w:szCs w:val="20"/>
        </w:rPr>
        <w:t xml:space="preserve">pessary group, and there were 207 patients used progesterone therapy in </w:t>
      </w:r>
      <w:r w:rsidR="00885472">
        <w:rPr>
          <w:rFonts w:ascii="Times New Roman" w:hAnsi="Times New Roman"/>
          <w:sz w:val="20"/>
          <w:szCs w:val="20"/>
        </w:rPr>
        <w:t xml:space="preserve">the </w:t>
      </w:r>
      <w:r w:rsidRPr="00795927">
        <w:rPr>
          <w:rFonts w:ascii="Times New Roman" w:hAnsi="Times New Roman"/>
          <w:sz w:val="20"/>
          <w:szCs w:val="20"/>
        </w:rPr>
        <w:t>control group. These data are in the Supplementary Appendix, available at NEJM.org. So, we extracted 408 participants in Nicolaides 2016.</w:t>
      </w:r>
    </w:p>
    <w:p w14:paraId="3E832676" w14:textId="00DC2EC4" w:rsidR="00DE0C5F" w:rsidRPr="00795927" w:rsidRDefault="00DE0C5F" w:rsidP="00DE0C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left"/>
        <w:rPr>
          <w:rFonts w:ascii="Times New Roman" w:hAnsi="Times New Roman"/>
          <w:sz w:val="20"/>
          <w:szCs w:val="20"/>
        </w:rPr>
      </w:pPr>
      <w:r w:rsidRPr="00795927">
        <w:rPr>
          <w:rFonts w:ascii="Times New Roman" w:hAnsi="Times New Roman"/>
          <w:sz w:val="20"/>
          <w:szCs w:val="20"/>
        </w:rPr>
        <w:t xml:space="preserve">For Saccone 2017, they included 150 participants in </w:t>
      </w:r>
      <w:r w:rsidR="00885472">
        <w:rPr>
          <w:rFonts w:ascii="Times New Roman" w:hAnsi="Times New Roman"/>
          <w:sz w:val="20"/>
          <w:szCs w:val="20"/>
        </w:rPr>
        <w:t xml:space="preserve">the </w:t>
      </w:r>
      <w:r w:rsidRPr="00795927">
        <w:rPr>
          <w:rFonts w:ascii="Times New Roman" w:hAnsi="Times New Roman"/>
          <w:sz w:val="20"/>
          <w:szCs w:val="20"/>
        </w:rPr>
        <w:t xml:space="preserve">pessary group and 150 participants in the control group. There were 133 patients combined with progesterone therapy in </w:t>
      </w:r>
      <w:r w:rsidR="00885472">
        <w:rPr>
          <w:rFonts w:ascii="Times New Roman" w:hAnsi="Times New Roman"/>
          <w:sz w:val="20"/>
          <w:szCs w:val="20"/>
        </w:rPr>
        <w:t xml:space="preserve">the </w:t>
      </w:r>
      <w:r w:rsidRPr="00795927">
        <w:rPr>
          <w:rFonts w:ascii="Times New Roman" w:hAnsi="Times New Roman"/>
          <w:sz w:val="20"/>
          <w:szCs w:val="20"/>
        </w:rPr>
        <w:t xml:space="preserve">pessary group, and there were 125 patients used progesterone therapy in </w:t>
      </w:r>
      <w:r w:rsidR="00885472">
        <w:rPr>
          <w:rFonts w:ascii="Times New Roman" w:hAnsi="Times New Roman"/>
          <w:sz w:val="20"/>
          <w:szCs w:val="20"/>
        </w:rPr>
        <w:t xml:space="preserve">the </w:t>
      </w:r>
      <w:r w:rsidRPr="00795927">
        <w:rPr>
          <w:rFonts w:ascii="Times New Roman" w:hAnsi="Times New Roman"/>
          <w:sz w:val="20"/>
          <w:szCs w:val="20"/>
        </w:rPr>
        <w:t>control group. These data are in Supplement 2 of the article. So, we extracted 258 participants in Saccone 2017.</w:t>
      </w:r>
    </w:p>
    <w:p w14:paraId="48674AA4" w14:textId="7BE094B5" w:rsidR="00DE0C5F" w:rsidRDefault="00DE0C5F" w:rsidP="00DE0C5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795927">
        <w:rPr>
          <w:rFonts w:ascii="Times New Roman" w:hAnsi="Times New Roman" w:hint="eastAsia"/>
          <w:sz w:val="20"/>
          <w:szCs w:val="20"/>
        </w:rPr>
        <w:t>T</w:t>
      </w:r>
      <w:r w:rsidRPr="00795927">
        <w:rPr>
          <w:rFonts w:ascii="Times New Roman" w:hAnsi="Times New Roman"/>
          <w:sz w:val="20"/>
          <w:szCs w:val="20"/>
        </w:rPr>
        <w:t>he total number is (71+73) + (201+217) + (133+125) = 820.</w:t>
      </w:r>
    </w:p>
    <w:sectPr w:rsidR="00DE0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52B69" w14:textId="77777777" w:rsidR="006E2F92" w:rsidRDefault="006E2F92" w:rsidP="00DE0C5F">
      <w:r>
        <w:separator/>
      </w:r>
    </w:p>
  </w:endnote>
  <w:endnote w:type="continuationSeparator" w:id="0">
    <w:p w14:paraId="1886D673" w14:textId="77777777" w:rsidR="006E2F92" w:rsidRDefault="006E2F92" w:rsidP="00DE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98360" w14:textId="77777777" w:rsidR="006E2F92" w:rsidRDefault="006E2F92" w:rsidP="00DE0C5F">
      <w:r>
        <w:separator/>
      </w:r>
    </w:p>
  </w:footnote>
  <w:footnote w:type="continuationSeparator" w:id="0">
    <w:p w14:paraId="61FEFEF6" w14:textId="77777777" w:rsidR="006E2F92" w:rsidRDefault="006E2F92" w:rsidP="00DE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1ACJLQwMTCxMjUyUdpeDU4uLM/DyQAsNaAGG5GpQsAAAA"/>
  </w:docVars>
  <w:rsids>
    <w:rsidRoot w:val="005B20B6"/>
    <w:rsid w:val="003338D1"/>
    <w:rsid w:val="005B20B6"/>
    <w:rsid w:val="006E2F92"/>
    <w:rsid w:val="00795927"/>
    <w:rsid w:val="00885472"/>
    <w:rsid w:val="00D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7643F"/>
  <w15:chartTrackingRefBased/>
  <w15:docId w15:val="{F2ADF045-A278-42E8-AE45-CBCE8EC8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0C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0C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0C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0C5F"/>
    <w:rPr>
      <w:sz w:val="18"/>
      <w:szCs w:val="18"/>
    </w:rPr>
  </w:style>
  <w:style w:type="character" w:customStyle="1" w:styleId="fontstyle21">
    <w:name w:val="fontstyle21"/>
    <w:rsid w:val="00795927"/>
    <w:rPr>
      <w:rFonts w:ascii="MinionPro-Regular" w:hAnsi="MinionPro-Regular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Guang</dc:creator>
  <cp:keywords/>
  <dc:description/>
  <cp:lastModifiedBy>Song, Guang</cp:lastModifiedBy>
  <cp:revision>4</cp:revision>
  <dcterms:created xsi:type="dcterms:W3CDTF">2019-09-21T01:38:00Z</dcterms:created>
  <dcterms:modified xsi:type="dcterms:W3CDTF">2019-09-21T01:42:00Z</dcterms:modified>
</cp:coreProperties>
</file>