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F4463" w14:textId="37A7E818" w:rsidR="00097F3B" w:rsidRPr="00097F3B" w:rsidRDefault="00097F3B" w:rsidP="00097F3B">
      <w:pPr>
        <w:jc w:val="center"/>
        <w:rPr>
          <w:rFonts w:cstheme="minorHAnsi"/>
          <w:b/>
          <w:sz w:val="24"/>
        </w:rPr>
      </w:pPr>
      <w:r w:rsidRPr="00097F3B">
        <w:rPr>
          <w:rFonts w:cstheme="minorHAnsi"/>
          <w:b/>
          <w:sz w:val="24"/>
        </w:rPr>
        <w:t>Supplemental Information</w:t>
      </w:r>
    </w:p>
    <w:p w14:paraId="12953D65" w14:textId="77777777" w:rsidR="00097F3B" w:rsidRDefault="00097F3B" w:rsidP="00097F3B">
      <w:pPr>
        <w:jc w:val="center"/>
        <w:rPr>
          <w:rFonts w:cstheme="minorHAnsi"/>
          <w:b/>
          <w:sz w:val="24"/>
        </w:rPr>
      </w:pPr>
      <w:r>
        <w:rPr>
          <w:rFonts w:cstheme="minorHAnsi"/>
          <w:b/>
          <w:sz w:val="24"/>
        </w:rPr>
        <w:t xml:space="preserve">to the article: </w:t>
      </w:r>
    </w:p>
    <w:p w14:paraId="7F482C59" w14:textId="77777777" w:rsidR="00097F3B" w:rsidRDefault="00097F3B" w:rsidP="00097F3B">
      <w:pPr>
        <w:jc w:val="center"/>
        <w:rPr>
          <w:rFonts w:cstheme="minorHAnsi"/>
          <w:b/>
          <w:sz w:val="24"/>
        </w:rPr>
      </w:pPr>
      <w:r w:rsidRPr="00097F3B">
        <w:rPr>
          <w:rFonts w:cstheme="minorHAnsi"/>
          <w:b/>
          <w:sz w:val="24"/>
        </w:rPr>
        <w:t>Chemical and microphysical properties of wind-blown dust near an actively retreating glacier in Yukon, Canada</w:t>
      </w:r>
    </w:p>
    <w:p w14:paraId="11711BE5" w14:textId="6DAEE674" w:rsidR="00097F3B" w:rsidRDefault="00097F3B" w:rsidP="00097F3B">
      <w:pPr>
        <w:pStyle w:val="Authornames"/>
        <w:spacing w:line="240" w:lineRule="auto"/>
      </w:pPr>
      <w:r w:rsidRPr="00A77A10">
        <w:t>Jill Bachelder</w:t>
      </w:r>
      <w:r w:rsidRPr="00A77A10">
        <w:rPr>
          <w:vertAlign w:val="superscript"/>
        </w:rPr>
        <w:t>1</w:t>
      </w:r>
      <w:r w:rsidRPr="00A77A10">
        <w:t>, Marie Cadieux</w:t>
      </w:r>
      <w:r w:rsidRPr="00A77A10">
        <w:rPr>
          <w:vertAlign w:val="superscript"/>
        </w:rPr>
        <w:t>2</w:t>
      </w:r>
      <w:r w:rsidRPr="00A77A10">
        <w:t>,</w:t>
      </w:r>
      <w:r>
        <w:t xml:space="preserve"> </w:t>
      </w:r>
      <w:r w:rsidRPr="00A77A10">
        <w:t>Carolyn Liu-Kang</w:t>
      </w:r>
      <w:r w:rsidRPr="00A77A10">
        <w:rPr>
          <w:vertAlign w:val="superscript"/>
        </w:rPr>
        <w:t>1</w:t>
      </w:r>
      <w:r w:rsidRPr="00A77A10">
        <w:t xml:space="preserve">, </w:t>
      </w:r>
      <w:proofErr w:type="spellStart"/>
      <w:r w:rsidRPr="00A77A10">
        <w:t>Pérrine</w:t>
      </w:r>
      <w:proofErr w:type="spellEnd"/>
      <w:r w:rsidRPr="00A77A10">
        <w:t xml:space="preserve"> Lambert</w:t>
      </w:r>
      <w:r w:rsidRPr="00A77A10">
        <w:rPr>
          <w:vertAlign w:val="superscript"/>
        </w:rPr>
        <w:t>1</w:t>
      </w:r>
      <w:r w:rsidRPr="00A77A10">
        <w:t xml:space="preserve">, </w:t>
      </w:r>
      <w:proofErr w:type="spellStart"/>
      <w:r w:rsidRPr="00A77A10">
        <w:t>Alexane</w:t>
      </w:r>
      <w:proofErr w:type="spellEnd"/>
      <w:r w:rsidRPr="00A77A10">
        <w:t xml:space="preserve"> Filoche</w:t>
      </w:r>
      <w:r w:rsidRPr="00A77A10">
        <w:rPr>
          <w:vertAlign w:val="superscript"/>
        </w:rPr>
        <w:t>1</w:t>
      </w:r>
      <w:r w:rsidRPr="00A77A10">
        <w:t>, Juliana</w:t>
      </w:r>
      <w:r w:rsidR="006E4DD8">
        <w:t xml:space="preserve"> </w:t>
      </w:r>
      <w:proofErr w:type="spellStart"/>
      <w:r w:rsidR="006E4DD8">
        <w:t>Aparecida</w:t>
      </w:r>
      <w:proofErr w:type="spellEnd"/>
      <w:r w:rsidRPr="00A77A10">
        <w:t xml:space="preserve"> Galhardi</w:t>
      </w:r>
      <w:r w:rsidRPr="00A77A10">
        <w:rPr>
          <w:vertAlign w:val="superscript"/>
        </w:rPr>
        <w:t>1</w:t>
      </w:r>
      <w:r w:rsidRPr="00A77A10">
        <w:t xml:space="preserve">, </w:t>
      </w:r>
      <w:proofErr w:type="spellStart"/>
      <w:r w:rsidRPr="00A77A10">
        <w:t>Madjid</w:t>
      </w:r>
      <w:proofErr w:type="spellEnd"/>
      <w:r w:rsidRPr="00A77A10">
        <w:t xml:space="preserve"> Hadioui</w:t>
      </w:r>
      <w:r w:rsidRPr="00A77A10">
        <w:rPr>
          <w:vertAlign w:val="superscript"/>
        </w:rPr>
        <w:t>1</w:t>
      </w:r>
      <w:r w:rsidRPr="00A77A10">
        <w:t>, Amélie Chaput</w:t>
      </w:r>
      <w:r w:rsidRPr="00A77A10">
        <w:rPr>
          <w:vertAlign w:val="superscript"/>
        </w:rPr>
        <w:t>2</w:t>
      </w:r>
      <w:r w:rsidRPr="00A77A10">
        <w:t xml:space="preserve">, </w:t>
      </w:r>
      <w:r>
        <w:t>Marie-Pierre Bastien-Thibault</w:t>
      </w:r>
      <w:r w:rsidRPr="00C245AA">
        <w:rPr>
          <w:vertAlign w:val="superscript"/>
        </w:rPr>
        <w:t>2</w:t>
      </w:r>
      <w:r>
        <w:t xml:space="preserve">, </w:t>
      </w:r>
      <w:r w:rsidRPr="00A77A10">
        <w:t>Kevin J. Wilkinson</w:t>
      </w:r>
      <w:r w:rsidRPr="00A77A10">
        <w:rPr>
          <w:vertAlign w:val="superscript"/>
        </w:rPr>
        <w:t>1</w:t>
      </w:r>
      <w:r w:rsidRPr="00A77A10">
        <w:t>, James King</w:t>
      </w:r>
      <w:r w:rsidRPr="00A77A10">
        <w:rPr>
          <w:vertAlign w:val="superscript"/>
        </w:rPr>
        <w:t>2</w:t>
      </w:r>
      <w:r w:rsidRPr="00A77A10">
        <w:t>, and Patrick L. Hayes</w:t>
      </w:r>
      <w:r w:rsidRPr="00A77A10">
        <w:rPr>
          <w:vertAlign w:val="superscript"/>
        </w:rPr>
        <w:t>1</w:t>
      </w:r>
    </w:p>
    <w:p w14:paraId="3B47EDBE" w14:textId="77777777" w:rsidR="00097F3B" w:rsidRDefault="00097F3B" w:rsidP="00097F3B">
      <w:pPr>
        <w:pStyle w:val="Affiliation"/>
        <w:spacing w:line="240" w:lineRule="auto"/>
      </w:pPr>
      <w:r w:rsidRPr="00A77A10">
        <w:t>Departments of Chemistry</w:t>
      </w:r>
      <w:r w:rsidRPr="00A77A10">
        <w:rPr>
          <w:vertAlign w:val="superscript"/>
        </w:rPr>
        <w:t>1</w:t>
      </w:r>
      <w:r w:rsidRPr="00A77A10">
        <w:t xml:space="preserve"> and Geography</w:t>
      </w:r>
      <w:r w:rsidRPr="00A77A10">
        <w:rPr>
          <w:vertAlign w:val="superscript"/>
        </w:rPr>
        <w:t>2</w:t>
      </w:r>
      <w:r w:rsidRPr="00A77A10">
        <w:t xml:space="preserve">, </w:t>
      </w:r>
      <w:proofErr w:type="spellStart"/>
      <w:r w:rsidRPr="00A77A10">
        <w:t>Université</w:t>
      </w:r>
      <w:proofErr w:type="spellEnd"/>
      <w:r w:rsidRPr="00A77A10">
        <w:t xml:space="preserve"> de Montréal, Montréal, </w:t>
      </w:r>
      <w:r>
        <w:t>Canada</w:t>
      </w:r>
    </w:p>
    <w:p w14:paraId="1F619FA7" w14:textId="2B2D2DF0" w:rsidR="00097F3B" w:rsidRDefault="00097F3B" w:rsidP="00097F3B">
      <w:pPr>
        <w:rPr>
          <w:rFonts w:cstheme="minorHAnsi"/>
          <w:i/>
          <w:noProof/>
          <w:sz w:val="24"/>
          <w:szCs w:val="24"/>
          <w:lang w:val="en-US"/>
        </w:rPr>
      </w:pPr>
      <w:r>
        <w:rPr>
          <w:rFonts w:cstheme="minorHAnsi"/>
          <w:i/>
          <w:sz w:val="24"/>
        </w:rPr>
        <w:br w:type="page"/>
      </w:r>
    </w:p>
    <w:p w14:paraId="4B384EDE" w14:textId="7474D67D" w:rsidR="0053669A" w:rsidRDefault="0053669A" w:rsidP="00644AEF">
      <w:pPr>
        <w:pStyle w:val="EndNoteBibliography"/>
        <w:numPr>
          <w:ilvl w:val="0"/>
          <w:numId w:val="2"/>
        </w:numPr>
        <w:tabs>
          <w:tab w:val="left" w:pos="8170"/>
        </w:tabs>
        <w:rPr>
          <w:rFonts w:asciiTheme="minorHAnsi" w:hAnsiTheme="minorHAnsi" w:cstheme="minorHAnsi"/>
          <w:i/>
          <w:sz w:val="24"/>
        </w:rPr>
      </w:pPr>
      <w:r>
        <w:rPr>
          <w:rFonts w:asciiTheme="minorHAnsi" w:hAnsiTheme="minorHAnsi" w:cstheme="minorHAnsi"/>
          <w:i/>
          <w:sz w:val="24"/>
        </w:rPr>
        <w:lastRenderedPageBreak/>
        <w:t>Photos of dust emissions from the sampled site</w:t>
      </w:r>
    </w:p>
    <w:p w14:paraId="1C45C81E" w14:textId="77777777" w:rsidR="0053669A" w:rsidRDefault="0053669A" w:rsidP="0053669A">
      <w:pPr>
        <w:pStyle w:val="EndNoteBibliography"/>
        <w:tabs>
          <w:tab w:val="left" w:pos="8170"/>
        </w:tabs>
        <w:ind w:left="1080"/>
        <w:rPr>
          <w:rFonts w:asciiTheme="minorHAnsi" w:hAnsiTheme="minorHAnsi" w:cstheme="minorHAnsi"/>
          <w:i/>
          <w:sz w:val="24"/>
        </w:rPr>
      </w:pPr>
    </w:p>
    <w:p w14:paraId="41556947" w14:textId="7BD5487F" w:rsidR="0053669A" w:rsidRDefault="0053669A" w:rsidP="0053669A">
      <w:pPr>
        <w:pStyle w:val="EndNoteBibliography"/>
        <w:tabs>
          <w:tab w:val="left" w:pos="8170"/>
        </w:tabs>
        <w:ind w:left="360"/>
        <w:jc w:val="center"/>
        <w:rPr>
          <w:rFonts w:asciiTheme="minorHAnsi" w:hAnsiTheme="minorHAnsi" w:cstheme="minorHAnsi"/>
          <w:i/>
          <w:sz w:val="24"/>
        </w:rPr>
      </w:pPr>
      <w:r>
        <w:rPr>
          <w:rFonts w:asciiTheme="minorHAnsi" w:hAnsiTheme="minorHAnsi" w:cstheme="minorHAnsi"/>
          <w:i/>
          <w:sz w:val="24"/>
          <w:lang w:val="fr-CA" w:eastAsia="fr-CA"/>
        </w:rPr>
        <w:drawing>
          <wp:inline distT="0" distB="0" distL="0" distR="0" wp14:anchorId="4763898A" wp14:editId="6A8DFE85">
            <wp:extent cx="5852795"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2795" cy="2438400"/>
                    </a:xfrm>
                    <a:prstGeom prst="rect">
                      <a:avLst/>
                    </a:prstGeom>
                    <a:noFill/>
                  </pic:spPr>
                </pic:pic>
              </a:graphicData>
            </a:graphic>
          </wp:inline>
        </w:drawing>
      </w:r>
    </w:p>
    <w:p w14:paraId="404B31C3" w14:textId="77777777" w:rsidR="0053669A" w:rsidRDefault="0053669A" w:rsidP="0053669A">
      <w:pPr>
        <w:pStyle w:val="EndNoteBibliography"/>
        <w:tabs>
          <w:tab w:val="left" w:pos="8170"/>
        </w:tabs>
        <w:ind w:left="360"/>
        <w:jc w:val="center"/>
        <w:rPr>
          <w:rFonts w:asciiTheme="minorHAnsi" w:hAnsiTheme="minorHAnsi" w:cstheme="minorHAnsi"/>
          <w:i/>
          <w:sz w:val="24"/>
        </w:rPr>
      </w:pPr>
    </w:p>
    <w:p w14:paraId="221C63B8" w14:textId="3EF96077" w:rsidR="00FA76D8" w:rsidRDefault="00FA76D8" w:rsidP="00644AEF">
      <w:pPr>
        <w:pStyle w:val="EndNoteBibliography"/>
        <w:numPr>
          <w:ilvl w:val="0"/>
          <w:numId w:val="2"/>
        </w:numPr>
        <w:tabs>
          <w:tab w:val="left" w:pos="8170"/>
        </w:tabs>
        <w:rPr>
          <w:rFonts w:asciiTheme="minorHAnsi" w:hAnsiTheme="minorHAnsi" w:cstheme="minorHAnsi"/>
          <w:i/>
          <w:sz w:val="24"/>
        </w:rPr>
      </w:pPr>
      <w:r>
        <w:rPr>
          <w:rFonts w:asciiTheme="minorHAnsi" w:hAnsiTheme="minorHAnsi" w:cstheme="minorHAnsi"/>
          <w:i/>
          <w:sz w:val="24"/>
        </w:rPr>
        <w:t>Down Valley site meteorological equipment specifications</w:t>
      </w:r>
    </w:p>
    <w:p w14:paraId="3F4C6F0F" w14:textId="77777777" w:rsidR="00FA76D8" w:rsidRDefault="00FA76D8" w:rsidP="00FA76D8">
      <w:pPr>
        <w:pStyle w:val="EndNoteBibliography"/>
        <w:tabs>
          <w:tab w:val="left" w:pos="8170"/>
        </w:tabs>
        <w:ind w:left="1080"/>
        <w:rPr>
          <w:rFonts w:asciiTheme="minorHAnsi" w:hAnsiTheme="minorHAnsi" w:cstheme="minorHAnsi"/>
          <w:i/>
          <w:sz w:val="24"/>
        </w:rPr>
      </w:pPr>
    </w:p>
    <w:p w14:paraId="7FF68746" w14:textId="5DE195F1" w:rsidR="00FA76D8" w:rsidRDefault="00FA76D8" w:rsidP="00FA76D8">
      <w:pPr>
        <w:pStyle w:val="EndNoteBibliography"/>
        <w:tabs>
          <w:tab w:val="left" w:pos="8170"/>
        </w:tabs>
        <w:ind w:left="1080"/>
        <w:rPr>
          <w:rFonts w:asciiTheme="minorHAnsi" w:hAnsiTheme="minorHAnsi" w:cstheme="minorHAnsi"/>
          <w:i/>
          <w:sz w:val="24"/>
        </w:rPr>
      </w:pPr>
      <w:r>
        <w:rPr>
          <w:rFonts w:asciiTheme="minorHAnsi" w:hAnsiTheme="minorHAnsi" w:cstheme="minorHAnsi"/>
          <w:i/>
          <w:sz w:val="24"/>
          <w:lang w:val="fr-CA" w:eastAsia="fr-CA"/>
        </w:rPr>
        <w:drawing>
          <wp:inline distT="0" distB="0" distL="0" distR="0" wp14:anchorId="7722921E" wp14:editId="58A7EFDC">
            <wp:extent cx="4925695" cy="446278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5695" cy="4462780"/>
                    </a:xfrm>
                    <a:prstGeom prst="rect">
                      <a:avLst/>
                    </a:prstGeom>
                    <a:noFill/>
                  </pic:spPr>
                </pic:pic>
              </a:graphicData>
            </a:graphic>
          </wp:inline>
        </w:drawing>
      </w:r>
    </w:p>
    <w:p w14:paraId="324216AB" w14:textId="77777777" w:rsidR="00932CEB" w:rsidRDefault="00932CEB" w:rsidP="00FA76D8">
      <w:pPr>
        <w:pStyle w:val="EndNoteBibliography"/>
        <w:tabs>
          <w:tab w:val="left" w:pos="8170"/>
        </w:tabs>
        <w:ind w:left="1080"/>
        <w:rPr>
          <w:rFonts w:asciiTheme="minorHAnsi" w:hAnsiTheme="minorHAnsi" w:cstheme="minorHAnsi"/>
          <w:i/>
          <w:sz w:val="24"/>
        </w:rPr>
      </w:pPr>
    </w:p>
    <w:p w14:paraId="50CBF463" w14:textId="77777777" w:rsidR="00664938" w:rsidRDefault="00664938" w:rsidP="00FA76D8">
      <w:pPr>
        <w:pStyle w:val="EndNoteBibliography"/>
        <w:tabs>
          <w:tab w:val="left" w:pos="8170"/>
        </w:tabs>
        <w:ind w:left="1080"/>
        <w:rPr>
          <w:rFonts w:asciiTheme="minorHAnsi" w:hAnsiTheme="minorHAnsi" w:cstheme="minorHAnsi"/>
          <w:i/>
          <w:sz w:val="24"/>
        </w:rPr>
      </w:pPr>
    </w:p>
    <w:p w14:paraId="5F6B3D33" w14:textId="0A66BAE4" w:rsidR="00A029AF" w:rsidRPr="00BC047E" w:rsidRDefault="00A029AF" w:rsidP="00644AEF">
      <w:pPr>
        <w:pStyle w:val="EndNoteBibliography"/>
        <w:numPr>
          <w:ilvl w:val="0"/>
          <w:numId w:val="2"/>
        </w:numPr>
        <w:tabs>
          <w:tab w:val="left" w:pos="8170"/>
        </w:tabs>
        <w:rPr>
          <w:rFonts w:asciiTheme="minorHAnsi" w:hAnsiTheme="minorHAnsi" w:cstheme="minorHAnsi"/>
          <w:i/>
          <w:sz w:val="24"/>
        </w:rPr>
      </w:pPr>
      <w:r w:rsidRPr="00BC047E">
        <w:rPr>
          <w:rFonts w:asciiTheme="minorHAnsi" w:hAnsiTheme="minorHAnsi" w:cstheme="minorHAnsi"/>
          <w:i/>
          <w:sz w:val="24"/>
        </w:rPr>
        <w:lastRenderedPageBreak/>
        <w:t>Quality control and data analysis for aerosol sampling instruments</w:t>
      </w:r>
    </w:p>
    <w:p w14:paraId="3017A438" w14:textId="77777777" w:rsidR="00A029AF" w:rsidRPr="00BC047E" w:rsidRDefault="00A029AF" w:rsidP="00A029AF">
      <w:pPr>
        <w:pStyle w:val="EndNoteBibliography"/>
        <w:tabs>
          <w:tab w:val="left" w:pos="8170"/>
        </w:tabs>
        <w:rPr>
          <w:rFonts w:asciiTheme="minorHAnsi" w:hAnsiTheme="minorHAnsi" w:cstheme="minorHAnsi"/>
          <w:sz w:val="24"/>
        </w:rPr>
      </w:pPr>
    </w:p>
    <w:p w14:paraId="2C8BFC46" w14:textId="33EB0521" w:rsidR="00A029AF" w:rsidRPr="00BC047E" w:rsidRDefault="00A029AF" w:rsidP="00A029AF">
      <w:pPr>
        <w:pStyle w:val="EndNoteBibliography"/>
        <w:tabs>
          <w:tab w:val="left" w:pos="8170"/>
        </w:tabs>
        <w:rPr>
          <w:rFonts w:asciiTheme="minorHAnsi" w:hAnsiTheme="minorHAnsi" w:cstheme="minorHAnsi"/>
          <w:sz w:val="24"/>
        </w:rPr>
      </w:pPr>
      <w:r w:rsidRPr="00BC047E">
        <w:rPr>
          <w:rFonts w:asciiTheme="minorHAnsi" w:hAnsiTheme="minorHAnsi" w:cstheme="minorHAnsi"/>
          <w:sz w:val="24"/>
        </w:rPr>
        <w:t>The level of contamination introduced during the handling and transport of the filter samples was determined through analysis of the field blanks for all four air samplers deployed in the field. The average mass on the field blanks was 0.11 mg ± 0.07 mg. The maximum mass of particulate matter recorded on a filter blank was 0.21 mg (found in a blank collected from the 6 m sampler at the DV site), which could introduce an over-estimation of no more than 10 µg/m</w:t>
      </w:r>
      <w:r w:rsidRPr="00BC047E">
        <w:rPr>
          <w:rFonts w:asciiTheme="minorHAnsi" w:hAnsiTheme="minorHAnsi" w:cstheme="minorHAnsi"/>
          <w:sz w:val="24"/>
          <w:vertAlign w:val="superscript"/>
        </w:rPr>
        <w:t>3</w:t>
      </w:r>
      <w:r w:rsidRPr="00BC047E">
        <w:rPr>
          <w:rFonts w:asciiTheme="minorHAnsi" w:hAnsiTheme="minorHAnsi" w:cstheme="minorHAnsi"/>
          <w:sz w:val="24"/>
        </w:rPr>
        <w:t xml:space="preserve"> into the monitoring of a 24</w:t>
      </w:r>
      <w:r w:rsidR="00F2113F">
        <w:rPr>
          <w:rFonts w:asciiTheme="minorHAnsi" w:hAnsiTheme="minorHAnsi" w:cstheme="minorHAnsi"/>
          <w:sz w:val="24"/>
        </w:rPr>
        <w:t xml:space="preserve"> hr</w:t>
      </w:r>
      <w:r w:rsidRPr="00BC047E">
        <w:rPr>
          <w:rFonts w:asciiTheme="minorHAnsi" w:hAnsiTheme="minorHAnsi" w:cstheme="minorHAnsi"/>
          <w:sz w:val="24"/>
        </w:rPr>
        <w:t xml:space="preserve"> period; this is more than an order of magnitude lower than the typical 24</w:t>
      </w:r>
      <w:r w:rsidR="00F2113F">
        <w:rPr>
          <w:rFonts w:asciiTheme="minorHAnsi" w:hAnsiTheme="minorHAnsi" w:cstheme="minorHAnsi"/>
          <w:sz w:val="24"/>
        </w:rPr>
        <w:t xml:space="preserve"> hr</w:t>
      </w:r>
      <w:r w:rsidRPr="00BC047E">
        <w:rPr>
          <w:rFonts w:asciiTheme="minorHAnsi" w:hAnsiTheme="minorHAnsi" w:cstheme="minorHAnsi"/>
          <w:sz w:val="24"/>
        </w:rPr>
        <w:t xml:space="preserve"> mass concentration recorded by these instruments, and is thus a negligible contribution. Moreover, ICP-MS analysis of field blanks indicated negligible metal concentrations as compared to filter samples, also demonstrating the limited contamination introduced to the filters (</w:t>
      </w:r>
      <w:r w:rsidR="00484594">
        <w:rPr>
          <w:rFonts w:asciiTheme="minorHAnsi" w:hAnsiTheme="minorHAnsi" w:cstheme="minorHAnsi"/>
          <w:sz w:val="24"/>
        </w:rPr>
        <w:t>see Results and Discussion</w:t>
      </w:r>
      <w:r w:rsidRPr="00BC047E">
        <w:rPr>
          <w:rFonts w:asciiTheme="minorHAnsi" w:hAnsiTheme="minorHAnsi" w:cstheme="minorHAnsi"/>
          <w:sz w:val="24"/>
        </w:rPr>
        <w:t>). For all gravimetric and ICP-MS analyses, measurements were blank-subtracted to account for any contamination.</w:t>
      </w:r>
    </w:p>
    <w:p w14:paraId="283B5F28" w14:textId="77777777" w:rsidR="009D53F2" w:rsidRPr="00BC047E" w:rsidRDefault="009D53F2" w:rsidP="00A029AF">
      <w:pPr>
        <w:pStyle w:val="EndNoteBibliography"/>
        <w:tabs>
          <w:tab w:val="left" w:pos="8170"/>
        </w:tabs>
        <w:rPr>
          <w:rFonts w:asciiTheme="minorHAnsi" w:hAnsiTheme="minorHAnsi" w:cstheme="minorHAnsi"/>
          <w:sz w:val="24"/>
        </w:rPr>
      </w:pPr>
    </w:p>
    <w:p w14:paraId="12E27AB4" w14:textId="78F421E5" w:rsidR="0004260D" w:rsidRPr="00BC047E" w:rsidRDefault="00A029AF" w:rsidP="00A029AF">
      <w:pPr>
        <w:pStyle w:val="EndNoteBibliography"/>
        <w:rPr>
          <w:rFonts w:asciiTheme="minorHAnsi" w:hAnsiTheme="minorHAnsi" w:cstheme="minorHAnsi"/>
          <w:sz w:val="24"/>
        </w:rPr>
      </w:pPr>
      <w:r w:rsidRPr="00BC047E">
        <w:rPr>
          <w:rFonts w:asciiTheme="minorHAnsi" w:hAnsiTheme="minorHAnsi" w:cstheme="minorHAnsi"/>
          <w:sz w:val="24"/>
        </w:rPr>
        <w:t>To assess the accuracy of our OPC measurements, an averaged PM</w:t>
      </w:r>
      <w:r w:rsidRPr="00BC047E">
        <w:rPr>
          <w:rFonts w:asciiTheme="minorHAnsi" w:hAnsiTheme="minorHAnsi" w:cstheme="minorHAnsi"/>
          <w:sz w:val="24"/>
          <w:vertAlign w:val="subscript"/>
        </w:rPr>
        <w:t>10</w:t>
      </w:r>
      <w:r w:rsidRPr="00BC047E">
        <w:rPr>
          <w:rFonts w:asciiTheme="minorHAnsi" w:hAnsiTheme="minorHAnsi" w:cstheme="minorHAnsi"/>
          <w:sz w:val="24"/>
        </w:rPr>
        <w:t xml:space="preserve"> mass concentration was calculated from the measured particle size distribution for the same periods sampled by our mini-vol samplers at the Down Valley site</w:t>
      </w:r>
      <w:r w:rsidR="00937873">
        <w:rPr>
          <w:rFonts w:asciiTheme="minorHAnsi" w:hAnsiTheme="minorHAnsi" w:cstheme="minorHAnsi"/>
          <w:sz w:val="24"/>
        </w:rPr>
        <w:t xml:space="preserve"> (Gillies and Berkofsky</w:t>
      </w:r>
      <w:r w:rsidR="00120AB8">
        <w:rPr>
          <w:rFonts w:asciiTheme="minorHAnsi" w:hAnsiTheme="minorHAnsi" w:cstheme="minorHAnsi"/>
          <w:sz w:val="24"/>
        </w:rPr>
        <w:t xml:space="preserve"> 2004)</w:t>
      </w:r>
      <w:r w:rsidRPr="00BC047E">
        <w:rPr>
          <w:rFonts w:asciiTheme="minorHAnsi" w:hAnsiTheme="minorHAnsi" w:cstheme="minorHAnsi"/>
          <w:sz w:val="24"/>
        </w:rPr>
        <w:t>.</w:t>
      </w:r>
      <w:r w:rsidR="00120AB8">
        <w:rPr>
          <w:rFonts w:asciiTheme="minorHAnsi" w:hAnsiTheme="minorHAnsi" w:cstheme="minorHAnsi"/>
          <w:sz w:val="24"/>
        </w:rPr>
        <w:t xml:space="preserve"> </w:t>
      </w:r>
      <w:r w:rsidRPr="00BC047E">
        <w:rPr>
          <w:rFonts w:asciiTheme="minorHAnsi" w:hAnsiTheme="minorHAnsi" w:cstheme="minorHAnsi"/>
          <w:sz w:val="24"/>
        </w:rPr>
        <w:t xml:space="preserve"> An assumed particle density of 2.6 g cm</w:t>
      </w:r>
      <w:r w:rsidRPr="00BC047E">
        <w:rPr>
          <w:rFonts w:asciiTheme="minorHAnsi" w:hAnsiTheme="minorHAnsi" w:cstheme="minorHAnsi"/>
          <w:sz w:val="24"/>
          <w:vertAlign w:val="superscript"/>
        </w:rPr>
        <w:t>-3</w:t>
      </w:r>
      <w:r w:rsidRPr="00BC047E">
        <w:rPr>
          <w:rFonts w:asciiTheme="minorHAnsi" w:hAnsiTheme="minorHAnsi" w:cstheme="minorHAnsi"/>
          <w:sz w:val="24"/>
        </w:rPr>
        <w:t xml:space="preserve"> was used for this calculation, in accordance with the generally accepted density of mineral dust particles provided in the literature</w:t>
      </w:r>
      <w:r w:rsidR="00120AB8">
        <w:rPr>
          <w:rFonts w:asciiTheme="minorHAnsi" w:hAnsiTheme="minorHAnsi" w:cstheme="minorHAnsi"/>
          <w:sz w:val="24"/>
        </w:rPr>
        <w:t xml:space="preserve"> (Tegen and Fung 1994, Yang et al. 2009)</w:t>
      </w:r>
      <w:r w:rsidRPr="00BC047E">
        <w:rPr>
          <w:rFonts w:asciiTheme="minorHAnsi" w:hAnsiTheme="minorHAnsi" w:cstheme="minorHAnsi"/>
          <w:sz w:val="24"/>
        </w:rPr>
        <w:t xml:space="preserve">. The daily mass concentration calculated from the OPC data was well correlated with the mass concentrations determined via gravimetric analysis of both the 6 m and </w:t>
      </w:r>
      <w:r w:rsidR="00FF6D55">
        <w:rPr>
          <w:rFonts w:asciiTheme="minorHAnsi" w:hAnsiTheme="minorHAnsi" w:cstheme="minorHAnsi"/>
          <w:sz w:val="24"/>
        </w:rPr>
        <w:t>2</w:t>
      </w:r>
      <w:r w:rsidRPr="00BC047E">
        <w:rPr>
          <w:rFonts w:asciiTheme="minorHAnsi" w:hAnsiTheme="minorHAnsi" w:cstheme="minorHAnsi"/>
          <w:sz w:val="24"/>
        </w:rPr>
        <w:t xml:space="preserve"> m quartz filters, with R</w:t>
      </w:r>
      <w:r w:rsidRPr="00BC047E">
        <w:rPr>
          <w:rFonts w:asciiTheme="minorHAnsi" w:hAnsiTheme="minorHAnsi" w:cstheme="minorHAnsi"/>
          <w:sz w:val="24"/>
          <w:vertAlign w:val="superscript"/>
        </w:rPr>
        <w:t>2</w:t>
      </w:r>
      <w:r w:rsidRPr="00BC047E">
        <w:rPr>
          <w:rFonts w:asciiTheme="minorHAnsi" w:hAnsiTheme="minorHAnsi" w:cstheme="minorHAnsi"/>
          <w:sz w:val="24"/>
        </w:rPr>
        <w:t xml:space="preserve"> values of 0.963 and 0.918, respectively. We then used the gravimetric data from the Down Valley site 6 m and 2 m samplers to estimate the daily ambient mass concentration of PM</w:t>
      </w:r>
      <w:r w:rsidRPr="00BC047E">
        <w:rPr>
          <w:rFonts w:asciiTheme="minorHAnsi" w:hAnsiTheme="minorHAnsi" w:cstheme="minorHAnsi"/>
          <w:sz w:val="24"/>
          <w:vertAlign w:val="subscript"/>
        </w:rPr>
        <w:t>10</w:t>
      </w:r>
      <w:r w:rsidRPr="00BC047E">
        <w:rPr>
          <w:rFonts w:asciiTheme="minorHAnsi" w:hAnsiTheme="minorHAnsi" w:cstheme="minorHAnsi"/>
          <w:sz w:val="24"/>
        </w:rPr>
        <w:t xml:space="preserve"> at the height of the OPC (4.5 m), using the method of Gillies </w:t>
      </w:r>
      <w:r w:rsidR="00120AB8">
        <w:rPr>
          <w:rFonts w:asciiTheme="minorHAnsi" w:hAnsiTheme="minorHAnsi" w:cstheme="minorHAnsi"/>
          <w:sz w:val="24"/>
        </w:rPr>
        <w:t>and Berkofsky (2004).</w:t>
      </w:r>
      <w:r w:rsidRPr="00BC047E">
        <w:rPr>
          <w:rFonts w:asciiTheme="minorHAnsi" w:hAnsiTheme="minorHAnsi" w:cstheme="minorHAnsi"/>
          <w:sz w:val="24"/>
        </w:rPr>
        <w:t xml:space="preserve"> The comparison of the estimated values and OPC output gave an R</w:t>
      </w:r>
      <w:r w:rsidRPr="00BC047E">
        <w:rPr>
          <w:rFonts w:asciiTheme="minorHAnsi" w:hAnsiTheme="minorHAnsi" w:cstheme="minorHAnsi"/>
          <w:sz w:val="24"/>
          <w:vertAlign w:val="superscript"/>
        </w:rPr>
        <w:t>2</w:t>
      </w:r>
      <w:r w:rsidRPr="00BC047E">
        <w:rPr>
          <w:rFonts w:asciiTheme="minorHAnsi" w:hAnsiTheme="minorHAnsi" w:cstheme="minorHAnsi"/>
          <w:sz w:val="24"/>
        </w:rPr>
        <w:t xml:space="preserve"> value of 0.98 and a slope of 1.13 (Supplemental Information, Figure 2); as the </w:t>
      </w:r>
      <w:r w:rsidR="00837B26">
        <w:rPr>
          <w:rFonts w:asciiTheme="minorHAnsi" w:hAnsiTheme="minorHAnsi" w:cstheme="minorHAnsi"/>
          <w:sz w:val="24"/>
        </w:rPr>
        <w:t>ideal</w:t>
      </w:r>
      <w:r w:rsidRPr="00BC047E">
        <w:rPr>
          <w:rFonts w:asciiTheme="minorHAnsi" w:hAnsiTheme="minorHAnsi" w:cstheme="minorHAnsi"/>
          <w:sz w:val="24"/>
        </w:rPr>
        <w:t xml:space="preserve"> slope should be 1.00, we found this to be an acceptable indicator of the validity of the OPC data. </w:t>
      </w:r>
    </w:p>
    <w:p w14:paraId="6D8FB373" w14:textId="77777777" w:rsidR="0004260D" w:rsidRPr="00BC047E" w:rsidRDefault="0004260D" w:rsidP="00A029AF">
      <w:pPr>
        <w:pStyle w:val="EndNoteBibliography"/>
        <w:rPr>
          <w:rFonts w:asciiTheme="minorHAnsi" w:hAnsiTheme="minorHAnsi" w:cstheme="minorHAnsi"/>
          <w:sz w:val="24"/>
        </w:rPr>
      </w:pPr>
    </w:p>
    <w:p w14:paraId="2177E342" w14:textId="2EFD238B" w:rsidR="00644AEF" w:rsidRDefault="00A029AF" w:rsidP="00A029AF">
      <w:pPr>
        <w:pStyle w:val="EndNoteBibliography"/>
        <w:rPr>
          <w:rFonts w:asciiTheme="minorHAnsi" w:hAnsiTheme="minorHAnsi" w:cstheme="minorHAnsi"/>
          <w:sz w:val="24"/>
        </w:rPr>
      </w:pPr>
      <w:r w:rsidRPr="00BC047E">
        <w:rPr>
          <w:rFonts w:asciiTheme="minorHAnsi" w:hAnsiTheme="minorHAnsi" w:cstheme="minorHAnsi"/>
          <w:sz w:val="24"/>
        </w:rPr>
        <w:t>Furthermore, analysis of the variation in particle size distribution with wind speed showed no sampling error due to wind speed-induced biases in the OPC data.</w:t>
      </w:r>
      <w:r w:rsidR="0004260D" w:rsidRPr="00BC047E">
        <w:rPr>
          <w:rFonts w:asciiTheme="minorHAnsi" w:hAnsiTheme="minorHAnsi" w:cstheme="minorHAnsi"/>
          <w:sz w:val="24"/>
        </w:rPr>
        <w:t xml:space="preserve"> In addition, no correction for the refractive index of mineral dust particles was used to modify the OPC data output. This was justified by the fact that clay minerals, which SEM/EDS analysis indicated make up a large portion of ambient PM</w:t>
      </w:r>
      <w:r w:rsidR="0004260D" w:rsidRPr="00BC047E">
        <w:rPr>
          <w:rFonts w:asciiTheme="minorHAnsi" w:hAnsiTheme="minorHAnsi" w:cstheme="minorHAnsi"/>
          <w:sz w:val="24"/>
          <w:vertAlign w:val="subscript"/>
        </w:rPr>
        <w:t>10</w:t>
      </w:r>
      <w:r w:rsidR="0004260D" w:rsidRPr="00BC047E">
        <w:rPr>
          <w:rFonts w:asciiTheme="minorHAnsi" w:hAnsiTheme="minorHAnsi" w:cstheme="minorHAnsi"/>
          <w:sz w:val="24"/>
        </w:rPr>
        <w:t xml:space="preserve"> at the Down Valley site (see </w:t>
      </w:r>
      <w:r w:rsidR="0004593E">
        <w:rPr>
          <w:rFonts w:asciiTheme="minorHAnsi" w:hAnsiTheme="minorHAnsi" w:cstheme="minorHAnsi"/>
          <w:sz w:val="24"/>
        </w:rPr>
        <w:t>Results and Discussion</w:t>
      </w:r>
      <w:r w:rsidR="0004260D" w:rsidRPr="00BC047E">
        <w:rPr>
          <w:rFonts w:asciiTheme="minorHAnsi" w:hAnsiTheme="minorHAnsi" w:cstheme="minorHAnsi"/>
          <w:sz w:val="24"/>
        </w:rPr>
        <w:t>), typically have refractive indices that fall in the range of 1.47 to 1.68</w:t>
      </w:r>
      <w:r w:rsidR="00120AB8">
        <w:rPr>
          <w:rFonts w:asciiTheme="minorHAnsi" w:hAnsiTheme="minorHAnsi" w:cstheme="minorHAnsi"/>
          <w:sz w:val="24"/>
        </w:rPr>
        <w:t xml:space="preserve"> (Mukherjee 2013)</w:t>
      </w:r>
      <w:r w:rsidR="0004260D" w:rsidRPr="00BC047E">
        <w:rPr>
          <w:rFonts w:asciiTheme="minorHAnsi" w:hAnsiTheme="minorHAnsi" w:cstheme="minorHAnsi"/>
          <w:sz w:val="24"/>
        </w:rPr>
        <w:t>. This range includes the refractive index of polystyrene latex spheres (PSL)</w:t>
      </w:r>
      <w:r w:rsidR="00120AB8">
        <w:rPr>
          <w:rFonts w:asciiTheme="minorHAnsi" w:hAnsiTheme="minorHAnsi" w:cstheme="minorHAnsi"/>
          <w:sz w:val="24"/>
        </w:rPr>
        <w:t xml:space="preserve"> (Smart and Willis 1967)</w:t>
      </w:r>
      <w:r w:rsidR="0004260D" w:rsidRPr="00BC047E">
        <w:rPr>
          <w:rFonts w:asciiTheme="minorHAnsi" w:hAnsiTheme="minorHAnsi" w:cstheme="minorHAnsi"/>
          <w:sz w:val="24"/>
        </w:rPr>
        <w:t>, which were used to calibrate the OPC by the manufacturer. As a result, it was assumed that the difference between the refractive index of the mineral dust sampled and that of the PSL calibration standard had a negligible effect on the particle sizing data provided by the OPC.</w:t>
      </w:r>
    </w:p>
    <w:p w14:paraId="78BC4D07" w14:textId="6B02B306" w:rsidR="00644AEF" w:rsidRPr="00BC047E" w:rsidRDefault="00932CEB" w:rsidP="00A029AF">
      <w:pPr>
        <w:pStyle w:val="EndNoteBibliography"/>
        <w:rPr>
          <w:rFonts w:asciiTheme="minorHAnsi" w:hAnsiTheme="minorHAnsi" w:cstheme="minorHAnsi"/>
          <w:sz w:val="24"/>
        </w:rPr>
      </w:pPr>
      <w:r>
        <w:rPr>
          <w:rFonts w:asciiTheme="minorHAnsi" w:hAnsiTheme="minorHAnsi" w:cstheme="minorHAnsi"/>
          <w:sz w:val="24"/>
          <w:lang w:val="fr-CA" w:eastAsia="fr-CA"/>
        </w:rPr>
        <w:lastRenderedPageBreak/>
        <w:drawing>
          <wp:inline distT="0" distB="0" distL="0" distR="0" wp14:anchorId="560403E7" wp14:editId="687EFED2">
            <wp:extent cx="5163820" cy="4944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3820" cy="4944110"/>
                    </a:xfrm>
                    <a:prstGeom prst="rect">
                      <a:avLst/>
                    </a:prstGeom>
                    <a:noFill/>
                  </pic:spPr>
                </pic:pic>
              </a:graphicData>
            </a:graphic>
          </wp:inline>
        </w:drawing>
      </w:r>
    </w:p>
    <w:p w14:paraId="2CEC1183" w14:textId="77777777" w:rsidR="00870050" w:rsidRDefault="00870050" w:rsidP="00870050">
      <w:pPr>
        <w:pStyle w:val="EndNoteBibliography"/>
        <w:ind w:left="1080"/>
        <w:rPr>
          <w:rFonts w:asciiTheme="minorHAnsi" w:hAnsiTheme="minorHAnsi" w:cstheme="minorHAnsi"/>
          <w:i/>
          <w:sz w:val="24"/>
        </w:rPr>
      </w:pPr>
    </w:p>
    <w:p w14:paraId="57C80AC8" w14:textId="39A3DEF3" w:rsidR="00093F8C" w:rsidRDefault="00093F8C" w:rsidP="00644AEF">
      <w:pPr>
        <w:pStyle w:val="EndNoteBibliography"/>
        <w:numPr>
          <w:ilvl w:val="0"/>
          <w:numId w:val="2"/>
        </w:numPr>
        <w:rPr>
          <w:rFonts w:asciiTheme="minorHAnsi" w:hAnsiTheme="minorHAnsi" w:cstheme="minorHAnsi"/>
          <w:i/>
          <w:sz w:val="24"/>
        </w:rPr>
      </w:pPr>
      <w:r>
        <w:rPr>
          <w:rFonts w:asciiTheme="minorHAnsi" w:hAnsiTheme="minorHAnsi" w:cstheme="minorHAnsi"/>
          <w:i/>
          <w:sz w:val="24"/>
        </w:rPr>
        <w:t>Comparison of OPC data from May 2018 and APS data from June 2017</w:t>
      </w:r>
    </w:p>
    <w:p w14:paraId="3300B6E8" w14:textId="0DCA46C6" w:rsidR="00093F8C" w:rsidRPr="00093F8C" w:rsidRDefault="00093F8C" w:rsidP="00093F8C">
      <w:pPr>
        <w:rPr>
          <w:sz w:val="24"/>
          <w:szCs w:val="24"/>
        </w:rPr>
      </w:pPr>
      <w:r w:rsidRPr="00093F8C">
        <w:rPr>
          <w:sz w:val="24"/>
          <w:szCs w:val="24"/>
        </w:rPr>
        <w:t xml:space="preserve">An aerodynamic particle sizer (APS) sampled ambient air outside the </w:t>
      </w:r>
      <w:proofErr w:type="spellStart"/>
      <w:r w:rsidR="00E15CBF" w:rsidRPr="00E15CBF">
        <w:rPr>
          <w:sz w:val="24"/>
          <w:szCs w:val="24"/>
        </w:rPr>
        <w:t>Thachäl</w:t>
      </w:r>
      <w:proofErr w:type="spellEnd"/>
      <w:r w:rsidR="00E15CBF" w:rsidRPr="00E15CBF">
        <w:rPr>
          <w:sz w:val="24"/>
          <w:szCs w:val="24"/>
        </w:rPr>
        <w:t xml:space="preserve"> </w:t>
      </w:r>
      <w:proofErr w:type="spellStart"/>
      <w:r w:rsidR="00E15CBF" w:rsidRPr="00E15CBF">
        <w:rPr>
          <w:sz w:val="24"/>
          <w:szCs w:val="24"/>
        </w:rPr>
        <w:t>Dhäl</w:t>
      </w:r>
      <w:proofErr w:type="spellEnd"/>
      <w:r w:rsidRPr="00093F8C">
        <w:rPr>
          <w:sz w:val="24"/>
          <w:szCs w:val="24"/>
        </w:rPr>
        <w:t xml:space="preserve"> Visitor’s Center from June 13 to June 21, 2017. The instrument was operated at a flow rate of 5 LPM </w:t>
      </w:r>
      <w:r w:rsidRPr="00093F8C">
        <w:rPr>
          <w:rFonts w:cstheme="minorHAnsi"/>
          <w:sz w:val="24"/>
          <w:szCs w:val="24"/>
        </w:rPr>
        <w:t>±</w:t>
      </w:r>
      <w:r w:rsidRPr="00093F8C">
        <w:rPr>
          <w:sz w:val="24"/>
          <w:szCs w:val="24"/>
        </w:rPr>
        <w:t xml:space="preserve"> 0.2 LPM, with samples taken every minute. The data from the APS indicated the only clear dust event that occurred during the June 2017 sampling period took place from 12:00 to 15:00 on June 19</w:t>
      </w:r>
      <w:r>
        <w:rPr>
          <w:sz w:val="24"/>
          <w:szCs w:val="24"/>
        </w:rPr>
        <w:t>. We applied</w:t>
      </w:r>
      <w:r w:rsidRPr="00093F8C">
        <w:rPr>
          <w:sz w:val="24"/>
          <w:szCs w:val="24"/>
        </w:rPr>
        <w:t xml:space="preserve"> a Stokes correction </w:t>
      </w:r>
      <w:r>
        <w:rPr>
          <w:sz w:val="24"/>
          <w:szCs w:val="24"/>
        </w:rPr>
        <w:t>to the average particle size distribution measured during this period</w:t>
      </w:r>
      <w:r w:rsidRPr="00093F8C">
        <w:rPr>
          <w:sz w:val="24"/>
          <w:szCs w:val="24"/>
        </w:rPr>
        <w:t>. The purpose of the Stokes correction was to account for the error introduced into the particle sizing due to deviations of particle densities from the densities of the polystyrene latex particles used by the instrument supplier to calibrate the instrument; these particles have a density of 1.05 g/cm</w:t>
      </w:r>
      <w:r w:rsidRPr="00093F8C">
        <w:rPr>
          <w:sz w:val="24"/>
          <w:szCs w:val="24"/>
          <w:vertAlign w:val="superscript"/>
        </w:rPr>
        <w:t>3</w:t>
      </w:r>
      <w:r w:rsidRPr="00093F8C">
        <w:rPr>
          <w:sz w:val="24"/>
          <w:szCs w:val="24"/>
        </w:rPr>
        <w:t>, while typical values of the density of mineral dust have been shown to be 2.65 g/cm</w:t>
      </w:r>
      <w:r w:rsidRPr="00093F8C">
        <w:rPr>
          <w:sz w:val="24"/>
          <w:szCs w:val="24"/>
          <w:vertAlign w:val="superscript"/>
        </w:rPr>
        <w:t>3</w:t>
      </w:r>
      <w:r w:rsidR="00CB415F">
        <w:rPr>
          <w:sz w:val="24"/>
          <w:szCs w:val="24"/>
        </w:rPr>
        <w:t>(</w:t>
      </w:r>
      <w:proofErr w:type="spellStart"/>
      <w:r w:rsidR="00CB415F">
        <w:rPr>
          <w:sz w:val="24"/>
          <w:szCs w:val="24"/>
        </w:rPr>
        <w:t>Tegen</w:t>
      </w:r>
      <w:proofErr w:type="spellEnd"/>
      <w:r w:rsidR="00CB415F">
        <w:rPr>
          <w:sz w:val="24"/>
          <w:szCs w:val="24"/>
        </w:rPr>
        <w:t xml:space="preserve"> and Fung 1994, Allen and Raabe 1985).</w:t>
      </w:r>
      <w:r w:rsidRPr="00093F8C">
        <w:rPr>
          <w:sz w:val="24"/>
          <w:szCs w:val="24"/>
        </w:rPr>
        <w:t xml:space="preserve"> </w:t>
      </w:r>
      <w:r>
        <w:rPr>
          <w:sz w:val="24"/>
          <w:szCs w:val="24"/>
        </w:rPr>
        <w:t>The resulting size distribution of the measured aerodynamic diameters</w:t>
      </w:r>
      <w:r w:rsidRPr="00093F8C">
        <w:rPr>
          <w:sz w:val="24"/>
          <w:szCs w:val="24"/>
        </w:rPr>
        <w:t xml:space="preserve"> </w:t>
      </w:r>
      <w:r>
        <w:rPr>
          <w:sz w:val="24"/>
          <w:szCs w:val="24"/>
        </w:rPr>
        <w:t>are provided in Figure S</w:t>
      </w:r>
      <w:r w:rsidR="0082407F">
        <w:rPr>
          <w:sz w:val="24"/>
          <w:szCs w:val="24"/>
        </w:rPr>
        <w:t>2</w:t>
      </w:r>
      <w:r>
        <w:rPr>
          <w:sz w:val="24"/>
          <w:szCs w:val="24"/>
        </w:rPr>
        <w:t xml:space="preserve">. The maximum of this distribution lies at 3.87 </w:t>
      </w:r>
      <w:r>
        <w:rPr>
          <w:rFonts w:cstheme="minorHAnsi"/>
          <w:sz w:val="24"/>
          <w:szCs w:val="24"/>
        </w:rPr>
        <w:t>µ</w:t>
      </w:r>
      <w:r>
        <w:rPr>
          <w:sz w:val="24"/>
          <w:szCs w:val="24"/>
        </w:rPr>
        <w:t xml:space="preserve">m, which compares well with the maximum optical diameter measured by the OPC in May 2018, which was 3.25 </w:t>
      </w:r>
      <w:r>
        <w:rPr>
          <w:rFonts w:cstheme="minorHAnsi"/>
          <w:sz w:val="24"/>
          <w:szCs w:val="24"/>
        </w:rPr>
        <w:t>µ</w:t>
      </w:r>
      <w:r>
        <w:rPr>
          <w:sz w:val="24"/>
          <w:szCs w:val="24"/>
        </w:rPr>
        <w:t>m.</w:t>
      </w:r>
    </w:p>
    <w:p w14:paraId="20B8431D" w14:textId="77777777" w:rsidR="00093F8C" w:rsidRDefault="00093F8C" w:rsidP="00093F8C">
      <w:pPr>
        <w:pStyle w:val="EndNoteBibliography"/>
        <w:rPr>
          <w:rFonts w:asciiTheme="minorHAnsi" w:hAnsiTheme="minorHAnsi" w:cstheme="minorHAnsi"/>
          <w:i/>
          <w:sz w:val="24"/>
        </w:rPr>
      </w:pPr>
    </w:p>
    <w:p w14:paraId="45DD633E" w14:textId="382BF212" w:rsidR="00644AEF" w:rsidRPr="00BC047E" w:rsidRDefault="00E524CC" w:rsidP="00644AEF">
      <w:pPr>
        <w:pStyle w:val="EndNoteBibliography"/>
        <w:numPr>
          <w:ilvl w:val="0"/>
          <w:numId w:val="2"/>
        </w:numPr>
        <w:rPr>
          <w:rFonts w:asciiTheme="minorHAnsi" w:hAnsiTheme="minorHAnsi" w:cstheme="minorHAnsi"/>
          <w:i/>
          <w:sz w:val="24"/>
        </w:rPr>
      </w:pPr>
      <w:r w:rsidRPr="00BC047E">
        <w:rPr>
          <w:rFonts w:asciiTheme="minorHAnsi" w:hAnsiTheme="minorHAnsi" w:cstheme="minorHAnsi"/>
          <w:i/>
          <w:sz w:val="24"/>
        </w:rPr>
        <w:lastRenderedPageBreak/>
        <w:t>Calculation of 10-min resolution PM</w:t>
      </w:r>
      <w:r w:rsidRPr="00BC047E">
        <w:rPr>
          <w:rFonts w:asciiTheme="minorHAnsi" w:hAnsiTheme="minorHAnsi" w:cstheme="minorHAnsi"/>
          <w:i/>
          <w:sz w:val="24"/>
          <w:vertAlign w:val="subscript"/>
        </w:rPr>
        <w:t>10</w:t>
      </w:r>
      <w:r w:rsidRPr="00BC047E">
        <w:rPr>
          <w:rFonts w:asciiTheme="minorHAnsi" w:hAnsiTheme="minorHAnsi" w:cstheme="minorHAnsi"/>
          <w:i/>
          <w:sz w:val="24"/>
        </w:rPr>
        <w:t xml:space="preserve"> at the Down Valley site</w:t>
      </w:r>
    </w:p>
    <w:p w14:paraId="43739A2F" w14:textId="77777777" w:rsidR="00E524CC" w:rsidRPr="00BC047E" w:rsidRDefault="00E524CC" w:rsidP="00E524CC">
      <w:pPr>
        <w:pStyle w:val="EndNoteBibliography"/>
        <w:rPr>
          <w:rFonts w:asciiTheme="minorHAnsi" w:hAnsiTheme="minorHAnsi" w:cstheme="minorHAnsi"/>
          <w:sz w:val="24"/>
        </w:rPr>
      </w:pPr>
    </w:p>
    <w:p w14:paraId="2E6981D8" w14:textId="58611135" w:rsidR="00E524CC" w:rsidRPr="00BC047E" w:rsidRDefault="00E524CC" w:rsidP="00E524CC">
      <w:pPr>
        <w:pStyle w:val="EndNoteBibliography"/>
        <w:rPr>
          <w:rFonts w:asciiTheme="minorHAnsi" w:hAnsiTheme="minorHAnsi" w:cstheme="minorHAnsi"/>
          <w:sz w:val="24"/>
        </w:rPr>
      </w:pPr>
      <w:r w:rsidRPr="00BC047E">
        <w:rPr>
          <w:rFonts w:asciiTheme="minorHAnsi" w:hAnsiTheme="minorHAnsi" w:cstheme="minorHAnsi"/>
          <w:sz w:val="24"/>
        </w:rPr>
        <w:t>Due to the high correlation between the results of the gravimetric analysis of filters from the Down Valley site and the 24</w:t>
      </w:r>
      <w:r w:rsidR="00F2113F">
        <w:rPr>
          <w:rFonts w:asciiTheme="minorHAnsi" w:hAnsiTheme="minorHAnsi" w:cstheme="minorHAnsi"/>
          <w:sz w:val="24"/>
        </w:rPr>
        <w:t xml:space="preserve"> hr</w:t>
      </w:r>
      <w:r w:rsidRPr="00BC047E">
        <w:rPr>
          <w:rFonts w:asciiTheme="minorHAnsi" w:hAnsiTheme="minorHAnsi" w:cstheme="minorHAnsi"/>
          <w:sz w:val="24"/>
        </w:rPr>
        <w:t xml:space="preserve"> calculated OPC data, we calculated the interpolation equation relating the gravimetric and OPC data. The interpolation equations and R</w:t>
      </w:r>
      <w:r w:rsidRPr="00BC047E">
        <w:rPr>
          <w:rFonts w:asciiTheme="minorHAnsi" w:hAnsiTheme="minorHAnsi" w:cstheme="minorHAnsi"/>
          <w:sz w:val="24"/>
          <w:vertAlign w:val="superscript"/>
        </w:rPr>
        <w:t>2</w:t>
      </w:r>
      <w:r w:rsidRPr="00BC047E">
        <w:rPr>
          <w:rFonts w:asciiTheme="minorHAnsi" w:hAnsiTheme="minorHAnsi" w:cstheme="minorHAnsi"/>
          <w:sz w:val="24"/>
        </w:rPr>
        <w:t xml:space="preserve"> values for this analysis can be found in the Supplemental Information section (Figure 3). This analysis allowed us to obtain data at two different heights with a 5-minute timescale.</w:t>
      </w:r>
    </w:p>
    <w:p w14:paraId="408D39F0" w14:textId="7697E240" w:rsidR="00A029AF" w:rsidRPr="00BC047E" w:rsidRDefault="00A029AF">
      <w:pPr>
        <w:rPr>
          <w:sz w:val="24"/>
          <w:szCs w:val="24"/>
        </w:rPr>
      </w:pPr>
    </w:p>
    <w:p w14:paraId="566FF194" w14:textId="25442525" w:rsidR="001B289C" w:rsidRPr="001B289C" w:rsidRDefault="001B289C" w:rsidP="006F398D">
      <w:pPr>
        <w:pStyle w:val="ListParagraph"/>
        <w:numPr>
          <w:ilvl w:val="0"/>
          <w:numId w:val="2"/>
        </w:numPr>
        <w:rPr>
          <w:sz w:val="24"/>
          <w:szCs w:val="24"/>
        </w:rPr>
      </w:pPr>
      <w:r>
        <w:rPr>
          <w:i/>
          <w:sz w:val="24"/>
          <w:szCs w:val="24"/>
        </w:rPr>
        <w:t>SEM/EDS spectra</w:t>
      </w:r>
    </w:p>
    <w:p w14:paraId="4251C400" w14:textId="4A7C370F" w:rsidR="001B289C" w:rsidRPr="001B289C" w:rsidRDefault="001B289C" w:rsidP="001B289C">
      <w:pPr>
        <w:pStyle w:val="ListParagraph"/>
        <w:ind w:left="0"/>
        <w:rPr>
          <w:sz w:val="24"/>
          <w:szCs w:val="24"/>
        </w:rPr>
      </w:pPr>
      <w:r>
        <w:rPr>
          <w:noProof/>
          <w:sz w:val="24"/>
          <w:szCs w:val="24"/>
          <w:lang w:val="fr-CA" w:eastAsia="fr-CA"/>
        </w:rPr>
        <w:drawing>
          <wp:inline distT="0" distB="0" distL="0" distR="0" wp14:anchorId="7FE40614" wp14:editId="742E6D30">
            <wp:extent cx="5901544" cy="64020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6806" cy="6418627"/>
                    </a:xfrm>
                    <a:prstGeom prst="rect">
                      <a:avLst/>
                    </a:prstGeom>
                    <a:noFill/>
                  </pic:spPr>
                </pic:pic>
              </a:graphicData>
            </a:graphic>
          </wp:inline>
        </w:drawing>
      </w:r>
    </w:p>
    <w:p w14:paraId="40D93C55" w14:textId="3946C5C3" w:rsidR="001B289C" w:rsidRDefault="001B289C" w:rsidP="001B289C">
      <w:pPr>
        <w:pStyle w:val="ListParagraph"/>
        <w:ind w:left="360"/>
        <w:rPr>
          <w:sz w:val="24"/>
          <w:szCs w:val="24"/>
        </w:rPr>
      </w:pPr>
      <w:r>
        <w:rPr>
          <w:noProof/>
          <w:sz w:val="24"/>
          <w:szCs w:val="24"/>
          <w:lang w:val="fr-CA" w:eastAsia="fr-CA"/>
        </w:rPr>
        <w:lastRenderedPageBreak/>
        <w:drawing>
          <wp:inline distT="0" distB="0" distL="0" distR="0" wp14:anchorId="120015BB" wp14:editId="6B6FC0DD">
            <wp:extent cx="5433471" cy="4055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1213" cy="4090796"/>
                    </a:xfrm>
                    <a:prstGeom prst="rect">
                      <a:avLst/>
                    </a:prstGeom>
                    <a:noFill/>
                  </pic:spPr>
                </pic:pic>
              </a:graphicData>
            </a:graphic>
          </wp:inline>
        </w:drawing>
      </w:r>
    </w:p>
    <w:p w14:paraId="6B1D9DD5" w14:textId="77777777" w:rsidR="001B289C" w:rsidRPr="001B289C" w:rsidRDefault="001B289C" w:rsidP="001B289C">
      <w:pPr>
        <w:pStyle w:val="ListParagraph"/>
        <w:ind w:left="360"/>
        <w:rPr>
          <w:sz w:val="24"/>
          <w:szCs w:val="24"/>
        </w:rPr>
      </w:pPr>
    </w:p>
    <w:p w14:paraId="7B38401D" w14:textId="341FBE6D" w:rsidR="00F03F9D" w:rsidRPr="006F398D" w:rsidRDefault="00F03F9D" w:rsidP="006F398D">
      <w:pPr>
        <w:pStyle w:val="ListParagraph"/>
        <w:numPr>
          <w:ilvl w:val="0"/>
          <w:numId w:val="2"/>
        </w:numPr>
        <w:rPr>
          <w:sz w:val="24"/>
          <w:szCs w:val="24"/>
        </w:rPr>
      </w:pPr>
      <w:r w:rsidRPr="00BC047E">
        <w:rPr>
          <w:i/>
          <w:sz w:val="24"/>
          <w:szCs w:val="24"/>
        </w:rPr>
        <w:t>Method evaluation results for ICP-MS analysis of elemental composition</w:t>
      </w:r>
    </w:p>
    <w:p w14:paraId="67C5C29E" w14:textId="103C5ABA" w:rsidR="00C81F1A" w:rsidRDefault="00C81F1A" w:rsidP="00222274">
      <w:pPr>
        <w:pStyle w:val="EndNoteBibliography"/>
        <w:rPr>
          <w:rFonts w:asciiTheme="minorHAnsi" w:hAnsiTheme="minorHAnsi" w:cstheme="minorHAnsi"/>
          <w:sz w:val="24"/>
        </w:rPr>
      </w:pPr>
      <w:r>
        <w:rPr>
          <w:rFonts w:asciiTheme="minorHAnsi" w:hAnsiTheme="minorHAnsi" w:cstheme="minorHAnsi"/>
          <w:sz w:val="24"/>
          <w:lang w:val="fr-CA" w:eastAsia="fr-CA"/>
        </w:rPr>
        <w:drawing>
          <wp:inline distT="0" distB="0" distL="0" distR="0" wp14:anchorId="1DCFDCB8" wp14:editId="7225EC59">
            <wp:extent cx="6358890" cy="299339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8890" cy="2993390"/>
                    </a:xfrm>
                    <a:prstGeom prst="rect">
                      <a:avLst/>
                    </a:prstGeom>
                    <a:noFill/>
                  </pic:spPr>
                </pic:pic>
              </a:graphicData>
            </a:graphic>
          </wp:inline>
        </w:drawing>
      </w:r>
    </w:p>
    <w:p w14:paraId="4806DE7E" w14:textId="71AC57F4" w:rsidR="00C81F1A" w:rsidRPr="00BC047E" w:rsidRDefault="00222274" w:rsidP="00222274">
      <w:pPr>
        <w:pStyle w:val="EndNoteBibliography"/>
        <w:rPr>
          <w:rFonts w:asciiTheme="minorHAnsi" w:hAnsiTheme="minorHAnsi" w:cstheme="minorHAnsi"/>
          <w:sz w:val="24"/>
        </w:rPr>
      </w:pPr>
      <w:r w:rsidRPr="00BC047E">
        <w:rPr>
          <w:rFonts w:asciiTheme="minorHAnsi" w:hAnsiTheme="minorHAnsi" w:cstheme="minorHAnsi"/>
          <w:sz w:val="24"/>
        </w:rPr>
        <w:t xml:space="preserve">As our protocol modified Method 3051a, special care was taken to validate the procedure used in this study. Validation tests for the filter sample digestion protocol were completed by digesting 25 mg of a NIST standard together with a quartz filter, using the acid mixture 4 mL </w:t>
      </w:r>
      <w:r w:rsidRPr="00BC047E">
        <w:rPr>
          <w:rFonts w:asciiTheme="minorHAnsi" w:hAnsiTheme="minorHAnsi" w:cstheme="minorHAnsi"/>
          <w:sz w:val="24"/>
        </w:rPr>
        <w:lastRenderedPageBreak/>
        <w:t>HNO</w:t>
      </w:r>
      <w:r w:rsidRPr="00BC047E">
        <w:rPr>
          <w:rFonts w:asciiTheme="minorHAnsi" w:hAnsiTheme="minorHAnsi" w:cstheme="minorHAnsi"/>
          <w:sz w:val="24"/>
          <w:vertAlign w:val="subscript"/>
        </w:rPr>
        <w:t>3</w:t>
      </w:r>
      <w:r w:rsidRPr="00BC047E">
        <w:rPr>
          <w:rFonts w:asciiTheme="minorHAnsi" w:hAnsiTheme="minorHAnsi" w:cstheme="minorHAnsi"/>
          <w:sz w:val="24"/>
        </w:rPr>
        <w:t>/1 mL HCl. Soil samples were analyzed using only 3 mL HNO</w:t>
      </w:r>
      <w:r w:rsidRPr="00BC047E">
        <w:rPr>
          <w:rFonts w:asciiTheme="minorHAnsi" w:hAnsiTheme="minorHAnsi" w:cstheme="minorHAnsi"/>
          <w:sz w:val="24"/>
          <w:vertAlign w:val="subscript"/>
        </w:rPr>
        <w:t>3</w:t>
      </w:r>
      <w:r w:rsidRPr="00BC047E">
        <w:rPr>
          <w:rFonts w:asciiTheme="minorHAnsi" w:hAnsiTheme="minorHAnsi" w:cstheme="minorHAnsi"/>
          <w:sz w:val="24"/>
        </w:rPr>
        <w:t>/1 mL HCl; the reduction in acid volume was due to the absence of the quartz filter, as this reduces the total sample mass by 0.14 g.  Thus, this procedure was validated by digesting 25 mg of NIST standard using the acid mixture 3 mL HNO</w:t>
      </w:r>
      <w:r w:rsidRPr="00BC047E">
        <w:rPr>
          <w:rFonts w:asciiTheme="minorHAnsi" w:hAnsiTheme="minorHAnsi" w:cstheme="minorHAnsi"/>
          <w:sz w:val="24"/>
          <w:vertAlign w:val="subscript"/>
        </w:rPr>
        <w:t>3</w:t>
      </w:r>
      <w:r w:rsidRPr="00BC047E">
        <w:rPr>
          <w:rFonts w:asciiTheme="minorHAnsi" w:hAnsiTheme="minorHAnsi" w:cstheme="minorHAnsi"/>
          <w:sz w:val="24"/>
        </w:rPr>
        <w:t xml:space="preserve">/1 mL HCl. Three standards supplied by NIST were used for the validation tests: Montana I Soil with Highly Elevated Trace Element Concentrations (NIST 2710a), Montana II Soil with Moderately Elevated Trace Element Concentrations (NIST 2711a), and Buffalo River Sediment (NIST 8704). </w:t>
      </w:r>
    </w:p>
    <w:p w14:paraId="7AA1705C" w14:textId="77777777" w:rsidR="00222274" w:rsidRPr="00BC047E" w:rsidRDefault="00222274" w:rsidP="00222274">
      <w:pPr>
        <w:pStyle w:val="EndNoteBibliography"/>
        <w:ind w:left="360"/>
        <w:rPr>
          <w:rFonts w:asciiTheme="minorHAnsi" w:hAnsiTheme="minorHAnsi" w:cstheme="minorHAnsi"/>
          <w:sz w:val="24"/>
        </w:rPr>
      </w:pPr>
    </w:p>
    <w:p w14:paraId="4A4E9148" w14:textId="6D9D28A8" w:rsidR="00222274" w:rsidRDefault="00222274" w:rsidP="00222274">
      <w:pPr>
        <w:rPr>
          <w:rFonts w:cstheme="minorHAnsi"/>
          <w:sz w:val="24"/>
          <w:szCs w:val="24"/>
        </w:rPr>
      </w:pPr>
      <w:r w:rsidRPr="00BC047E">
        <w:rPr>
          <w:rFonts w:cstheme="minorHAnsi"/>
          <w:sz w:val="24"/>
          <w:szCs w:val="24"/>
        </w:rPr>
        <w:t>The percent recoveries of the NIST standards subjected to the digestion conditions used to digest soil and filter samples are provided in the Supplemental Information section (Table S2). For both soil and filter samples, the percent recoveries of these metals fell within an acceptable range of 80 to 110 %. Furthermore, analysis of filter blanks obtained in the fie</w:t>
      </w:r>
      <w:r w:rsidR="00635754">
        <w:rPr>
          <w:rFonts w:cstheme="minorHAnsi"/>
          <w:sz w:val="24"/>
          <w:szCs w:val="24"/>
        </w:rPr>
        <w:t>l</w:t>
      </w:r>
      <w:r w:rsidRPr="00BC047E">
        <w:rPr>
          <w:rFonts w:cstheme="minorHAnsi"/>
          <w:sz w:val="24"/>
          <w:szCs w:val="24"/>
        </w:rPr>
        <w:t>d showed negligible concentrations of the metals quantified. The results of the field blank limit of detection (LOD)</w:t>
      </w:r>
      <w:r w:rsidR="005B35F9">
        <w:rPr>
          <w:rFonts w:cstheme="minorHAnsi"/>
          <w:sz w:val="24"/>
          <w:szCs w:val="24"/>
        </w:rPr>
        <w:t>, calculated as three times the standard deviation of the blank divided by the slope of the calibration curve,</w:t>
      </w:r>
      <w:r w:rsidRPr="00BC047E">
        <w:rPr>
          <w:rFonts w:cstheme="minorHAnsi"/>
          <w:sz w:val="24"/>
          <w:szCs w:val="24"/>
        </w:rPr>
        <w:t xml:space="preserve"> compared to the concentrations found in select filter samples can be found in Table S3.</w:t>
      </w:r>
    </w:p>
    <w:p w14:paraId="412DAE7E" w14:textId="108BDC30" w:rsidR="00D30EA3" w:rsidRPr="00BC047E" w:rsidRDefault="00D30EA3" w:rsidP="00222274">
      <w:pPr>
        <w:rPr>
          <w:rFonts w:cstheme="minorHAnsi"/>
          <w:sz w:val="24"/>
          <w:szCs w:val="24"/>
        </w:rPr>
      </w:pPr>
      <w:r>
        <w:rPr>
          <w:rFonts w:cstheme="minorHAnsi"/>
          <w:noProof/>
          <w:sz w:val="24"/>
          <w:szCs w:val="24"/>
          <w:lang w:val="fr-CA" w:eastAsia="fr-CA"/>
        </w:rPr>
        <w:drawing>
          <wp:inline distT="0" distB="0" distL="0" distR="0" wp14:anchorId="608ACAB1" wp14:editId="478EDD6A">
            <wp:extent cx="4163695" cy="3395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3695" cy="3395980"/>
                    </a:xfrm>
                    <a:prstGeom prst="rect">
                      <a:avLst/>
                    </a:prstGeom>
                    <a:noFill/>
                  </pic:spPr>
                </pic:pic>
              </a:graphicData>
            </a:graphic>
          </wp:inline>
        </w:drawing>
      </w:r>
    </w:p>
    <w:p w14:paraId="30C8438E" w14:textId="6DABA9C7" w:rsidR="00C81F1A" w:rsidRDefault="0074508E" w:rsidP="0074508E">
      <w:pPr>
        <w:spacing w:after="0"/>
        <w:rPr>
          <w:rFonts w:cstheme="minorHAnsi"/>
          <w:sz w:val="24"/>
          <w:szCs w:val="24"/>
        </w:rPr>
      </w:pPr>
      <w:r w:rsidRPr="00BC047E">
        <w:rPr>
          <w:rFonts w:cstheme="minorHAnsi"/>
          <w:sz w:val="24"/>
          <w:szCs w:val="24"/>
        </w:rPr>
        <w:t xml:space="preserve">There are several advantages to the technique we have employed, as we have avoided the use of highly hazardous materials, such as HF, which is typically used to digest samples of low mass (e.g. less than 50 mg). Furthermore, we have extracted several key elements that are crucial to the characterization of dust emitted from the </w:t>
      </w:r>
      <w:proofErr w:type="spellStart"/>
      <w:r w:rsidRPr="00BC047E">
        <w:rPr>
          <w:rFonts w:cstheme="minorHAnsi"/>
          <w:sz w:val="24"/>
          <w:szCs w:val="24"/>
        </w:rPr>
        <w:t>Ä’äy</w:t>
      </w:r>
      <w:proofErr w:type="spellEnd"/>
      <w:r w:rsidRPr="00BC047E">
        <w:rPr>
          <w:rFonts w:cstheme="minorHAnsi"/>
          <w:sz w:val="24"/>
          <w:szCs w:val="24"/>
        </w:rPr>
        <w:t xml:space="preserve"> </w:t>
      </w:r>
      <w:proofErr w:type="spellStart"/>
      <w:r w:rsidRPr="00BC047E">
        <w:rPr>
          <w:rFonts w:cstheme="minorHAnsi"/>
          <w:sz w:val="24"/>
          <w:szCs w:val="24"/>
        </w:rPr>
        <w:t>Chù</w:t>
      </w:r>
      <w:proofErr w:type="spellEnd"/>
      <w:r w:rsidRPr="00BC047E">
        <w:rPr>
          <w:rFonts w:cstheme="minorHAnsi"/>
          <w:sz w:val="24"/>
          <w:szCs w:val="24"/>
        </w:rPr>
        <w:t xml:space="preserve"> Valley, notably Fe and As. However, as neither HNO</w:t>
      </w:r>
      <w:r w:rsidRPr="00BC047E">
        <w:rPr>
          <w:rFonts w:cstheme="minorHAnsi"/>
          <w:sz w:val="24"/>
          <w:szCs w:val="24"/>
          <w:vertAlign w:val="subscript"/>
        </w:rPr>
        <w:t>3</w:t>
      </w:r>
      <w:r w:rsidRPr="00BC047E">
        <w:rPr>
          <w:rFonts w:cstheme="minorHAnsi"/>
          <w:sz w:val="24"/>
          <w:szCs w:val="24"/>
        </w:rPr>
        <w:t xml:space="preserve"> nor HNO</w:t>
      </w:r>
      <w:r w:rsidRPr="00BC047E">
        <w:rPr>
          <w:rFonts w:cstheme="minorHAnsi"/>
          <w:sz w:val="24"/>
          <w:szCs w:val="24"/>
          <w:vertAlign w:val="subscript"/>
        </w:rPr>
        <w:t>3</w:t>
      </w:r>
      <w:r w:rsidRPr="00BC047E">
        <w:rPr>
          <w:rFonts w:cstheme="minorHAnsi"/>
          <w:sz w:val="24"/>
          <w:szCs w:val="24"/>
        </w:rPr>
        <w:t xml:space="preserve">/HCl can completely digest the aluminosilicate matrix, there were several important metals that we were not able to quantitatively extract from our samples. These include Na, Mg, Al, K, and Ca, all of which can impact primary ecological productivity and </w:t>
      </w:r>
      <w:r w:rsidRPr="00BC047E">
        <w:rPr>
          <w:rFonts w:cstheme="minorHAnsi"/>
          <w:sz w:val="24"/>
          <w:szCs w:val="24"/>
        </w:rPr>
        <w:lastRenderedPageBreak/>
        <w:t xml:space="preserve">can be related to the mineralogy of air and soil samples through the calculation of elemental ratios. Future work will focus on expanding the number of elements quantified in samples collected in the </w:t>
      </w:r>
      <w:proofErr w:type="spellStart"/>
      <w:r w:rsidRPr="00BC047E">
        <w:rPr>
          <w:rFonts w:cstheme="minorHAnsi"/>
          <w:sz w:val="24"/>
          <w:szCs w:val="24"/>
        </w:rPr>
        <w:t>Ä’äy</w:t>
      </w:r>
      <w:proofErr w:type="spellEnd"/>
      <w:r w:rsidRPr="00BC047E">
        <w:rPr>
          <w:rFonts w:cstheme="minorHAnsi"/>
          <w:sz w:val="24"/>
          <w:szCs w:val="24"/>
        </w:rPr>
        <w:t xml:space="preserve"> </w:t>
      </w:r>
      <w:proofErr w:type="spellStart"/>
      <w:r w:rsidRPr="00BC047E">
        <w:rPr>
          <w:rFonts w:cstheme="minorHAnsi"/>
          <w:sz w:val="24"/>
          <w:szCs w:val="24"/>
        </w:rPr>
        <w:t>Chù</w:t>
      </w:r>
      <w:proofErr w:type="spellEnd"/>
      <w:r w:rsidRPr="00BC047E">
        <w:rPr>
          <w:rFonts w:cstheme="minorHAnsi"/>
          <w:sz w:val="24"/>
          <w:szCs w:val="24"/>
        </w:rPr>
        <w:t xml:space="preserve"> </w:t>
      </w:r>
      <w:r w:rsidR="003C3DD1">
        <w:rPr>
          <w:rFonts w:cstheme="minorHAnsi"/>
          <w:sz w:val="24"/>
          <w:szCs w:val="24"/>
        </w:rPr>
        <w:t>V</w:t>
      </w:r>
      <w:r w:rsidRPr="00BC047E">
        <w:rPr>
          <w:rFonts w:cstheme="minorHAnsi"/>
          <w:sz w:val="24"/>
          <w:szCs w:val="24"/>
        </w:rPr>
        <w:t>alley</w:t>
      </w:r>
      <w:r w:rsidR="003C3DD1">
        <w:rPr>
          <w:rFonts w:cstheme="minorHAnsi"/>
          <w:sz w:val="24"/>
          <w:szCs w:val="24"/>
        </w:rPr>
        <w:t>.</w:t>
      </w:r>
    </w:p>
    <w:p w14:paraId="697FFA79" w14:textId="6DB8F32F" w:rsidR="005B35F9" w:rsidRDefault="005B35F9" w:rsidP="0074508E">
      <w:pPr>
        <w:spacing w:after="0"/>
        <w:rPr>
          <w:rFonts w:cstheme="minorHAnsi"/>
          <w:sz w:val="24"/>
          <w:szCs w:val="24"/>
        </w:rPr>
      </w:pPr>
      <w:bookmarkStart w:id="0" w:name="_GoBack"/>
      <w:bookmarkEnd w:id="0"/>
    </w:p>
    <w:p w14:paraId="26D24A10" w14:textId="77777777" w:rsidR="004D1FFD" w:rsidRDefault="004D1FFD">
      <w:pPr>
        <w:rPr>
          <w:rFonts w:cstheme="minorHAnsi"/>
          <w:i/>
          <w:sz w:val="24"/>
          <w:szCs w:val="24"/>
        </w:rPr>
      </w:pPr>
      <w:r>
        <w:rPr>
          <w:rFonts w:cstheme="minorHAnsi"/>
          <w:i/>
          <w:sz w:val="24"/>
          <w:szCs w:val="24"/>
        </w:rPr>
        <w:br w:type="page"/>
      </w:r>
    </w:p>
    <w:p w14:paraId="56D91671" w14:textId="72078DA8" w:rsidR="00D01F2F" w:rsidRDefault="00D01F2F" w:rsidP="005B35F9">
      <w:pPr>
        <w:pStyle w:val="ListParagraph"/>
        <w:numPr>
          <w:ilvl w:val="0"/>
          <w:numId w:val="2"/>
        </w:numPr>
        <w:spacing w:after="0"/>
        <w:rPr>
          <w:rFonts w:cstheme="minorHAnsi"/>
          <w:i/>
          <w:sz w:val="24"/>
          <w:szCs w:val="24"/>
        </w:rPr>
      </w:pPr>
      <w:r>
        <w:rPr>
          <w:rFonts w:cstheme="minorHAnsi"/>
          <w:i/>
          <w:sz w:val="24"/>
          <w:szCs w:val="24"/>
        </w:rPr>
        <w:lastRenderedPageBreak/>
        <w:t>ICP-MS analysis results</w:t>
      </w:r>
    </w:p>
    <w:p w14:paraId="086B8AC0" w14:textId="0C33F07C" w:rsidR="00D01F2F" w:rsidRPr="00D01F2F" w:rsidRDefault="00D01F2F" w:rsidP="00D01F2F">
      <w:pPr>
        <w:spacing w:after="0"/>
        <w:rPr>
          <w:rFonts w:cstheme="minorHAnsi"/>
          <w:i/>
          <w:sz w:val="24"/>
          <w:szCs w:val="24"/>
        </w:rPr>
      </w:pPr>
      <w:r>
        <w:rPr>
          <w:rFonts w:cstheme="minorHAnsi"/>
          <w:i/>
          <w:noProof/>
          <w:sz w:val="24"/>
          <w:szCs w:val="24"/>
          <w:lang w:val="fr-CA" w:eastAsia="fr-CA"/>
        </w:rPr>
        <w:drawing>
          <wp:inline distT="0" distB="0" distL="0" distR="0" wp14:anchorId="64E79B1C" wp14:editId="13E60281">
            <wp:extent cx="6066698" cy="7983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722" cy="8006826"/>
                    </a:xfrm>
                    <a:prstGeom prst="rect">
                      <a:avLst/>
                    </a:prstGeom>
                    <a:noFill/>
                  </pic:spPr>
                </pic:pic>
              </a:graphicData>
            </a:graphic>
          </wp:inline>
        </w:drawing>
      </w:r>
    </w:p>
    <w:p w14:paraId="239F798C" w14:textId="676E73DB" w:rsidR="004D1FFD" w:rsidRPr="004D1FFD" w:rsidRDefault="004D1FFD" w:rsidP="004D1FFD">
      <w:pPr>
        <w:spacing w:after="0"/>
        <w:rPr>
          <w:rFonts w:cstheme="minorHAnsi"/>
          <w:i/>
          <w:sz w:val="24"/>
          <w:szCs w:val="24"/>
        </w:rPr>
      </w:pPr>
      <w:r>
        <w:rPr>
          <w:rFonts w:cstheme="minorHAnsi"/>
          <w:i/>
          <w:noProof/>
          <w:sz w:val="24"/>
          <w:szCs w:val="24"/>
          <w:lang w:val="fr-CA" w:eastAsia="fr-CA"/>
        </w:rPr>
        <w:lastRenderedPageBreak/>
        <w:drawing>
          <wp:inline distT="0" distB="0" distL="0" distR="0" wp14:anchorId="2C5ED62B" wp14:editId="643F3202">
            <wp:extent cx="6224270" cy="6090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4270" cy="6090285"/>
                    </a:xfrm>
                    <a:prstGeom prst="rect">
                      <a:avLst/>
                    </a:prstGeom>
                    <a:noFill/>
                  </pic:spPr>
                </pic:pic>
              </a:graphicData>
            </a:graphic>
          </wp:inline>
        </w:drawing>
      </w:r>
    </w:p>
    <w:p w14:paraId="2879CD8F" w14:textId="77777777" w:rsidR="004D1FFD" w:rsidRDefault="004D1FFD">
      <w:pPr>
        <w:rPr>
          <w:rFonts w:cstheme="minorHAnsi"/>
          <w:i/>
          <w:sz w:val="24"/>
          <w:szCs w:val="24"/>
        </w:rPr>
      </w:pPr>
      <w:r>
        <w:rPr>
          <w:rFonts w:cstheme="minorHAnsi"/>
          <w:i/>
          <w:sz w:val="24"/>
          <w:szCs w:val="24"/>
        </w:rPr>
        <w:br w:type="page"/>
      </w:r>
    </w:p>
    <w:p w14:paraId="51A8AE39" w14:textId="79B79DBE" w:rsidR="004D1FFD" w:rsidRDefault="004D1FFD" w:rsidP="005B35F9">
      <w:pPr>
        <w:pStyle w:val="ListParagraph"/>
        <w:numPr>
          <w:ilvl w:val="0"/>
          <w:numId w:val="2"/>
        </w:numPr>
        <w:spacing w:after="0"/>
        <w:rPr>
          <w:rFonts w:cstheme="minorHAnsi"/>
          <w:i/>
          <w:sz w:val="24"/>
          <w:szCs w:val="24"/>
        </w:rPr>
      </w:pPr>
      <w:r>
        <w:rPr>
          <w:rFonts w:cstheme="minorHAnsi"/>
          <w:i/>
          <w:sz w:val="24"/>
          <w:szCs w:val="24"/>
        </w:rPr>
        <w:lastRenderedPageBreak/>
        <w:t>SEM/EDS analysis of soil</w:t>
      </w:r>
    </w:p>
    <w:p w14:paraId="142B786A" w14:textId="77777777" w:rsidR="00B065D9" w:rsidRDefault="00B065D9" w:rsidP="00B065D9">
      <w:pPr>
        <w:pStyle w:val="ListParagraph"/>
        <w:spacing w:after="0"/>
        <w:ind w:left="1080"/>
        <w:rPr>
          <w:rFonts w:cstheme="minorHAnsi"/>
          <w:i/>
          <w:sz w:val="24"/>
          <w:szCs w:val="24"/>
        </w:rPr>
      </w:pPr>
    </w:p>
    <w:p w14:paraId="31C83237" w14:textId="654AD2A6" w:rsidR="004D1FFD" w:rsidRDefault="004D1FFD" w:rsidP="004D1FFD">
      <w:pPr>
        <w:spacing w:after="0"/>
        <w:ind w:left="360"/>
        <w:rPr>
          <w:rFonts w:cstheme="minorHAnsi"/>
          <w:i/>
          <w:sz w:val="24"/>
          <w:szCs w:val="24"/>
        </w:rPr>
      </w:pPr>
      <w:r>
        <w:rPr>
          <w:rFonts w:cstheme="minorHAnsi"/>
          <w:i/>
          <w:noProof/>
          <w:sz w:val="24"/>
          <w:szCs w:val="24"/>
          <w:lang w:val="fr-CA" w:eastAsia="fr-CA"/>
        </w:rPr>
        <w:drawing>
          <wp:inline distT="0" distB="0" distL="0" distR="0" wp14:anchorId="34E7AB79" wp14:editId="6FD08649">
            <wp:extent cx="2950845" cy="69926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0845" cy="6992620"/>
                    </a:xfrm>
                    <a:prstGeom prst="rect">
                      <a:avLst/>
                    </a:prstGeom>
                    <a:noFill/>
                  </pic:spPr>
                </pic:pic>
              </a:graphicData>
            </a:graphic>
          </wp:inline>
        </w:drawing>
      </w:r>
    </w:p>
    <w:p w14:paraId="02801D66" w14:textId="77777777" w:rsidR="004D1FFD" w:rsidRDefault="004D1FFD" w:rsidP="004D1FFD">
      <w:pPr>
        <w:spacing w:after="0"/>
        <w:ind w:left="360"/>
        <w:rPr>
          <w:rFonts w:cstheme="minorHAnsi"/>
          <w:i/>
          <w:sz w:val="24"/>
          <w:szCs w:val="24"/>
        </w:rPr>
      </w:pPr>
    </w:p>
    <w:p w14:paraId="7279864C" w14:textId="77777777" w:rsidR="009A3A41" w:rsidRDefault="009A3A41" w:rsidP="004D1FFD">
      <w:pPr>
        <w:spacing w:after="0"/>
        <w:ind w:left="360"/>
        <w:rPr>
          <w:rFonts w:cstheme="minorHAnsi"/>
          <w:i/>
          <w:sz w:val="24"/>
          <w:szCs w:val="24"/>
        </w:rPr>
      </w:pPr>
    </w:p>
    <w:p w14:paraId="3B221915" w14:textId="77777777" w:rsidR="009A3A41" w:rsidRDefault="009A3A41" w:rsidP="004D1FFD">
      <w:pPr>
        <w:spacing w:after="0"/>
        <w:ind w:left="360"/>
        <w:rPr>
          <w:rFonts w:cstheme="minorHAnsi"/>
          <w:i/>
          <w:sz w:val="24"/>
          <w:szCs w:val="24"/>
        </w:rPr>
      </w:pPr>
    </w:p>
    <w:p w14:paraId="2628FDB1" w14:textId="77777777" w:rsidR="009A3A41" w:rsidRPr="004D1FFD" w:rsidRDefault="009A3A41" w:rsidP="004D1FFD">
      <w:pPr>
        <w:spacing w:after="0"/>
        <w:ind w:left="360"/>
        <w:rPr>
          <w:rFonts w:cstheme="minorHAnsi"/>
          <w:i/>
          <w:sz w:val="24"/>
          <w:szCs w:val="24"/>
        </w:rPr>
      </w:pPr>
    </w:p>
    <w:p w14:paraId="774BC142" w14:textId="135F7F70" w:rsidR="003F0828" w:rsidRDefault="003F0828" w:rsidP="005B35F9">
      <w:pPr>
        <w:pStyle w:val="ListParagraph"/>
        <w:numPr>
          <w:ilvl w:val="0"/>
          <w:numId w:val="2"/>
        </w:numPr>
        <w:spacing w:after="0"/>
        <w:rPr>
          <w:rFonts w:cstheme="minorHAnsi"/>
          <w:i/>
          <w:sz w:val="24"/>
          <w:szCs w:val="24"/>
        </w:rPr>
      </w:pPr>
      <w:r>
        <w:rPr>
          <w:rFonts w:cstheme="minorHAnsi"/>
          <w:i/>
          <w:sz w:val="24"/>
          <w:szCs w:val="24"/>
        </w:rPr>
        <w:lastRenderedPageBreak/>
        <w:t>Coulter counter analysis</w:t>
      </w:r>
      <w:r w:rsidR="008416FB">
        <w:rPr>
          <w:rFonts w:cstheme="minorHAnsi"/>
          <w:i/>
          <w:sz w:val="24"/>
          <w:szCs w:val="24"/>
        </w:rPr>
        <w:t xml:space="preserve"> of deposition and fine soils </w:t>
      </w:r>
    </w:p>
    <w:p w14:paraId="71E254B4" w14:textId="58F5741B" w:rsidR="003F0828" w:rsidRDefault="008416FB" w:rsidP="003F0828">
      <w:pPr>
        <w:spacing w:after="0"/>
        <w:rPr>
          <w:rFonts w:cstheme="minorHAnsi"/>
          <w:sz w:val="24"/>
          <w:szCs w:val="24"/>
        </w:rPr>
      </w:pPr>
      <w:r>
        <w:rPr>
          <w:rFonts w:cstheme="minorHAnsi"/>
          <w:sz w:val="24"/>
          <w:szCs w:val="24"/>
        </w:rPr>
        <w:t>Both soil and deposition samples were sieved to select the size fraction smaller than 53 µm in diameter. This fraction of the soils was then analyzed by a Coulter counter using a 100 µm aperture, in order to obtain the size distribution of the particles in these samples. The fine fractions of two soil samples were analyzed (Samples G and H), as well as the June to August 2018 deposition collected at the Down Valley site.</w:t>
      </w:r>
    </w:p>
    <w:p w14:paraId="5ECC3E18" w14:textId="77777777" w:rsidR="003F0828" w:rsidRPr="003F0828" w:rsidRDefault="003F0828" w:rsidP="003F0828">
      <w:pPr>
        <w:spacing w:after="0"/>
        <w:rPr>
          <w:rFonts w:cstheme="minorHAnsi"/>
          <w:sz w:val="24"/>
          <w:szCs w:val="24"/>
        </w:rPr>
      </w:pPr>
    </w:p>
    <w:p w14:paraId="6B563C3F" w14:textId="02CC6BAF" w:rsidR="005B35F9" w:rsidRPr="006F398D" w:rsidRDefault="005B35F9" w:rsidP="005B35F9">
      <w:pPr>
        <w:pStyle w:val="ListParagraph"/>
        <w:numPr>
          <w:ilvl w:val="0"/>
          <w:numId w:val="2"/>
        </w:numPr>
        <w:spacing w:after="0"/>
        <w:rPr>
          <w:rFonts w:cstheme="minorHAnsi"/>
          <w:i/>
          <w:sz w:val="24"/>
          <w:szCs w:val="24"/>
        </w:rPr>
      </w:pPr>
      <w:r w:rsidRPr="006F398D">
        <w:rPr>
          <w:rFonts w:cstheme="minorHAnsi"/>
          <w:i/>
          <w:sz w:val="24"/>
          <w:szCs w:val="24"/>
        </w:rPr>
        <w:t>Calculation of the size-resolved threshold velocity for particle entrainment</w:t>
      </w:r>
    </w:p>
    <w:p w14:paraId="6BB837FA" w14:textId="7E238076" w:rsidR="005B35F9" w:rsidRDefault="005B35F9" w:rsidP="005B35F9">
      <w:pPr>
        <w:spacing w:after="0"/>
        <w:rPr>
          <w:rFonts w:cstheme="minorHAnsi"/>
          <w:sz w:val="24"/>
          <w:szCs w:val="24"/>
        </w:rPr>
      </w:pPr>
    </w:p>
    <w:p w14:paraId="405E106E" w14:textId="21687132" w:rsidR="005B35F9" w:rsidRPr="00A77A10" w:rsidRDefault="005B35F9" w:rsidP="00FF6D55">
      <w:pPr>
        <w:pStyle w:val="ListParagraph"/>
        <w:spacing w:after="0"/>
        <w:ind w:left="0"/>
        <w:rPr>
          <w:rFonts w:cstheme="minorHAnsi"/>
          <w:sz w:val="24"/>
          <w:szCs w:val="24"/>
        </w:rPr>
      </w:pPr>
      <w:bookmarkStart w:id="1" w:name="_Hlk6927980"/>
      <w:r>
        <w:rPr>
          <w:rFonts w:cstheme="minorHAnsi"/>
          <w:sz w:val="24"/>
          <w:szCs w:val="24"/>
        </w:rPr>
        <w:t>T</w:t>
      </w:r>
      <w:r w:rsidRPr="00A77A10">
        <w:rPr>
          <w:rFonts w:cstheme="minorHAnsi"/>
          <w:sz w:val="24"/>
          <w:szCs w:val="24"/>
        </w:rPr>
        <w:t xml:space="preserve">he size-resolved threshold wind velocity for dust emission was calculated using the method employed by </w:t>
      </w:r>
      <w:proofErr w:type="spellStart"/>
      <w:r w:rsidRPr="00A77A10">
        <w:rPr>
          <w:rFonts w:cstheme="minorHAnsi"/>
          <w:sz w:val="24"/>
          <w:szCs w:val="24"/>
        </w:rPr>
        <w:t>Ginoux</w:t>
      </w:r>
      <w:proofErr w:type="spellEnd"/>
      <w:r w:rsidRPr="00A77A10">
        <w:rPr>
          <w:rFonts w:cstheme="minorHAnsi"/>
          <w:sz w:val="24"/>
          <w:szCs w:val="24"/>
        </w:rPr>
        <w:t xml:space="preserve"> et al. when parameterizing vertical aerosol flux for the </w:t>
      </w:r>
      <w:r w:rsidRPr="00E02B70">
        <w:rPr>
          <w:rFonts w:cstheme="minorHAnsi"/>
          <w:sz w:val="24"/>
          <w:szCs w:val="24"/>
        </w:rPr>
        <w:t>Global Ozone Chemistry Aerosol Radiation and Transport</w:t>
      </w:r>
      <w:r>
        <w:rPr>
          <w:rFonts w:cstheme="minorHAnsi"/>
          <w:sz w:val="24"/>
          <w:szCs w:val="24"/>
        </w:rPr>
        <w:t xml:space="preserve"> (</w:t>
      </w:r>
      <w:r w:rsidRPr="00A77A10">
        <w:rPr>
          <w:rFonts w:cstheme="minorHAnsi"/>
          <w:sz w:val="24"/>
          <w:szCs w:val="24"/>
        </w:rPr>
        <w:t>GOCART</w:t>
      </w:r>
      <w:r>
        <w:rPr>
          <w:rFonts w:cstheme="minorHAnsi"/>
          <w:sz w:val="24"/>
          <w:szCs w:val="24"/>
        </w:rPr>
        <w:t>)</w:t>
      </w:r>
      <w:r w:rsidRPr="00A77A10">
        <w:rPr>
          <w:rFonts w:cstheme="minorHAnsi"/>
          <w:sz w:val="24"/>
          <w:szCs w:val="24"/>
        </w:rPr>
        <w:t xml:space="preserve"> chemical transport model</w:t>
      </w:r>
      <w:r w:rsidR="00CB415F">
        <w:rPr>
          <w:rFonts w:cstheme="minorHAnsi"/>
          <w:sz w:val="24"/>
          <w:szCs w:val="24"/>
        </w:rPr>
        <w:t xml:space="preserve"> (</w:t>
      </w:r>
      <w:proofErr w:type="spellStart"/>
      <w:r w:rsidR="00CB415F">
        <w:rPr>
          <w:rFonts w:cstheme="minorHAnsi"/>
          <w:sz w:val="24"/>
          <w:szCs w:val="24"/>
        </w:rPr>
        <w:t>Ginoux</w:t>
      </w:r>
      <w:proofErr w:type="spellEnd"/>
      <w:r w:rsidR="00CB415F">
        <w:rPr>
          <w:rFonts w:cstheme="minorHAnsi"/>
          <w:sz w:val="24"/>
          <w:szCs w:val="24"/>
        </w:rPr>
        <w:t xml:space="preserve"> et al. 2001)</w:t>
      </w:r>
      <w:r w:rsidRPr="00A77A10">
        <w:rPr>
          <w:rFonts w:cstheme="minorHAnsi"/>
          <w:sz w:val="24"/>
          <w:szCs w:val="24"/>
        </w:rPr>
        <w:t>. Equation (</w:t>
      </w:r>
      <w:r w:rsidR="00AB27E8">
        <w:rPr>
          <w:rFonts w:cstheme="minorHAnsi"/>
          <w:sz w:val="24"/>
          <w:szCs w:val="24"/>
        </w:rPr>
        <w:t>S1</w:t>
      </w:r>
      <w:r w:rsidRPr="00A77A10">
        <w:rPr>
          <w:rFonts w:cstheme="minorHAnsi"/>
          <w:sz w:val="24"/>
          <w:szCs w:val="24"/>
        </w:rPr>
        <w:t>) gives th</w:t>
      </w:r>
      <w:r>
        <w:rPr>
          <w:rFonts w:cstheme="minorHAnsi"/>
          <w:sz w:val="24"/>
          <w:szCs w:val="24"/>
        </w:rPr>
        <w:t>is</w:t>
      </w:r>
      <w:r w:rsidRPr="00A77A10">
        <w:rPr>
          <w:rFonts w:cstheme="minorHAnsi"/>
          <w:sz w:val="24"/>
          <w:szCs w:val="24"/>
        </w:rPr>
        <w:t xml:space="preserve"> parameterization, where </w:t>
      </w:r>
      <w:proofErr w:type="spellStart"/>
      <w:r w:rsidRPr="00D8116C">
        <w:rPr>
          <w:rFonts w:cstheme="minorHAnsi"/>
          <w:i/>
          <w:sz w:val="24"/>
          <w:szCs w:val="24"/>
        </w:rPr>
        <w:t>u</w:t>
      </w:r>
      <w:r w:rsidRPr="00D8116C">
        <w:rPr>
          <w:rFonts w:cstheme="minorHAnsi"/>
          <w:i/>
          <w:sz w:val="24"/>
          <w:szCs w:val="24"/>
          <w:vertAlign w:val="subscript"/>
        </w:rPr>
        <w:t>t</w:t>
      </w:r>
      <w:proofErr w:type="spellEnd"/>
      <w:r w:rsidRPr="00A77A10">
        <w:rPr>
          <w:rFonts w:cstheme="minorHAnsi"/>
          <w:sz w:val="24"/>
          <w:szCs w:val="24"/>
        </w:rPr>
        <w:t xml:space="preserve"> is the threshold velocity, </w:t>
      </w:r>
      <w:r w:rsidRPr="00D8116C">
        <w:rPr>
          <w:rFonts w:cstheme="minorHAnsi"/>
          <w:i/>
          <w:sz w:val="24"/>
          <w:szCs w:val="24"/>
        </w:rPr>
        <w:t>A</w:t>
      </w:r>
      <w:r w:rsidRPr="00A77A10">
        <w:rPr>
          <w:rFonts w:cstheme="minorHAnsi"/>
          <w:sz w:val="24"/>
          <w:szCs w:val="24"/>
        </w:rPr>
        <w:t xml:space="preserve"> is a dimensionless parameter of 6.5, </w:t>
      </w:r>
      <m:oMath>
        <m:r>
          <w:rPr>
            <w:rFonts w:ascii="Cambria Math" w:hAnsi="Cambria Math" w:cstheme="minorHAnsi"/>
            <w:sz w:val="24"/>
            <w:szCs w:val="24"/>
          </w:rPr>
          <m:t>Φ</m:t>
        </m:r>
      </m:oMath>
      <w:r w:rsidR="00D8116C">
        <w:rPr>
          <w:rFonts w:eastAsiaTheme="minorEastAsia" w:cstheme="minorHAnsi"/>
          <w:sz w:val="24"/>
          <w:szCs w:val="24"/>
        </w:rPr>
        <w:t xml:space="preserve"> i</w:t>
      </w:r>
      <w:r w:rsidRPr="00A77A10">
        <w:rPr>
          <w:rFonts w:eastAsiaTheme="minorEastAsia" w:cstheme="minorHAnsi"/>
          <w:sz w:val="24"/>
          <w:szCs w:val="24"/>
        </w:rPr>
        <w:t xml:space="preserve">s the particle diameter, </w:t>
      </w:r>
      <w:r w:rsidRPr="00D8116C">
        <w:rPr>
          <w:rFonts w:eastAsiaTheme="minorEastAsia" w:cstheme="minorHAnsi"/>
          <w:i/>
          <w:sz w:val="24"/>
          <w:szCs w:val="24"/>
        </w:rPr>
        <w:t>g</w:t>
      </w:r>
      <w:r w:rsidRPr="00A77A10">
        <w:rPr>
          <w:rFonts w:eastAsiaTheme="minorEastAsia" w:cstheme="minorHAnsi"/>
          <w:sz w:val="24"/>
          <w:szCs w:val="24"/>
        </w:rPr>
        <w:t xml:space="preserve"> is acceleration due to gravity, </w:t>
      </w:r>
      <w:proofErr w:type="spellStart"/>
      <w:r w:rsidRPr="00D8116C">
        <w:rPr>
          <w:rFonts w:eastAsiaTheme="minorEastAsia" w:cstheme="minorHAnsi"/>
          <w:i/>
          <w:sz w:val="24"/>
          <w:szCs w:val="24"/>
        </w:rPr>
        <w:t>ρ</w:t>
      </w:r>
      <w:r w:rsidRPr="00D8116C">
        <w:rPr>
          <w:rFonts w:eastAsiaTheme="minorEastAsia" w:cstheme="minorHAnsi"/>
          <w:i/>
          <w:sz w:val="24"/>
          <w:szCs w:val="24"/>
          <w:vertAlign w:val="subscript"/>
        </w:rPr>
        <w:t>a</w:t>
      </w:r>
      <w:proofErr w:type="spellEnd"/>
      <w:r w:rsidRPr="00A77A10">
        <w:rPr>
          <w:rFonts w:eastAsiaTheme="minorEastAsia" w:cstheme="minorHAnsi"/>
          <w:sz w:val="24"/>
          <w:szCs w:val="24"/>
        </w:rPr>
        <w:t xml:space="preserve"> is air density, </w:t>
      </w:r>
      <w:proofErr w:type="spellStart"/>
      <w:r w:rsidRPr="00D8116C">
        <w:rPr>
          <w:rFonts w:eastAsiaTheme="minorEastAsia" w:cstheme="minorHAnsi"/>
          <w:i/>
          <w:sz w:val="24"/>
          <w:szCs w:val="24"/>
        </w:rPr>
        <w:t>ρ</w:t>
      </w:r>
      <w:r w:rsidRPr="00D8116C">
        <w:rPr>
          <w:rFonts w:eastAsiaTheme="minorEastAsia" w:cstheme="minorHAnsi"/>
          <w:i/>
          <w:sz w:val="24"/>
          <w:szCs w:val="24"/>
          <w:vertAlign w:val="subscript"/>
        </w:rPr>
        <w:t>p</w:t>
      </w:r>
      <w:proofErr w:type="spellEnd"/>
      <w:r w:rsidRPr="00A77A10">
        <w:rPr>
          <w:rFonts w:eastAsiaTheme="minorEastAsia" w:cstheme="minorHAnsi"/>
          <w:sz w:val="24"/>
          <w:szCs w:val="24"/>
        </w:rPr>
        <w:t xml:space="preserve"> is particle density, and </w:t>
      </w:r>
      <w:r w:rsidRPr="00A77A10">
        <w:rPr>
          <w:rFonts w:eastAsiaTheme="minorEastAsia" w:cstheme="minorHAnsi"/>
          <w:i/>
          <w:sz w:val="24"/>
          <w:szCs w:val="24"/>
        </w:rPr>
        <w:t>w</w:t>
      </w:r>
      <w:r w:rsidRPr="00A77A10">
        <w:rPr>
          <w:rFonts w:eastAsiaTheme="minorEastAsia" w:cstheme="minorHAnsi"/>
          <w:sz w:val="24"/>
          <w:szCs w:val="24"/>
        </w:rPr>
        <w:t xml:space="preserve"> is soil moisture. Note that this equation is only valid for soil moisture values less than 0.5; the typical soil moisture measured during our campaign was 0.05, which is well below this limit.</w:t>
      </w:r>
    </w:p>
    <w:p w14:paraId="73A92353" w14:textId="77777777" w:rsidR="005B35F9" w:rsidRPr="00A77A10" w:rsidRDefault="005B35F9" w:rsidP="005B35F9">
      <w:pPr>
        <w:pStyle w:val="ListParagraph"/>
        <w:spacing w:after="0"/>
        <w:rPr>
          <w:rFonts w:cstheme="minorHAnsi"/>
          <w:sz w:val="24"/>
          <w:szCs w:val="24"/>
        </w:rPr>
      </w:pPr>
    </w:p>
    <w:p w14:paraId="3ABD1F6A" w14:textId="0F3DF72D" w:rsidR="005B35F9" w:rsidRPr="00A77A10" w:rsidRDefault="005B35F9" w:rsidP="005B35F9">
      <w:pPr>
        <w:pStyle w:val="ListParagraph"/>
        <w:spacing w:after="0"/>
        <w:jc w:val="center"/>
        <w:rPr>
          <w:rFonts w:cstheme="minorHAnsi"/>
          <w:sz w:val="24"/>
          <w:szCs w:val="24"/>
        </w:rPr>
      </w:pPr>
      <w:proofErr w:type="spellStart"/>
      <w:r w:rsidRPr="00A77A10">
        <w:rPr>
          <w:rFonts w:cstheme="minorHAnsi"/>
          <w:sz w:val="24"/>
          <w:szCs w:val="24"/>
        </w:rPr>
        <w:t>u</w:t>
      </w:r>
      <w:r w:rsidRPr="00A77A10">
        <w:rPr>
          <w:rFonts w:cstheme="minorHAnsi"/>
          <w:sz w:val="24"/>
          <w:szCs w:val="24"/>
          <w:vertAlign w:val="subscript"/>
        </w:rPr>
        <w:t>t</w:t>
      </w:r>
      <w:proofErr w:type="spellEnd"/>
      <w:r w:rsidRPr="00A77A10">
        <w:rPr>
          <w:rFonts w:cstheme="minorHAnsi"/>
          <w:sz w:val="24"/>
          <w:szCs w:val="24"/>
        </w:rPr>
        <w:t xml:space="preserve"> = A</w:t>
      </w:r>
      <m:oMath>
        <m:rad>
          <m:radPr>
            <m:degHide m:val="1"/>
            <m:ctrlPr>
              <w:rPr>
                <w:rFonts w:ascii="Cambria Math" w:hAnsi="Cambria Math" w:cstheme="minorHAnsi"/>
                <w:i/>
                <w:sz w:val="24"/>
                <w:szCs w:val="24"/>
              </w:rPr>
            </m:ctrlPr>
          </m:radPr>
          <m:deg/>
          <m:e>
            <m:r>
              <w:rPr>
                <w:rFonts w:ascii="Cambria Math" w:hAnsi="Cambria Math" w:cstheme="minorHAnsi"/>
                <w:sz w:val="24"/>
                <w:szCs w:val="24"/>
              </w:rPr>
              <m:t>Φg</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ρ</m:t>
                    </m:r>
                  </m:e>
                  <m:sub>
                    <m:r>
                      <w:rPr>
                        <w:rFonts w:ascii="Cambria Math" w:hAnsi="Cambria Math" w:cstheme="minorHAnsi"/>
                        <w:sz w:val="24"/>
                        <w:szCs w:val="24"/>
                      </w:rPr>
                      <m:t>a</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ρ</m:t>
                    </m:r>
                  </m:e>
                  <m:sub>
                    <m:r>
                      <w:rPr>
                        <w:rFonts w:ascii="Cambria Math" w:hAnsi="Cambria Math" w:cstheme="minorHAnsi"/>
                        <w:sz w:val="24"/>
                        <w:szCs w:val="24"/>
                      </w:rPr>
                      <m:t>p</m:t>
                    </m:r>
                  </m:sub>
                </m:sSub>
              </m:num>
              <m:den>
                <m:sSub>
                  <m:sSubPr>
                    <m:ctrlPr>
                      <w:rPr>
                        <w:rFonts w:ascii="Cambria Math" w:hAnsi="Cambria Math" w:cstheme="minorHAnsi"/>
                        <w:i/>
                        <w:sz w:val="24"/>
                        <w:szCs w:val="24"/>
                      </w:rPr>
                    </m:ctrlPr>
                  </m:sSubPr>
                  <m:e>
                    <m:r>
                      <w:rPr>
                        <w:rFonts w:ascii="Cambria Math" w:hAnsi="Cambria Math" w:cstheme="minorHAnsi"/>
                        <w:sz w:val="24"/>
                        <w:szCs w:val="24"/>
                      </w:rPr>
                      <m:t>ρ</m:t>
                    </m:r>
                  </m:e>
                  <m:sub>
                    <m:r>
                      <w:rPr>
                        <w:rFonts w:ascii="Cambria Math" w:hAnsi="Cambria Math" w:cstheme="minorHAnsi"/>
                        <w:sz w:val="24"/>
                        <w:szCs w:val="24"/>
                      </w:rPr>
                      <m:t>a</m:t>
                    </m:r>
                  </m:sub>
                </m:sSub>
              </m:den>
            </m:f>
          </m:e>
        </m:rad>
      </m:oMath>
      <w:r w:rsidRPr="00A77A10">
        <w:rPr>
          <w:rFonts w:eastAsiaTheme="minorEastAsia" w:cstheme="minorHAnsi"/>
          <w:sz w:val="24"/>
          <w:szCs w:val="24"/>
        </w:rPr>
        <w:t xml:space="preserve"> (1.2 + 0.2log</w:t>
      </w:r>
      <w:r w:rsidRPr="00A77A10">
        <w:rPr>
          <w:rFonts w:eastAsiaTheme="minorEastAsia" w:cstheme="minorHAnsi"/>
          <w:sz w:val="24"/>
          <w:szCs w:val="24"/>
          <w:vertAlign w:val="subscript"/>
        </w:rPr>
        <w:t>10</w:t>
      </w:r>
      <w:r w:rsidRPr="00A77A10">
        <w:rPr>
          <w:rFonts w:eastAsiaTheme="minorEastAsia" w:cstheme="minorHAnsi"/>
          <w:i/>
          <w:sz w:val="24"/>
          <w:szCs w:val="24"/>
        </w:rPr>
        <w:t xml:space="preserve"> w)</w:t>
      </w:r>
      <w:r w:rsidRPr="00A77A10">
        <w:rPr>
          <w:rFonts w:cstheme="minorHAnsi"/>
          <w:sz w:val="24"/>
          <w:szCs w:val="24"/>
        </w:rPr>
        <w:t xml:space="preserve"> </w:t>
      </w:r>
      <w:r w:rsidRPr="00A77A10">
        <w:rPr>
          <w:rFonts w:cstheme="minorHAnsi"/>
          <w:sz w:val="24"/>
          <w:szCs w:val="24"/>
        </w:rPr>
        <w:tab/>
      </w:r>
      <w:r w:rsidRPr="00A77A10">
        <w:rPr>
          <w:rFonts w:cstheme="minorHAnsi"/>
          <w:sz w:val="24"/>
          <w:szCs w:val="24"/>
        </w:rPr>
        <w:tab/>
      </w:r>
      <w:r w:rsidRPr="00A77A10">
        <w:rPr>
          <w:rFonts w:cstheme="minorHAnsi"/>
          <w:sz w:val="24"/>
          <w:szCs w:val="24"/>
        </w:rPr>
        <w:tab/>
        <w:t>(</w:t>
      </w:r>
      <w:r w:rsidR="00AB27E8">
        <w:rPr>
          <w:rFonts w:cstheme="minorHAnsi"/>
          <w:sz w:val="24"/>
          <w:szCs w:val="24"/>
        </w:rPr>
        <w:t>S1</w:t>
      </w:r>
      <w:r w:rsidRPr="00A77A10">
        <w:rPr>
          <w:rFonts w:cstheme="minorHAnsi"/>
          <w:sz w:val="24"/>
          <w:szCs w:val="24"/>
        </w:rPr>
        <w:t>)</w:t>
      </w:r>
    </w:p>
    <w:bookmarkEnd w:id="1"/>
    <w:p w14:paraId="33042076" w14:textId="34DAF1D1" w:rsidR="005B35F9" w:rsidRDefault="005B35F9" w:rsidP="005B35F9">
      <w:pPr>
        <w:spacing w:after="0"/>
        <w:rPr>
          <w:rFonts w:cstheme="minorHAnsi"/>
          <w:sz w:val="24"/>
          <w:szCs w:val="24"/>
        </w:rPr>
      </w:pPr>
    </w:p>
    <w:p w14:paraId="4E7BBFE2" w14:textId="77777777" w:rsidR="00762D4B" w:rsidRPr="005B35F9" w:rsidRDefault="00762D4B" w:rsidP="005B35F9">
      <w:pPr>
        <w:spacing w:after="0"/>
        <w:rPr>
          <w:rFonts w:cstheme="minorHAnsi"/>
          <w:sz w:val="24"/>
          <w:szCs w:val="24"/>
        </w:rPr>
      </w:pPr>
    </w:p>
    <w:p w14:paraId="45E983F1" w14:textId="0280B5AD" w:rsidR="0074508E" w:rsidRPr="00762D4B" w:rsidRDefault="00762D4B" w:rsidP="00762D4B">
      <w:pPr>
        <w:pStyle w:val="ListParagraph"/>
        <w:numPr>
          <w:ilvl w:val="0"/>
          <w:numId w:val="2"/>
        </w:numPr>
        <w:rPr>
          <w:i/>
          <w:sz w:val="24"/>
          <w:szCs w:val="24"/>
        </w:rPr>
      </w:pPr>
      <w:r w:rsidRPr="00762D4B">
        <w:rPr>
          <w:i/>
          <w:sz w:val="24"/>
          <w:szCs w:val="24"/>
        </w:rPr>
        <w:t>Comparison of vertical aerosol flux and saltation measurements</w:t>
      </w:r>
    </w:p>
    <w:p w14:paraId="1EC65F61" w14:textId="0283A450" w:rsidR="00762D4B" w:rsidRDefault="00762D4B" w:rsidP="00762D4B">
      <w:pPr>
        <w:rPr>
          <w:rFonts w:cstheme="minorHAnsi"/>
          <w:sz w:val="24"/>
          <w:szCs w:val="24"/>
        </w:rPr>
      </w:pPr>
      <w:r>
        <w:rPr>
          <w:rFonts w:cstheme="minorHAnsi"/>
          <w:sz w:val="24"/>
          <w:szCs w:val="24"/>
        </w:rPr>
        <w:t>We have compared the output of our SENSIT horizontal mass flux monitor with the ambient concentrations of PM</w:t>
      </w:r>
      <w:r w:rsidRPr="00802CB4">
        <w:rPr>
          <w:rFonts w:cstheme="minorHAnsi"/>
          <w:sz w:val="24"/>
          <w:szCs w:val="24"/>
          <w:vertAlign w:val="subscript"/>
        </w:rPr>
        <w:t>10</w:t>
      </w:r>
      <w:r>
        <w:rPr>
          <w:rFonts w:cstheme="minorHAnsi"/>
          <w:sz w:val="24"/>
          <w:szCs w:val="24"/>
        </w:rPr>
        <w:t xml:space="preserve"> obtained through our gravimetric analysis and OPC </w:t>
      </w:r>
      <w:r w:rsidR="00882625">
        <w:rPr>
          <w:rFonts w:cstheme="minorHAnsi"/>
          <w:sz w:val="24"/>
          <w:szCs w:val="24"/>
        </w:rPr>
        <w:t>data and</w:t>
      </w:r>
      <w:r>
        <w:rPr>
          <w:rFonts w:cstheme="minorHAnsi"/>
          <w:sz w:val="24"/>
          <w:szCs w:val="24"/>
        </w:rPr>
        <w:t xml:space="preserve"> have provided two examples of this comparison performed on May 19 and 24 (Figure </w:t>
      </w:r>
      <w:r w:rsidR="0082407F">
        <w:rPr>
          <w:rFonts w:cstheme="minorHAnsi"/>
          <w:sz w:val="24"/>
          <w:szCs w:val="24"/>
        </w:rPr>
        <w:t>12</w:t>
      </w:r>
      <w:r>
        <w:rPr>
          <w:rFonts w:cstheme="minorHAnsi"/>
          <w:sz w:val="24"/>
          <w:szCs w:val="24"/>
        </w:rPr>
        <w:t>). The 10-min resolved PM</w:t>
      </w:r>
      <w:r w:rsidRPr="00802CB4">
        <w:rPr>
          <w:rFonts w:cstheme="minorHAnsi"/>
          <w:sz w:val="24"/>
          <w:szCs w:val="24"/>
          <w:vertAlign w:val="subscript"/>
        </w:rPr>
        <w:t>10</w:t>
      </w:r>
      <w:r>
        <w:rPr>
          <w:rFonts w:cstheme="minorHAnsi"/>
          <w:sz w:val="24"/>
          <w:szCs w:val="24"/>
        </w:rPr>
        <w:t xml:space="preserve"> concentrations at 6 m and 2 m were extrapolated based on the OPC data (Figure </w:t>
      </w:r>
      <w:r w:rsidR="00032490">
        <w:rPr>
          <w:rFonts w:cstheme="minorHAnsi"/>
          <w:sz w:val="24"/>
          <w:szCs w:val="24"/>
        </w:rPr>
        <w:t>3</w:t>
      </w:r>
      <w:r>
        <w:rPr>
          <w:rFonts w:cstheme="minorHAnsi"/>
          <w:sz w:val="24"/>
          <w:szCs w:val="24"/>
        </w:rPr>
        <w:t>). The results show very little correlation between the SENSIT data and ambient dust, with dust observed almost the entire 24</w:t>
      </w:r>
      <w:r w:rsidR="00F2113F">
        <w:rPr>
          <w:rFonts w:cstheme="minorHAnsi"/>
          <w:sz w:val="24"/>
          <w:szCs w:val="24"/>
        </w:rPr>
        <w:t xml:space="preserve"> hr</w:t>
      </w:r>
      <w:r>
        <w:rPr>
          <w:rFonts w:cstheme="minorHAnsi"/>
          <w:sz w:val="24"/>
          <w:szCs w:val="24"/>
        </w:rPr>
        <w:t xml:space="preserve"> period on both days and very little horizontal mass flux recorded. While these are just two examples pulled from the entirety of our sampling period, there were no dust events that occurred which showed correlation between horizontal mass flux and ambient PM</w:t>
      </w:r>
      <w:r w:rsidRPr="002C762E">
        <w:rPr>
          <w:rFonts w:cstheme="minorHAnsi"/>
          <w:sz w:val="24"/>
          <w:szCs w:val="24"/>
          <w:vertAlign w:val="subscript"/>
        </w:rPr>
        <w:t>10</w:t>
      </w:r>
      <w:r>
        <w:rPr>
          <w:rFonts w:cstheme="minorHAnsi"/>
          <w:sz w:val="24"/>
          <w:szCs w:val="24"/>
        </w:rPr>
        <w:t>.</w:t>
      </w:r>
    </w:p>
    <w:p w14:paraId="66BE9E60" w14:textId="77777777" w:rsidR="00762D4B" w:rsidRPr="00762D4B" w:rsidRDefault="00762D4B" w:rsidP="00762D4B">
      <w:pPr>
        <w:rPr>
          <w:sz w:val="24"/>
          <w:szCs w:val="24"/>
        </w:rPr>
      </w:pPr>
    </w:p>
    <w:p w14:paraId="3DDC8676" w14:textId="4F8813ED" w:rsidR="005B35F9" w:rsidRDefault="00F25BB4">
      <w:pPr>
        <w:rPr>
          <w:sz w:val="24"/>
          <w:szCs w:val="24"/>
        </w:rPr>
      </w:pPr>
      <w:r w:rsidRPr="00BC047E">
        <w:rPr>
          <w:sz w:val="24"/>
          <w:szCs w:val="24"/>
          <w:u w:val="single"/>
        </w:rPr>
        <w:t>References</w:t>
      </w:r>
    </w:p>
    <w:p w14:paraId="5FA523DD" w14:textId="77777777" w:rsidR="00E84AA6" w:rsidRDefault="007833D8" w:rsidP="006D62FF">
      <w:pPr>
        <w:pStyle w:val="dx-doi"/>
        <w:spacing w:before="0" w:after="0"/>
        <w:ind w:left="284" w:hanging="284"/>
        <w:rPr>
          <w:rFonts w:asciiTheme="minorHAnsi" w:hAnsiTheme="minorHAnsi"/>
        </w:rPr>
      </w:pPr>
      <w:r w:rsidRPr="006D62FF">
        <w:rPr>
          <w:rFonts w:asciiTheme="minorHAnsi" w:hAnsiTheme="minorHAnsi"/>
        </w:rPr>
        <w:t xml:space="preserve">Allen, M. D., </w:t>
      </w:r>
      <w:r w:rsidR="006D62FF">
        <w:rPr>
          <w:rFonts w:asciiTheme="minorHAnsi" w:hAnsiTheme="minorHAnsi"/>
        </w:rPr>
        <w:t xml:space="preserve">and </w:t>
      </w:r>
      <w:r w:rsidRPr="006D62FF">
        <w:rPr>
          <w:rFonts w:asciiTheme="minorHAnsi" w:hAnsiTheme="minorHAnsi"/>
        </w:rPr>
        <w:t xml:space="preserve">O. G. Raabe. </w:t>
      </w:r>
      <w:r w:rsidRPr="006D62FF">
        <w:rPr>
          <w:rFonts w:asciiTheme="minorHAnsi" w:hAnsiTheme="minorHAnsi"/>
        </w:rPr>
        <w:t xml:space="preserve">1985. </w:t>
      </w:r>
      <w:r w:rsidRPr="006D62FF">
        <w:rPr>
          <w:rFonts w:asciiTheme="minorHAnsi" w:hAnsiTheme="minorHAnsi"/>
        </w:rPr>
        <w:t xml:space="preserve">Slip Correction Measurements of Spherical Solid Aerosol Particles in an Improved Millikan Apparatus. </w:t>
      </w:r>
      <w:r w:rsidRPr="00E84AA6">
        <w:rPr>
          <w:rFonts w:asciiTheme="minorHAnsi" w:hAnsiTheme="minorHAnsi"/>
          <w:i/>
        </w:rPr>
        <w:t>Aerosol Sci Technol</w:t>
      </w:r>
      <w:r w:rsidRPr="006D62FF">
        <w:rPr>
          <w:rFonts w:asciiTheme="minorHAnsi" w:hAnsiTheme="minorHAnsi"/>
        </w:rPr>
        <w:t xml:space="preserve"> 4 (3)</w:t>
      </w:r>
      <w:r w:rsidRPr="006D62FF">
        <w:rPr>
          <w:rFonts w:asciiTheme="minorHAnsi" w:hAnsiTheme="minorHAnsi"/>
        </w:rPr>
        <w:t>:</w:t>
      </w:r>
      <w:r w:rsidRPr="006D62FF">
        <w:rPr>
          <w:rFonts w:asciiTheme="minorHAnsi" w:hAnsiTheme="minorHAnsi"/>
        </w:rPr>
        <w:t xml:space="preserve"> 269-286.</w:t>
      </w:r>
      <w:r w:rsidR="00C913DA" w:rsidRPr="006D62FF">
        <w:rPr>
          <w:rFonts w:asciiTheme="minorHAnsi" w:hAnsiTheme="minorHAnsi"/>
        </w:rPr>
        <w:t xml:space="preserve"> </w:t>
      </w:r>
      <w:hyperlink r:id="rId15" w:history="1">
        <w:r w:rsidR="00C913DA" w:rsidRPr="00E84AA6">
          <w:t>d</w:t>
        </w:r>
        <w:r w:rsidR="00C913DA" w:rsidRPr="00E84AA6">
          <w:t>o</w:t>
        </w:r>
        <w:r w:rsidR="00C913DA" w:rsidRPr="00E84AA6">
          <w:t>i.org/10.108</w:t>
        </w:r>
        <w:r w:rsidR="00C913DA" w:rsidRPr="00E84AA6">
          <w:t>0</w:t>
        </w:r>
        <w:r w:rsidR="00C913DA" w:rsidRPr="00E84AA6">
          <w:t>/02786828508959055</w:t>
        </w:r>
      </w:hyperlink>
    </w:p>
    <w:p w14:paraId="2EFC109B" w14:textId="4ED522F3" w:rsidR="00B329A1" w:rsidRPr="006D62FF" w:rsidRDefault="005B35F9" w:rsidP="006D62FF">
      <w:pPr>
        <w:pStyle w:val="dx-doi"/>
        <w:spacing w:before="0" w:after="0"/>
        <w:ind w:left="284" w:hanging="284"/>
        <w:rPr>
          <w:rFonts w:asciiTheme="minorHAnsi" w:hAnsiTheme="minorHAnsi"/>
        </w:rPr>
      </w:pPr>
      <w:r w:rsidRPr="006D62FF">
        <w:rPr>
          <w:rFonts w:asciiTheme="minorHAnsi" w:hAnsiTheme="minorHAnsi" w:cs="Calibri"/>
          <w:noProof/>
          <w:lang w:val="en-US"/>
        </w:rPr>
        <w:lastRenderedPageBreak/>
        <w:fldChar w:fldCharType="begin"/>
      </w:r>
      <w:r w:rsidRPr="006D62FF">
        <w:rPr>
          <w:rFonts w:asciiTheme="minorHAnsi" w:hAnsiTheme="minorHAnsi"/>
        </w:rPr>
        <w:instrText xml:space="preserve"> ADDIN EN.REFLIST </w:instrText>
      </w:r>
      <w:r w:rsidRPr="006D62FF">
        <w:rPr>
          <w:rFonts w:asciiTheme="minorHAnsi" w:hAnsiTheme="minorHAnsi" w:cs="Calibri"/>
          <w:noProof/>
          <w:lang w:val="en-US"/>
        </w:rPr>
        <w:fldChar w:fldCharType="separate"/>
      </w:r>
      <w:r w:rsidR="00093F8C" w:rsidRPr="006D62FF">
        <w:rPr>
          <w:rFonts w:asciiTheme="minorHAnsi" w:hAnsiTheme="minorHAnsi"/>
        </w:rPr>
        <w:t>Gillies, J</w:t>
      </w:r>
      <w:r w:rsidR="00B329A1" w:rsidRPr="006D62FF">
        <w:rPr>
          <w:rFonts w:asciiTheme="minorHAnsi" w:hAnsiTheme="minorHAnsi"/>
        </w:rPr>
        <w:t>.</w:t>
      </w:r>
      <w:r w:rsidR="00E84AA6">
        <w:rPr>
          <w:rFonts w:asciiTheme="minorHAnsi" w:hAnsiTheme="minorHAnsi"/>
        </w:rPr>
        <w:t xml:space="preserve"> </w:t>
      </w:r>
      <w:r w:rsidR="00B329A1" w:rsidRPr="006D62FF">
        <w:rPr>
          <w:rFonts w:asciiTheme="minorHAnsi" w:hAnsiTheme="minorHAnsi"/>
        </w:rPr>
        <w:t>A</w:t>
      </w:r>
      <w:r w:rsidR="00E84AA6">
        <w:rPr>
          <w:rFonts w:asciiTheme="minorHAnsi" w:hAnsiTheme="minorHAnsi"/>
        </w:rPr>
        <w:t>.,</w:t>
      </w:r>
      <w:r w:rsidR="00093F8C" w:rsidRPr="006D62FF">
        <w:rPr>
          <w:rFonts w:asciiTheme="minorHAnsi" w:hAnsiTheme="minorHAnsi"/>
        </w:rPr>
        <w:t xml:space="preserve"> </w:t>
      </w:r>
      <w:r w:rsidR="006D62FF">
        <w:rPr>
          <w:rFonts w:asciiTheme="minorHAnsi" w:hAnsiTheme="minorHAnsi"/>
        </w:rPr>
        <w:t xml:space="preserve">and </w:t>
      </w:r>
      <w:r w:rsidR="00AD188E" w:rsidRPr="006D62FF">
        <w:rPr>
          <w:rFonts w:asciiTheme="minorHAnsi" w:hAnsiTheme="minorHAnsi"/>
        </w:rPr>
        <w:t xml:space="preserve">L. </w:t>
      </w:r>
      <w:r w:rsidR="00093F8C" w:rsidRPr="006D62FF">
        <w:rPr>
          <w:rFonts w:asciiTheme="minorHAnsi" w:hAnsiTheme="minorHAnsi"/>
        </w:rPr>
        <w:t>Berkofsky</w:t>
      </w:r>
      <w:r w:rsidR="00AD188E" w:rsidRPr="006D62FF">
        <w:rPr>
          <w:rFonts w:asciiTheme="minorHAnsi" w:hAnsiTheme="minorHAnsi"/>
        </w:rPr>
        <w:t>. 2004.</w:t>
      </w:r>
      <w:r w:rsidR="00093F8C" w:rsidRPr="006D62FF">
        <w:rPr>
          <w:rFonts w:asciiTheme="minorHAnsi" w:hAnsiTheme="minorHAnsi"/>
        </w:rPr>
        <w:t xml:space="preserve"> Eolian suspension above the saltation layer, the concentration profile. </w:t>
      </w:r>
      <w:r w:rsidR="00B329A1" w:rsidRPr="006D62FF">
        <w:rPr>
          <w:rFonts w:asciiTheme="minorHAnsi" w:hAnsiTheme="minorHAnsi"/>
        </w:rPr>
        <w:t xml:space="preserve"> </w:t>
      </w:r>
      <w:r w:rsidR="00AD188E" w:rsidRPr="00E84AA6">
        <w:rPr>
          <w:rFonts w:asciiTheme="minorHAnsi" w:hAnsiTheme="minorHAnsi"/>
          <w:i/>
        </w:rPr>
        <w:t>J Sediment Res</w:t>
      </w:r>
      <w:r w:rsidR="00093F8C" w:rsidRPr="00E84AA6">
        <w:rPr>
          <w:rFonts w:asciiTheme="minorHAnsi" w:hAnsiTheme="minorHAnsi"/>
          <w:i/>
        </w:rPr>
        <w:t xml:space="preserve"> </w:t>
      </w:r>
      <w:r w:rsidR="00093F8C" w:rsidRPr="006D62FF">
        <w:rPr>
          <w:rFonts w:asciiTheme="minorHAnsi" w:hAnsiTheme="minorHAnsi"/>
        </w:rPr>
        <w:t>74 (2), 176-183.</w:t>
      </w:r>
      <w:r w:rsidR="00B329A1" w:rsidRPr="006D62FF">
        <w:rPr>
          <w:rFonts w:asciiTheme="minorHAnsi" w:hAnsiTheme="minorHAnsi"/>
        </w:rPr>
        <w:t xml:space="preserve"> </w:t>
      </w:r>
      <w:hyperlink r:id="rId16" w:tgtFrame="_blank" w:history="1">
        <w:r w:rsidR="00B329A1" w:rsidRPr="006D62FF">
          <w:t>doi.o</w:t>
        </w:r>
        <w:r w:rsidR="00B329A1" w:rsidRPr="006D62FF">
          <w:t>r</w:t>
        </w:r>
        <w:r w:rsidR="00B329A1" w:rsidRPr="006D62FF">
          <w:t>g/10.13</w:t>
        </w:r>
        <w:r w:rsidR="00B329A1" w:rsidRPr="006D62FF">
          <w:t>0</w:t>
        </w:r>
        <w:r w:rsidR="00B329A1" w:rsidRPr="006D62FF">
          <w:t>6/091303740176</w:t>
        </w:r>
      </w:hyperlink>
    </w:p>
    <w:p w14:paraId="414239B9" w14:textId="27D66AA0" w:rsidR="007833D8" w:rsidRPr="006D62FF" w:rsidRDefault="007833D8" w:rsidP="006D62FF">
      <w:pPr>
        <w:pStyle w:val="dx-doi"/>
        <w:spacing w:before="0" w:after="0"/>
        <w:ind w:left="284" w:hanging="284"/>
        <w:rPr>
          <w:rFonts w:asciiTheme="minorHAnsi" w:hAnsiTheme="minorHAnsi"/>
        </w:rPr>
      </w:pPr>
      <w:proofErr w:type="spellStart"/>
      <w:r w:rsidRPr="006D62FF">
        <w:rPr>
          <w:rFonts w:asciiTheme="minorHAnsi" w:hAnsiTheme="minorHAnsi"/>
        </w:rPr>
        <w:t>Ginoux</w:t>
      </w:r>
      <w:proofErr w:type="spellEnd"/>
      <w:r w:rsidRPr="006D62FF">
        <w:rPr>
          <w:rFonts w:asciiTheme="minorHAnsi" w:hAnsiTheme="minorHAnsi"/>
        </w:rPr>
        <w:t>, P.</w:t>
      </w:r>
      <w:r w:rsidR="006D62FF">
        <w:rPr>
          <w:rFonts w:asciiTheme="minorHAnsi" w:hAnsiTheme="minorHAnsi"/>
        </w:rPr>
        <w:t>,</w:t>
      </w:r>
      <w:r w:rsidRPr="006D62FF">
        <w:rPr>
          <w:rFonts w:asciiTheme="minorHAnsi" w:hAnsiTheme="minorHAnsi"/>
        </w:rPr>
        <w:t xml:space="preserve"> </w:t>
      </w:r>
      <w:r w:rsidRPr="006D62FF">
        <w:rPr>
          <w:rFonts w:asciiTheme="minorHAnsi" w:hAnsiTheme="minorHAnsi"/>
        </w:rPr>
        <w:t xml:space="preserve">M. </w:t>
      </w:r>
      <w:r w:rsidRPr="006D62FF">
        <w:rPr>
          <w:rFonts w:asciiTheme="minorHAnsi" w:hAnsiTheme="minorHAnsi"/>
        </w:rPr>
        <w:t xml:space="preserve">Chin, </w:t>
      </w:r>
      <w:r w:rsidRPr="006D62FF">
        <w:rPr>
          <w:rFonts w:asciiTheme="minorHAnsi" w:hAnsiTheme="minorHAnsi"/>
        </w:rPr>
        <w:t>I.</w:t>
      </w:r>
      <w:r w:rsidRPr="006D62FF">
        <w:rPr>
          <w:rFonts w:asciiTheme="minorHAnsi" w:hAnsiTheme="minorHAnsi"/>
        </w:rPr>
        <w:t xml:space="preserve"> Tegen, </w:t>
      </w:r>
      <w:r w:rsidRPr="006D62FF">
        <w:rPr>
          <w:rFonts w:asciiTheme="minorHAnsi" w:hAnsiTheme="minorHAnsi"/>
        </w:rPr>
        <w:t xml:space="preserve">J. M. </w:t>
      </w:r>
      <w:r w:rsidRPr="006D62FF">
        <w:rPr>
          <w:rFonts w:asciiTheme="minorHAnsi" w:hAnsiTheme="minorHAnsi"/>
        </w:rPr>
        <w:t xml:space="preserve">Prospero, </w:t>
      </w:r>
      <w:r w:rsidRPr="006D62FF">
        <w:rPr>
          <w:rFonts w:asciiTheme="minorHAnsi" w:hAnsiTheme="minorHAnsi"/>
        </w:rPr>
        <w:t xml:space="preserve">B. </w:t>
      </w:r>
      <w:r w:rsidRPr="006D62FF">
        <w:rPr>
          <w:rFonts w:asciiTheme="minorHAnsi" w:hAnsiTheme="minorHAnsi"/>
        </w:rPr>
        <w:t xml:space="preserve">Holben, </w:t>
      </w:r>
      <w:r w:rsidRPr="006D62FF">
        <w:rPr>
          <w:rFonts w:asciiTheme="minorHAnsi" w:hAnsiTheme="minorHAnsi"/>
        </w:rPr>
        <w:t xml:space="preserve">O. </w:t>
      </w:r>
      <w:proofErr w:type="spellStart"/>
      <w:r w:rsidRPr="006D62FF">
        <w:rPr>
          <w:rFonts w:asciiTheme="minorHAnsi" w:hAnsiTheme="minorHAnsi"/>
        </w:rPr>
        <w:t>Dubovik</w:t>
      </w:r>
      <w:proofErr w:type="spellEnd"/>
      <w:r w:rsidRPr="006D62FF">
        <w:rPr>
          <w:rFonts w:asciiTheme="minorHAnsi" w:hAnsiTheme="minorHAnsi"/>
        </w:rPr>
        <w:t xml:space="preserve">, </w:t>
      </w:r>
      <w:r w:rsidR="00E84AA6">
        <w:rPr>
          <w:rFonts w:asciiTheme="minorHAnsi" w:hAnsiTheme="minorHAnsi"/>
        </w:rPr>
        <w:t xml:space="preserve">and </w:t>
      </w:r>
      <w:r w:rsidRPr="006D62FF">
        <w:rPr>
          <w:rFonts w:asciiTheme="minorHAnsi" w:hAnsiTheme="minorHAnsi"/>
        </w:rPr>
        <w:t>S.-J.</w:t>
      </w:r>
      <w:r w:rsidRPr="006D62FF">
        <w:rPr>
          <w:rFonts w:asciiTheme="minorHAnsi" w:hAnsiTheme="minorHAnsi"/>
        </w:rPr>
        <w:t xml:space="preserve"> Lin</w:t>
      </w:r>
      <w:r w:rsidRPr="006D62FF">
        <w:rPr>
          <w:rFonts w:asciiTheme="minorHAnsi" w:hAnsiTheme="minorHAnsi"/>
        </w:rPr>
        <w:t>.</w:t>
      </w:r>
      <w:r w:rsidRPr="006D62FF">
        <w:rPr>
          <w:rFonts w:asciiTheme="minorHAnsi" w:hAnsiTheme="minorHAnsi"/>
        </w:rPr>
        <w:t xml:space="preserve"> 2001</w:t>
      </w:r>
      <w:r w:rsidRPr="006D62FF">
        <w:rPr>
          <w:rFonts w:asciiTheme="minorHAnsi" w:hAnsiTheme="minorHAnsi"/>
        </w:rPr>
        <w:t xml:space="preserve">. </w:t>
      </w:r>
      <w:r w:rsidRPr="006D62FF">
        <w:rPr>
          <w:rFonts w:asciiTheme="minorHAnsi" w:hAnsiTheme="minorHAnsi"/>
        </w:rPr>
        <w:t>Sources and distributions of dust aerosols simulated with the GOCART model.</w:t>
      </w:r>
      <w:r w:rsidR="00B329A1" w:rsidRPr="006D62FF">
        <w:rPr>
          <w:rFonts w:asciiTheme="minorHAnsi" w:hAnsiTheme="minorHAnsi"/>
        </w:rPr>
        <w:t xml:space="preserve"> </w:t>
      </w:r>
      <w:r w:rsidR="00B329A1" w:rsidRPr="00E84AA6">
        <w:rPr>
          <w:rFonts w:asciiTheme="minorHAnsi" w:hAnsiTheme="minorHAnsi"/>
          <w:i/>
        </w:rPr>
        <w:t xml:space="preserve">J </w:t>
      </w:r>
      <w:proofErr w:type="spellStart"/>
      <w:r w:rsidR="00B329A1" w:rsidRPr="00E84AA6">
        <w:rPr>
          <w:rFonts w:asciiTheme="minorHAnsi" w:hAnsiTheme="minorHAnsi"/>
          <w:i/>
        </w:rPr>
        <w:t>Geophys</w:t>
      </w:r>
      <w:proofErr w:type="spellEnd"/>
      <w:r w:rsidR="00B329A1" w:rsidRPr="00E84AA6">
        <w:rPr>
          <w:rFonts w:asciiTheme="minorHAnsi" w:hAnsiTheme="minorHAnsi"/>
          <w:i/>
        </w:rPr>
        <w:t xml:space="preserve"> Res-</w:t>
      </w:r>
      <w:proofErr w:type="spellStart"/>
      <w:r w:rsidR="00B329A1" w:rsidRPr="00E84AA6">
        <w:rPr>
          <w:rFonts w:asciiTheme="minorHAnsi" w:hAnsiTheme="minorHAnsi"/>
          <w:i/>
        </w:rPr>
        <w:t>Atmos</w:t>
      </w:r>
      <w:proofErr w:type="spellEnd"/>
      <w:r w:rsidRPr="006D62FF">
        <w:rPr>
          <w:rFonts w:asciiTheme="minorHAnsi" w:hAnsiTheme="minorHAnsi"/>
        </w:rPr>
        <w:t xml:space="preserve"> 106 (D17), 20255-20273.</w:t>
      </w:r>
      <w:r w:rsidR="00B329A1" w:rsidRPr="006D62FF">
        <w:rPr>
          <w:rFonts w:asciiTheme="minorHAnsi" w:hAnsiTheme="minorHAnsi"/>
        </w:rPr>
        <w:t xml:space="preserve"> </w:t>
      </w:r>
      <w:hyperlink r:id="rId17" w:history="1">
        <w:r w:rsidR="00B329A1" w:rsidRPr="00E84AA6">
          <w:rPr>
            <w:rFonts w:asciiTheme="minorHAnsi" w:hAnsiTheme="minorHAnsi"/>
          </w:rPr>
          <w:t>doi.org/1</w:t>
        </w:r>
        <w:r w:rsidR="00B329A1" w:rsidRPr="00E84AA6">
          <w:rPr>
            <w:rFonts w:asciiTheme="minorHAnsi" w:hAnsiTheme="minorHAnsi"/>
          </w:rPr>
          <w:t>0</w:t>
        </w:r>
        <w:r w:rsidR="00B329A1" w:rsidRPr="00E84AA6">
          <w:rPr>
            <w:rFonts w:asciiTheme="minorHAnsi" w:hAnsiTheme="minorHAnsi"/>
          </w:rPr>
          <w:t>.1029/2000JD000053</w:t>
        </w:r>
      </w:hyperlink>
    </w:p>
    <w:p w14:paraId="46DE03DB" w14:textId="77777777" w:rsidR="007833D8" w:rsidRPr="006D62FF" w:rsidRDefault="007833D8" w:rsidP="006D62FF">
      <w:pPr>
        <w:pStyle w:val="dx-doi"/>
        <w:spacing w:before="0" w:after="0"/>
        <w:ind w:left="284" w:hanging="284"/>
        <w:rPr>
          <w:rFonts w:asciiTheme="minorHAnsi" w:hAnsiTheme="minorHAnsi"/>
        </w:rPr>
      </w:pPr>
      <w:r w:rsidRPr="006D62FF">
        <w:rPr>
          <w:rFonts w:asciiTheme="minorHAnsi" w:hAnsiTheme="minorHAnsi"/>
        </w:rPr>
        <w:t>Mukherjee, S. 2013. The science of clays: Applications in Industry, Engineering and Environment. Dordrecht, NL: Springer; New Delhi, IN: Capital Publishing.</w:t>
      </w:r>
    </w:p>
    <w:p w14:paraId="376D9E08" w14:textId="065973F4" w:rsidR="006D62FF" w:rsidRPr="006D62FF" w:rsidRDefault="007833D8" w:rsidP="006D62FF">
      <w:pPr>
        <w:pStyle w:val="dx-doi"/>
        <w:spacing w:before="0" w:after="0"/>
        <w:ind w:left="284" w:hanging="284"/>
        <w:rPr>
          <w:rFonts w:asciiTheme="minorHAnsi" w:hAnsiTheme="minorHAnsi"/>
        </w:rPr>
      </w:pPr>
      <w:r w:rsidRPr="006D62FF">
        <w:rPr>
          <w:rFonts w:asciiTheme="minorHAnsi" w:hAnsiTheme="minorHAnsi"/>
        </w:rPr>
        <w:t xml:space="preserve">Smart, C., </w:t>
      </w:r>
      <w:r w:rsidR="00E84AA6">
        <w:rPr>
          <w:rFonts w:asciiTheme="minorHAnsi" w:hAnsiTheme="minorHAnsi"/>
        </w:rPr>
        <w:t xml:space="preserve">and </w:t>
      </w:r>
      <w:r w:rsidRPr="006D62FF">
        <w:rPr>
          <w:rFonts w:asciiTheme="minorHAnsi" w:hAnsiTheme="minorHAnsi"/>
        </w:rPr>
        <w:t xml:space="preserve">E. Willis. 1967. Determination of refractive indices of polystyrene latices by light scattering. </w:t>
      </w:r>
      <w:r w:rsidR="00B329A1" w:rsidRPr="00E84AA6">
        <w:rPr>
          <w:rFonts w:asciiTheme="minorHAnsi" w:hAnsiTheme="minorHAnsi"/>
          <w:i/>
        </w:rPr>
        <w:t>J C</w:t>
      </w:r>
      <w:r w:rsidR="00B329A1" w:rsidRPr="00E84AA6">
        <w:rPr>
          <w:rFonts w:asciiTheme="minorHAnsi" w:hAnsiTheme="minorHAnsi"/>
          <w:i/>
        </w:rPr>
        <w:t>olloid</w:t>
      </w:r>
      <w:r w:rsidR="00B329A1" w:rsidRPr="00E84AA6">
        <w:rPr>
          <w:rFonts w:asciiTheme="minorHAnsi" w:hAnsiTheme="minorHAnsi"/>
          <w:i/>
        </w:rPr>
        <w:t xml:space="preserve"> </w:t>
      </w:r>
      <w:proofErr w:type="spellStart"/>
      <w:r w:rsidR="00B329A1" w:rsidRPr="00E84AA6">
        <w:rPr>
          <w:rFonts w:asciiTheme="minorHAnsi" w:hAnsiTheme="minorHAnsi"/>
          <w:i/>
        </w:rPr>
        <w:t>I</w:t>
      </w:r>
      <w:r w:rsidR="00B329A1" w:rsidRPr="00E84AA6">
        <w:rPr>
          <w:rFonts w:asciiTheme="minorHAnsi" w:hAnsiTheme="minorHAnsi"/>
          <w:i/>
        </w:rPr>
        <w:t>nterf</w:t>
      </w:r>
      <w:proofErr w:type="spellEnd"/>
      <w:r w:rsidR="00B329A1" w:rsidRPr="00E84AA6">
        <w:rPr>
          <w:rFonts w:asciiTheme="minorHAnsi" w:hAnsiTheme="minorHAnsi"/>
          <w:i/>
        </w:rPr>
        <w:t xml:space="preserve"> S</w:t>
      </w:r>
      <w:r w:rsidR="00B329A1" w:rsidRPr="00E84AA6">
        <w:rPr>
          <w:rFonts w:asciiTheme="minorHAnsi" w:hAnsiTheme="minorHAnsi"/>
          <w:i/>
        </w:rPr>
        <w:t>ci</w:t>
      </w:r>
      <w:r w:rsidR="00B329A1" w:rsidRPr="006D62FF">
        <w:rPr>
          <w:rFonts w:asciiTheme="minorHAnsi" w:hAnsiTheme="minorHAnsi"/>
        </w:rPr>
        <w:t xml:space="preserve"> </w:t>
      </w:r>
      <w:r w:rsidRPr="006D62FF">
        <w:rPr>
          <w:rFonts w:asciiTheme="minorHAnsi" w:hAnsiTheme="minorHAnsi"/>
        </w:rPr>
        <w:t>25 (4): 577-583.</w:t>
      </w:r>
      <w:r w:rsidR="006D62FF" w:rsidRPr="006D62FF">
        <w:rPr>
          <w:rFonts w:asciiTheme="minorHAnsi" w:hAnsiTheme="minorHAnsi"/>
        </w:rPr>
        <w:t xml:space="preserve"> </w:t>
      </w:r>
      <w:hyperlink r:id="rId18" w:tgtFrame="_blank" w:tooltip="Persistent link using digital object identifier" w:history="1">
        <w:r w:rsidR="006D62FF" w:rsidRPr="006D62FF">
          <w:t>doi.org/10.1016/0021-9797(67)90071-9</w:t>
        </w:r>
      </w:hyperlink>
    </w:p>
    <w:p w14:paraId="037A4370" w14:textId="21ED0E1E" w:rsidR="00093F8C" w:rsidRPr="006D62FF" w:rsidRDefault="00093F8C" w:rsidP="006D62FF">
      <w:pPr>
        <w:pStyle w:val="dx-doi"/>
        <w:spacing w:before="0" w:after="0"/>
        <w:ind w:left="284" w:hanging="284"/>
        <w:rPr>
          <w:rFonts w:asciiTheme="minorHAnsi" w:hAnsiTheme="minorHAnsi"/>
        </w:rPr>
      </w:pPr>
      <w:r w:rsidRPr="006D62FF">
        <w:rPr>
          <w:rFonts w:asciiTheme="minorHAnsi" w:hAnsiTheme="minorHAnsi"/>
        </w:rPr>
        <w:t>Tegen, I.</w:t>
      </w:r>
      <w:r w:rsidR="00AD188E" w:rsidRPr="006D62FF">
        <w:rPr>
          <w:rFonts w:asciiTheme="minorHAnsi" w:hAnsiTheme="minorHAnsi"/>
        </w:rPr>
        <w:t xml:space="preserve">, </w:t>
      </w:r>
      <w:r w:rsidR="00E84AA6">
        <w:rPr>
          <w:rFonts w:asciiTheme="minorHAnsi" w:hAnsiTheme="minorHAnsi"/>
        </w:rPr>
        <w:t xml:space="preserve">and </w:t>
      </w:r>
      <w:r w:rsidR="00AD188E" w:rsidRPr="006D62FF">
        <w:rPr>
          <w:rFonts w:asciiTheme="minorHAnsi" w:hAnsiTheme="minorHAnsi"/>
        </w:rPr>
        <w:t>I.</w:t>
      </w:r>
      <w:r w:rsidRPr="006D62FF">
        <w:rPr>
          <w:rFonts w:asciiTheme="minorHAnsi" w:hAnsiTheme="minorHAnsi"/>
        </w:rPr>
        <w:t xml:space="preserve"> Fung</w:t>
      </w:r>
      <w:r w:rsidR="00AD188E" w:rsidRPr="006D62FF">
        <w:rPr>
          <w:rFonts w:asciiTheme="minorHAnsi" w:hAnsiTheme="minorHAnsi"/>
        </w:rPr>
        <w:t>. 1994.</w:t>
      </w:r>
      <w:r w:rsidRPr="006D62FF">
        <w:rPr>
          <w:rFonts w:asciiTheme="minorHAnsi" w:hAnsiTheme="minorHAnsi"/>
        </w:rPr>
        <w:t xml:space="preserve"> Modeling of mineral dust in the atmosphere: Sources, transport, and optical thickness. </w:t>
      </w:r>
      <w:r w:rsidR="00AD188E" w:rsidRPr="00E84AA6">
        <w:rPr>
          <w:rFonts w:asciiTheme="minorHAnsi" w:hAnsiTheme="minorHAnsi"/>
          <w:i/>
        </w:rPr>
        <w:t>Geophys Res</w:t>
      </w:r>
      <w:r w:rsidR="00AD188E" w:rsidRPr="006D62FF">
        <w:rPr>
          <w:rFonts w:asciiTheme="minorHAnsi" w:hAnsiTheme="minorHAnsi"/>
        </w:rPr>
        <w:t xml:space="preserve"> </w:t>
      </w:r>
      <w:r w:rsidRPr="006D62FF">
        <w:rPr>
          <w:rFonts w:asciiTheme="minorHAnsi" w:hAnsiTheme="minorHAnsi"/>
        </w:rPr>
        <w:t>99 (D11), 22897-22914.</w:t>
      </w:r>
      <w:r w:rsidR="006D62FF" w:rsidRPr="006D62FF">
        <w:rPr>
          <w:rFonts w:asciiTheme="minorHAnsi" w:hAnsiTheme="minorHAnsi"/>
        </w:rPr>
        <w:t xml:space="preserve"> </w:t>
      </w:r>
      <w:hyperlink r:id="rId19" w:history="1">
        <w:r w:rsidR="006D62FF" w:rsidRPr="006D62FF">
          <w:t>doi.org/10.1029/94JD01928</w:t>
        </w:r>
      </w:hyperlink>
    </w:p>
    <w:p w14:paraId="441F0868" w14:textId="1D8302A4" w:rsidR="006D62FF" w:rsidRPr="006D62FF" w:rsidRDefault="00093F8C" w:rsidP="006D62FF">
      <w:pPr>
        <w:pStyle w:val="dx-doi"/>
        <w:spacing w:before="0" w:after="0"/>
        <w:ind w:left="284" w:hanging="284"/>
        <w:rPr>
          <w:rFonts w:asciiTheme="minorHAnsi" w:hAnsiTheme="minorHAnsi"/>
        </w:rPr>
      </w:pPr>
      <w:r w:rsidRPr="006D62FF">
        <w:rPr>
          <w:rFonts w:asciiTheme="minorHAnsi" w:hAnsiTheme="minorHAnsi"/>
        </w:rPr>
        <w:t>Yang, M.</w:t>
      </w:r>
      <w:r w:rsidR="00AD188E" w:rsidRPr="006D62FF">
        <w:rPr>
          <w:rFonts w:asciiTheme="minorHAnsi" w:hAnsiTheme="minorHAnsi"/>
        </w:rPr>
        <w:t>, S.G.</w:t>
      </w:r>
      <w:r w:rsidRPr="006D62FF">
        <w:rPr>
          <w:rFonts w:asciiTheme="minorHAnsi" w:hAnsiTheme="minorHAnsi"/>
        </w:rPr>
        <w:t xml:space="preserve">  Howell, </w:t>
      </w:r>
      <w:r w:rsidR="00AD188E" w:rsidRPr="006D62FF">
        <w:rPr>
          <w:rFonts w:asciiTheme="minorHAnsi" w:hAnsiTheme="minorHAnsi"/>
        </w:rPr>
        <w:t xml:space="preserve">J. </w:t>
      </w:r>
      <w:r w:rsidRPr="006D62FF">
        <w:rPr>
          <w:rFonts w:asciiTheme="minorHAnsi" w:hAnsiTheme="minorHAnsi"/>
        </w:rPr>
        <w:t xml:space="preserve"> Zhuang, </w:t>
      </w:r>
      <w:r w:rsidR="00E84AA6">
        <w:rPr>
          <w:rFonts w:asciiTheme="minorHAnsi" w:hAnsiTheme="minorHAnsi"/>
        </w:rPr>
        <w:t xml:space="preserve">and </w:t>
      </w:r>
      <w:r w:rsidR="00AD188E" w:rsidRPr="006D62FF">
        <w:rPr>
          <w:rFonts w:asciiTheme="minorHAnsi" w:hAnsiTheme="minorHAnsi"/>
        </w:rPr>
        <w:t xml:space="preserve">B. J. </w:t>
      </w:r>
      <w:r w:rsidRPr="006D62FF">
        <w:rPr>
          <w:rFonts w:asciiTheme="minorHAnsi" w:hAnsiTheme="minorHAnsi"/>
        </w:rPr>
        <w:t>Huebert.</w:t>
      </w:r>
      <w:r w:rsidR="00AD188E" w:rsidRPr="006D62FF">
        <w:rPr>
          <w:rFonts w:asciiTheme="minorHAnsi" w:hAnsiTheme="minorHAnsi"/>
        </w:rPr>
        <w:t xml:space="preserve"> 2009.</w:t>
      </w:r>
      <w:r w:rsidRPr="006D62FF">
        <w:rPr>
          <w:rFonts w:asciiTheme="minorHAnsi" w:hAnsiTheme="minorHAnsi"/>
        </w:rPr>
        <w:t xml:space="preserve"> Attribution of aerosol light absorption to black carbon, brown carbon, and dust in China – interpretations of atmospheric measurements during EAST-AIRE. </w:t>
      </w:r>
      <w:proofErr w:type="spellStart"/>
      <w:r w:rsidRPr="00E84AA6">
        <w:rPr>
          <w:rFonts w:asciiTheme="minorHAnsi" w:hAnsiTheme="minorHAnsi"/>
          <w:i/>
        </w:rPr>
        <w:t>Atmos</w:t>
      </w:r>
      <w:proofErr w:type="spellEnd"/>
      <w:r w:rsidRPr="00E84AA6">
        <w:rPr>
          <w:rFonts w:asciiTheme="minorHAnsi" w:hAnsiTheme="minorHAnsi"/>
          <w:i/>
        </w:rPr>
        <w:t xml:space="preserve"> </w:t>
      </w:r>
      <w:proofErr w:type="spellStart"/>
      <w:r w:rsidRPr="00E84AA6">
        <w:rPr>
          <w:rFonts w:asciiTheme="minorHAnsi" w:hAnsiTheme="minorHAnsi"/>
          <w:i/>
        </w:rPr>
        <w:t>Chem</w:t>
      </w:r>
      <w:proofErr w:type="spellEnd"/>
      <w:r w:rsidRPr="00E84AA6">
        <w:rPr>
          <w:rFonts w:asciiTheme="minorHAnsi" w:hAnsiTheme="minorHAnsi"/>
          <w:i/>
        </w:rPr>
        <w:t xml:space="preserve"> Phys</w:t>
      </w:r>
      <w:r w:rsidRPr="006D62FF">
        <w:rPr>
          <w:rFonts w:asciiTheme="minorHAnsi" w:hAnsiTheme="minorHAnsi"/>
        </w:rPr>
        <w:t xml:space="preserve"> 9 (6)</w:t>
      </w:r>
      <w:r w:rsidR="00AD188E" w:rsidRPr="006D62FF">
        <w:rPr>
          <w:rFonts w:asciiTheme="minorHAnsi" w:hAnsiTheme="minorHAnsi"/>
        </w:rPr>
        <w:t>:</w:t>
      </w:r>
      <w:r w:rsidRPr="006D62FF">
        <w:rPr>
          <w:rFonts w:asciiTheme="minorHAnsi" w:hAnsiTheme="minorHAnsi"/>
        </w:rPr>
        <w:t xml:space="preserve"> 2035-2050.</w:t>
      </w:r>
      <w:r w:rsidR="00AD188E" w:rsidRPr="006D62FF">
        <w:rPr>
          <w:rFonts w:asciiTheme="minorHAnsi" w:hAnsiTheme="minorHAnsi"/>
        </w:rPr>
        <w:t xml:space="preserve"> </w:t>
      </w:r>
      <w:hyperlink r:id="rId20" w:history="1">
        <w:r w:rsidR="006D62FF" w:rsidRPr="006D62FF">
          <w:t>doi.org/10</w:t>
        </w:r>
        <w:r w:rsidR="006D62FF" w:rsidRPr="006D62FF">
          <w:t>.</w:t>
        </w:r>
        <w:r w:rsidR="006D62FF" w:rsidRPr="006D62FF">
          <w:t>5194/acp-9-2035-2009</w:t>
        </w:r>
      </w:hyperlink>
    </w:p>
    <w:p w14:paraId="2AFB963D" w14:textId="137B4696" w:rsidR="00093F8C" w:rsidRPr="006D62FF" w:rsidRDefault="00093F8C" w:rsidP="007833D8">
      <w:pPr>
        <w:pStyle w:val="EndNoteBibliography"/>
        <w:ind w:left="284" w:hanging="284"/>
        <w:rPr>
          <w:rFonts w:asciiTheme="minorHAnsi" w:hAnsiTheme="minorHAnsi"/>
          <w:sz w:val="24"/>
        </w:rPr>
      </w:pPr>
    </w:p>
    <w:p w14:paraId="497A35A2" w14:textId="52BA13AE" w:rsidR="009409D3" w:rsidRPr="00BC047E" w:rsidRDefault="005B35F9" w:rsidP="007833D8">
      <w:pPr>
        <w:pStyle w:val="EndNoteBibliography"/>
        <w:ind w:left="284" w:hanging="284"/>
        <w:rPr>
          <w:sz w:val="24"/>
        </w:rPr>
      </w:pPr>
      <w:r w:rsidRPr="006D62FF">
        <w:rPr>
          <w:rFonts w:asciiTheme="minorHAnsi" w:hAnsiTheme="minorHAnsi"/>
          <w:sz w:val="24"/>
        </w:rPr>
        <w:fldChar w:fldCharType="end"/>
      </w:r>
    </w:p>
    <w:sectPr w:rsidR="009409D3" w:rsidRPr="00BC047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34E3D"/>
    <w:multiLevelType w:val="hybridMultilevel"/>
    <w:tmpl w:val="AEA470A6"/>
    <w:lvl w:ilvl="0" w:tplc="02666FB0">
      <w:start w:val="1"/>
      <w:numFmt w:val="upperRoman"/>
      <w:lvlText w:val="%1."/>
      <w:lvlJc w:val="left"/>
      <w:pPr>
        <w:ind w:left="1080" w:hanging="72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0914468"/>
    <w:multiLevelType w:val="multilevel"/>
    <w:tmpl w:val="FE4E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895744"/>
    <w:multiLevelType w:val="hybridMultilevel"/>
    <w:tmpl w:val="9A44CD56"/>
    <w:lvl w:ilvl="0" w:tplc="D62CEEA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9f2ee2opr0wde0xen5wwa4ezsevfwe55x9&quot;&gt;MSc_Citations&lt;record-ids&gt;&lt;item&gt;34&lt;/item&gt;&lt;item&gt;35&lt;/item&gt;&lt;item&gt;62&lt;/item&gt;&lt;item&gt;110&lt;/item&gt;&lt;item&gt;126&lt;/item&gt;&lt;item&gt;127&lt;/item&gt;&lt;item&gt;149&lt;/item&gt;&lt;/record-ids&gt;&lt;/item&gt;&lt;/Libraries&gt;"/>
  </w:docVars>
  <w:rsids>
    <w:rsidRoot w:val="009409D3"/>
    <w:rsid w:val="00017B7E"/>
    <w:rsid w:val="00032490"/>
    <w:rsid w:val="0003554C"/>
    <w:rsid w:val="0004260D"/>
    <w:rsid w:val="0004593E"/>
    <w:rsid w:val="00072AAF"/>
    <w:rsid w:val="00093F8C"/>
    <w:rsid w:val="00097F3B"/>
    <w:rsid w:val="000B470E"/>
    <w:rsid w:val="00120AB8"/>
    <w:rsid w:val="001B289C"/>
    <w:rsid w:val="00222274"/>
    <w:rsid w:val="002614AF"/>
    <w:rsid w:val="002D38C8"/>
    <w:rsid w:val="002D615A"/>
    <w:rsid w:val="00396227"/>
    <w:rsid w:val="003C3DD1"/>
    <w:rsid w:val="003F0828"/>
    <w:rsid w:val="00435289"/>
    <w:rsid w:val="00484594"/>
    <w:rsid w:val="004D1FFD"/>
    <w:rsid w:val="0053669A"/>
    <w:rsid w:val="00594778"/>
    <w:rsid w:val="005A3A1F"/>
    <w:rsid w:val="005B35F9"/>
    <w:rsid w:val="005D6264"/>
    <w:rsid w:val="006017BA"/>
    <w:rsid w:val="00635754"/>
    <w:rsid w:val="00644AEF"/>
    <w:rsid w:val="00664938"/>
    <w:rsid w:val="00674BA8"/>
    <w:rsid w:val="006D62FF"/>
    <w:rsid w:val="006E4DD8"/>
    <w:rsid w:val="006F398D"/>
    <w:rsid w:val="0074508E"/>
    <w:rsid w:val="00762D4B"/>
    <w:rsid w:val="007833D8"/>
    <w:rsid w:val="007F485A"/>
    <w:rsid w:val="0082407F"/>
    <w:rsid w:val="00837B26"/>
    <w:rsid w:val="00840930"/>
    <w:rsid w:val="008416FB"/>
    <w:rsid w:val="00870050"/>
    <w:rsid w:val="00882625"/>
    <w:rsid w:val="008F301A"/>
    <w:rsid w:val="009237B4"/>
    <w:rsid w:val="00932CEB"/>
    <w:rsid w:val="00937873"/>
    <w:rsid w:val="009409D3"/>
    <w:rsid w:val="009A3A41"/>
    <w:rsid w:val="009D53F2"/>
    <w:rsid w:val="00A029AF"/>
    <w:rsid w:val="00A2284D"/>
    <w:rsid w:val="00A3020B"/>
    <w:rsid w:val="00A96868"/>
    <w:rsid w:val="00AB27E8"/>
    <w:rsid w:val="00AD188E"/>
    <w:rsid w:val="00B065D9"/>
    <w:rsid w:val="00B329A1"/>
    <w:rsid w:val="00BC047E"/>
    <w:rsid w:val="00BD4962"/>
    <w:rsid w:val="00C164A6"/>
    <w:rsid w:val="00C81F1A"/>
    <w:rsid w:val="00C913DA"/>
    <w:rsid w:val="00CB415F"/>
    <w:rsid w:val="00D01F2F"/>
    <w:rsid w:val="00D13657"/>
    <w:rsid w:val="00D30EA3"/>
    <w:rsid w:val="00D8116C"/>
    <w:rsid w:val="00E06DE9"/>
    <w:rsid w:val="00E15CBF"/>
    <w:rsid w:val="00E524CC"/>
    <w:rsid w:val="00E543ED"/>
    <w:rsid w:val="00E84AA6"/>
    <w:rsid w:val="00F00055"/>
    <w:rsid w:val="00F03F9D"/>
    <w:rsid w:val="00F2113F"/>
    <w:rsid w:val="00F25BB4"/>
    <w:rsid w:val="00FA76D8"/>
    <w:rsid w:val="00FD253A"/>
    <w:rsid w:val="00FF6D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D2949"/>
  <w15:docId w15:val="{B48FA50C-63AC-4A48-AFBD-3F5057B3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ar"/>
    <w:rsid w:val="00A029AF"/>
    <w:pPr>
      <w:spacing w:after="0" w:line="240" w:lineRule="auto"/>
    </w:pPr>
    <w:rPr>
      <w:rFonts w:ascii="Calibri" w:hAnsi="Calibri" w:cs="Calibri"/>
      <w:noProof/>
      <w:szCs w:val="24"/>
      <w:lang w:val="en-US"/>
    </w:rPr>
  </w:style>
  <w:style w:type="character" w:customStyle="1" w:styleId="EndNoteBibliographyCar">
    <w:name w:val="EndNote Bibliography Car"/>
    <w:basedOn w:val="DefaultParagraphFont"/>
    <w:link w:val="EndNoteBibliography"/>
    <w:rsid w:val="00A029AF"/>
    <w:rPr>
      <w:rFonts w:ascii="Calibri" w:hAnsi="Calibri" w:cs="Calibri"/>
      <w:noProof/>
      <w:szCs w:val="24"/>
      <w:lang w:val="en-US"/>
    </w:rPr>
  </w:style>
  <w:style w:type="character" w:styleId="Hyperlink">
    <w:name w:val="Hyperlink"/>
    <w:basedOn w:val="DefaultParagraphFont"/>
    <w:uiPriority w:val="99"/>
    <w:unhideWhenUsed/>
    <w:rsid w:val="00A029AF"/>
    <w:rPr>
      <w:color w:val="0563C1" w:themeColor="hyperlink"/>
      <w:u w:val="single"/>
    </w:rPr>
  </w:style>
  <w:style w:type="character" w:styleId="CommentReference">
    <w:name w:val="annotation reference"/>
    <w:basedOn w:val="DefaultParagraphFont"/>
    <w:uiPriority w:val="99"/>
    <w:semiHidden/>
    <w:unhideWhenUsed/>
    <w:rsid w:val="00A029AF"/>
    <w:rPr>
      <w:sz w:val="16"/>
      <w:szCs w:val="16"/>
    </w:rPr>
  </w:style>
  <w:style w:type="paragraph" w:styleId="CommentText">
    <w:name w:val="annotation text"/>
    <w:basedOn w:val="Normal"/>
    <w:link w:val="CommentTextChar"/>
    <w:uiPriority w:val="99"/>
    <w:semiHidden/>
    <w:unhideWhenUsed/>
    <w:rsid w:val="00A029AF"/>
    <w:pPr>
      <w:spacing w:line="240" w:lineRule="auto"/>
    </w:pPr>
    <w:rPr>
      <w:sz w:val="20"/>
      <w:szCs w:val="20"/>
    </w:rPr>
  </w:style>
  <w:style w:type="character" w:customStyle="1" w:styleId="CommentTextChar">
    <w:name w:val="Comment Text Char"/>
    <w:basedOn w:val="DefaultParagraphFont"/>
    <w:link w:val="CommentText"/>
    <w:uiPriority w:val="99"/>
    <w:semiHidden/>
    <w:rsid w:val="00A029AF"/>
    <w:rPr>
      <w:sz w:val="20"/>
      <w:szCs w:val="20"/>
    </w:rPr>
  </w:style>
  <w:style w:type="paragraph" w:customStyle="1" w:styleId="EndNoteBibliographyTitle">
    <w:name w:val="EndNote Bibliography Title"/>
    <w:basedOn w:val="Normal"/>
    <w:link w:val="EndNoteBibliographyTitleChar"/>
    <w:rsid w:val="00A029AF"/>
    <w:pPr>
      <w:spacing w:after="0"/>
      <w:jc w:val="center"/>
    </w:pPr>
    <w:rPr>
      <w:rFonts w:ascii="Calibri" w:hAnsi="Calibri" w:cs="Calibri"/>
      <w:noProof/>
      <w:lang w:val="en-US"/>
    </w:rPr>
  </w:style>
  <w:style w:type="character" w:customStyle="1" w:styleId="EndNoteBibliographyTitleChar">
    <w:name w:val="EndNote Bibliography Title Char"/>
    <w:basedOn w:val="EndNoteBibliographyCar"/>
    <w:link w:val="EndNoteBibliographyTitle"/>
    <w:rsid w:val="00A029AF"/>
    <w:rPr>
      <w:rFonts w:ascii="Calibri" w:hAnsi="Calibri" w:cs="Calibri"/>
      <w:noProof/>
      <w:szCs w:val="24"/>
      <w:lang w:val="en-US"/>
    </w:rPr>
  </w:style>
  <w:style w:type="paragraph" w:styleId="ListParagraph">
    <w:name w:val="List Paragraph"/>
    <w:basedOn w:val="Normal"/>
    <w:link w:val="ListParagraphChar"/>
    <w:uiPriority w:val="34"/>
    <w:qFormat/>
    <w:rsid w:val="00F00055"/>
    <w:pPr>
      <w:ind w:left="720"/>
      <w:contextualSpacing/>
    </w:pPr>
  </w:style>
  <w:style w:type="character" w:customStyle="1" w:styleId="ListParagraphChar">
    <w:name w:val="List Paragraph Char"/>
    <w:basedOn w:val="DefaultParagraphFont"/>
    <w:link w:val="ListParagraph"/>
    <w:uiPriority w:val="34"/>
    <w:rsid w:val="0074508E"/>
  </w:style>
  <w:style w:type="paragraph" w:styleId="BalloonText">
    <w:name w:val="Balloon Text"/>
    <w:basedOn w:val="Normal"/>
    <w:link w:val="BalloonTextChar"/>
    <w:uiPriority w:val="99"/>
    <w:semiHidden/>
    <w:unhideWhenUsed/>
    <w:rsid w:val="00A22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84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2284D"/>
    <w:rPr>
      <w:b/>
      <w:bCs/>
    </w:rPr>
  </w:style>
  <w:style w:type="character" w:customStyle="1" w:styleId="CommentSubjectChar">
    <w:name w:val="Comment Subject Char"/>
    <w:basedOn w:val="CommentTextChar"/>
    <w:link w:val="CommentSubject"/>
    <w:uiPriority w:val="99"/>
    <w:semiHidden/>
    <w:rsid w:val="00A2284D"/>
    <w:rPr>
      <w:b/>
      <w:bCs/>
      <w:sz w:val="20"/>
      <w:szCs w:val="20"/>
    </w:rPr>
  </w:style>
  <w:style w:type="paragraph" w:customStyle="1" w:styleId="Authornames">
    <w:name w:val="Author names"/>
    <w:basedOn w:val="Normal"/>
    <w:next w:val="Normal"/>
    <w:qFormat/>
    <w:rsid w:val="00097F3B"/>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097F3B"/>
    <w:pPr>
      <w:spacing w:before="240" w:after="0" w:line="360" w:lineRule="auto"/>
    </w:pPr>
    <w:rPr>
      <w:rFonts w:ascii="Times New Roman" w:eastAsia="Times New Roman" w:hAnsi="Times New Roman" w:cs="Times New Roman"/>
      <w:i/>
      <w:sz w:val="24"/>
      <w:szCs w:val="24"/>
      <w:lang w:val="en-GB" w:eastAsia="en-GB"/>
    </w:rPr>
  </w:style>
  <w:style w:type="paragraph" w:customStyle="1" w:styleId="dx-doi">
    <w:name w:val="dx-doi"/>
    <w:basedOn w:val="Normal"/>
    <w:rsid w:val="00C913D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D62FF"/>
    <w:rPr>
      <w:color w:val="954F72" w:themeColor="followedHyperlink"/>
      <w:u w:val="single"/>
    </w:rPr>
  </w:style>
  <w:style w:type="character" w:styleId="UnresolvedMention">
    <w:name w:val="Unresolved Mention"/>
    <w:basedOn w:val="DefaultParagraphFont"/>
    <w:uiPriority w:val="99"/>
    <w:semiHidden/>
    <w:unhideWhenUsed/>
    <w:rsid w:val="006D6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71940">
      <w:bodyDiv w:val="1"/>
      <w:marLeft w:val="0"/>
      <w:marRight w:val="0"/>
      <w:marTop w:val="0"/>
      <w:marBottom w:val="0"/>
      <w:divBdr>
        <w:top w:val="none" w:sz="0" w:space="0" w:color="auto"/>
        <w:left w:val="none" w:sz="0" w:space="0" w:color="auto"/>
        <w:bottom w:val="none" w:sz="0" w:space="0" w:color="auto"/>
        <w:right w:val="none" w:sz="0" w:space="0" w:color="auto"/>
      </w:divBdr>
    </w:div>
    <w:div w:id="504175111">
      <w:bodyDiv w:val="1"/>
      <w:marLeft w:val="0"/>
      <w:marRight w:val="0"/>
      <w:marTop w:val="0"/>
      <w:marBottom w:val="0"/>
      <w:divBdr>
        <w:top w:val="none" w:sz="0" w:space="0" w:color="auto"/>
        <w:left w:val="none" w:sz="0" w:space="0" w:color="auto"/>
        <w:bottom w:val="none" w:sz="0" w:space="0" w:color="auto"/>
        <w:right w:val="none" w:sz="0" w:space="0" w:color="auto"/>
      </w:divBdr>
    </w:div>
    <w:div w:id="748161056">
      <w:bodyDiv w:val="1"/>
      <w:marLeft w:val="0"/>
      <w:marRight w:val="0"/>
      <w:marTop w:val="0"/>
      <w:marBottom w:val="0"/>
      <w:divBdr>
        <w:top w:val="none" w:sz="0" w:space="0" w:color="auto"/>
        <w:left w:val="none" w:sz="0" w:space="0" w:color="auto"/>
        <w:bottom w:val="none" w:sz="0" w:space="0" w:color="auto"/>
        <w:right w:val="none" w:sz="0" w:space="0" w:color="auto"/>
      </w:divBdr>
    </w:div>
    <w:div w:id="814416003">
      <w:bodyDiv w:val="1"/>
      <w:marLeft w:val="0"/>
      <w:marRight w:val="0"/>
      <w:marTop w:val="0"/>
      <w:marBottom w:val="0"/>
      <w:divBdr>
        <w:top w:val="none" w:sz="0" w:space="0" w:color="auto"/>
        <w:left w:val="none" w:sz="0" w:space="0" w:color="auto"/>
        <w:bottom w:val="none" w:sz="0" w:space="0" w:color="auto"/>
        <w:right w:val="none" w:sz="0" w:space="0" w:color="auto"/>
      </w:divBdr>
    </w:div>
    <w:div w:id="1005593126">
      <w:bodyDiv w:val="1"/>
      <w:marLeft w:val="0"/>
      <w:marRight w:val="0"/>
      <w:marTop w:val="0"/>
      <w:marBottom w:val="0"/>
      <w:divBdr>
        <w:top w:val="none" w:sz="0" w:space="0" w:color="auto"/>
        <w:left w:val="none" w:sz="0" w:space="0" w:color="auto"/>
        <w:bottom w:val="none" w:sz="0" w:space="0" w:color="auto"/>
        <w:right w:val="none" w:sz="0" w:space="0" w:color="auto"/>
      </w:divBdr>
      <w:divsChild>
        <w:div w:id="741030908">
          <w:marLeft w:val="0"/>
          <w:marRight w:val="0"/>
          <w:marTop w:val="0"/>
          <w:marBottom w:val="0"/>
          <w:divBdr>
            <w:top w:val="none" w:sz="0" w:space="0" w:color="auto"/>
            <w:left w:val="none" w:sz="0" w:space="0" w:color="auto"/>
            <w:bottom w:val="none" w:sz="0" w:space="0" w:color="auto"/>
            <w:right w:val="none" w:sz="0" w:space="0" w:color="auto"/>
          </w:divBdr>
          <w:divsChild>
            <w:div w:id="211825881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45597027">
      <w:bodyDiv w:val="1"/>
      <w:marLeft w:val="0"/>
      <w:marRight w:val="0"/>
      <w:marTop w:val="0"/>
      <w:marBottom w:val="0"/>
      <w:divBdr>
        <w:top w:val="none" w:sz="0" w:space="0" w:color="auto"/>
        <w:left w:val="none" w:sz="0" w:space="0" w:color="auto"/>
        <w:bottom w:val="none" w:sz="0" w:space="0" w:color="auto"/>
        <w:right w:val="none" w:sz="0" w:space="0" w:color="auto"/>
      </w:divBdr>
    </w:div>
    <w:div w:id="1696996873">
      <w:bodyDiv w:val="1"/>
      <w:marLeft w:val="0"/>
      <w:marRight w:val="0"/>
      <w:marTop w:val="0"/>
      <w:marBottom w:val="0"/>
      <w:divBdr>
        <w:top w:val="none" w:sz="0" w:space="0" w:color="auto"/>
        <w:left w:val="none" w:sz="0" w:space="0" w:color="auto"/>
        <w:bottom w:val="none" w:sz="0" w:space="0" w:color="auto"/>
        <w:right w:val="none" w:sz="0" w:space="0" w:color="auto"/>
      </w:divBdr>
    </w:div>
    <w:div w:id="192526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1016/0021-9797(67)90071-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29/2000JD000053" TargetMode="External"/><Relationship Id="rId2" Type="http://schemas.openxmlformats.org/officeDocument/2006/relationships/styles" Target="styles.xml"/><Relationship Id="rId16" Type="http://schemas.openxmlformats.org/officeDocument/2006/relationships/hyperlink" Target="https://pubs.geoscienceworld.org/sepm/jsedres/article/74/2/176/99337/eolian-suspension-above-the-saltation-layer-the" TargetMode="External"/><Relationship Id="rId20" Type="http://schemas.openxmlformats.org/officeDocument/2006/relationships/hyperlink" Target="https://www.atmos-chem-phys.net/9/2035/200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i.org/10.1080/02786828508959055" TargetMode="External"/><Relationship Id="rId10" Type="http://schemas.openxmlformats.org/officeDocument/2006/relationships/image" Target="media/image6.png"/><Relationship Id="rId19" Type="http://schemas.openxmlformats.org/officeDocument/2006/relationships/hyperlink" Target="https://doi.org/10.1029/94JD0192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1814</Words>
  <Characters>10344</Characters>
  <Application>Microsoft Office Word</Application>
  <DocSecurity>0</DocSecurity>
  <Lines>86</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Luba Slabyj</cp:lastModifiedBy>
  <cp:revision>2</cp:revision>
  <dcterms:created xsi:type="dcterms:W3CDTF">2019-10-01T14:51:00Z</dcterms:created>
  <dcterms:modified xsi:type="dcterms:W3CDTF">2019-10-01T14:51:00Z</dcterms:modified>
</cp:coreProperties>
</file>