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FA" w:rsidRPr="00397EFC" w:rsidRDefault="00976DFA" w:rsidP="00976DFA">
      <w:pPr>
        <w:autoSpaceDE w:val="0"/>
        <w:autoSpaceDN w:val="0"/>
        <w:adjustRightInd w:val="0"/>
        <w:rPr>
          <w:b/>
          <w:lang w:val="en-GB"/>
        </w:rPr>
      </w:pPr>
      <w:r w:rsidRPr="00397EFC">
        <w:rPr>
          <w:b/>
          <w:lang w:val="en-GB"/>
        </w:rPr>
        <w:t xml:space="preserve">Electronic supplement </w:t>
      </w:r>
    </w:p>
    <w:p w:rsidR="00976DFA" w:rsidRPr="00397EFC" w:rsidRDefault="00976DFA" w:rsidP="00976DFA">
      <w:pPr>
        <w:autoSpaceDE w:val="0"/>
        <w:autoSpaceDN w:val="0"/>
        <w:adjustRightInd w:val="0"/>
        <w:rPr>
          <w:b/>
          <w:lang w:val="en-GB"/>
        </w:rPr>
      </w:pPr>
    </w:p>
    <w:p w:rsidR="00976DFA" w:rsidRPr="00397EFC" w:rsidRDefault="00976DFA" w:rsidP="00976DFA">
      <w:pPr>
        <w:spacing w:before="120"/>
        <w:rPr>
          <w:szCs w:val="22"/>
          <w:lang w:val="en-GB"/>
        </w:rPr>
      </w:pPr>
      <w:r w:rsidRPr="00397EFC">
        <w:rPr>
          <w:szCs w:val="22"/>
          <w:lang w:val="en-GB"/>
        </w:rPr>
        <w:t xml:space="preserve">Table S1: Mapping of questions resulting from the voting process to the questions consolidated by the </w:t>
      </w:r>
      <w:r w:rsidRPr="00397EFC">
        <w:rPr>
          <w:rFonts w:cs="Arial"/>
          <w:bCs/>
          <w:szCs w:val="50"/>
          <w:lang w:val="en-GB"/>
        </w:rPr>
        <w:t>working group</w:t>
      </w:r>
      <w:r w:rsidRPr="00397EFC">
        <w:rPr>
          <w:szCs w:val="22"/>
          <w:lang w:val="en-GB"/>
        </w:rPr>
        <w:t xml:space="preserve"> (Table 1). </w:t>
      </w:r>
    </w:p>
    <w:tbl>
      <w:tblPr>
        <w:tblStyle w:val="TableGrid"/>
        <w:tblW w:w="992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085"/>
        <w:gridCol w:w="3838"/>
      </w:tblGrid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rPr>
                <w:sz w:val="21"/>
                <w:szCs w:val="20"/>
                <w:lang w:val="en-GB"/>
              </w:rPr>
            </w:pPr>
            <w:r w:rsidRPr="00397EFC">
              <w:rPr>
                <w:b/>
                <w:sz w:val="21"/>
                <w:szCs w:val="20"/>
                <w:lang w:val="en-GB"/>
              </w:rPr>
              <w:t xml:space="preserve">Questions as an outcome of the voting process </w:t>
            </w:r>
          </w:p>
          <w:p w:rsidR="00976DFA" w:rsidRPr="00397EFC" w:rsidRDefault="00976DFA" w:rsidP="00C84C73">
            <w:pPr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FF0000"/>
                <w:sz w:val="20"/>
                <w:szCs w:val="20"/>
                <w:lang w:val="en-GB"/>
              </w:rPr>
              <w:t xml:space="preserve">   </w:t>
            </w:r>
            <w:r w:rsidRPr="00397EFC">
              <w:rPr>
                <w:color w:val="B88800"/>
                <w:sz w:val="20"/>
                <w:szCs w:val="20"/>
                <w:lang w:val="en-GB"/>
              </w:rPr>
              <w:t>Gold</w:t>
            </w:r>
          </w:p>
          <w:p w:rsidR="00976DFA" w:rsidRPr="00397EFC" w:rsidRDefault="00976DFA" w:rsidP="00C84C73">
            <w:pPr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sz w:val="20"/>
                <w:szCs w:val="20"/>
                <w:lang w:val="en-GB"/>
              </w:rPr>
              <w:t xml:space="preserve">   </w:t>
            </w:r>
            <w:r w:rsidRPr="00397EFC">
              <w:rPr>
                <w:color w:val="5F5F5F"/>
                <w:sz w:val="20"/>
                <w:szCs w:val="20"/>
                <w:lang w:val="en-GB"/>
              </w:rPr>
              <w:t>Silver</w:t>
            </w:r>
          </w:p>
          <w:p w:rsidR="00976DFA" w:rsidRPr="00397EFC" w:rsidRDefault="00976DFA" w:rsidP="00C84C73">
            <w:pPr>
              <w:rPr>
                <w:color w:val="444CEA"/>
                <w:sz w:val="20"/>
                <w:szCs w:val="20"/>
                <w:lang w:val="en-GB"/>
              </w:rPr>
            </w:pPr>
            <w:r w:rsidRPr="00397EFC">
              <w:rPr>
                <w:color w:val="0000FF"/>
                <w:sz w:val="20"/>
                <w:szCs w:val="20"/>
                <w:lang w:val="en-GB"/>
              </w:rPr>
              <w:t xml:space="preserve">   </w:t>
            </w:r>
            <w:r w:rsidRPr="00397EFC">
              <w:rPr>
                <w:color w:val="444CEA"/>
                <w:sz w:val="20"/>
                <w:szCs w:val="20"/>
                <w:lang w:val="en-GB"/>
              </w:rPr>
              <w:t>Moved up from raw list</w:t>
            </w:r>
          </w:p>
          <w:p w:rsidR="00976DFA" w:rsidRPr="00397EFC" w:rsidRDefault="00976DFA" w:rsidP="00C84C73">
            <w:pPr>
              <w:rPr>
                <w:sz w:val="20"/>
                <w:szCs w:val="20"/>
                <w:lang w:val="en-GB"/>
              </w:rPr>
            </w:pPr>
            <w:r w:rsidRPr="00397EFC">
              <w:rPr>
                <w:color w:val="008080"/>
                <w:sz w:val="20"/>
                <w:szCs w:val="20"/>
                <w:lang w:val="en-GB"/>
              </w:rPr>
              <w:t xml:space="preserve">   New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b/>
                <w:sz w:val="21"/>
                <w:szCs w:val="20"/>
                <w:lang w:val="en-GB"/>
              </w:rPr>
              <w:t>Consolidated questions</w:t>
            </w:r>
            <w:r w:rsidRPr="00397EFC">
              <w:rPr>
                <w:sz w:val="21"/>
                <w:szCs w:val="20"/>
                <w:lang w:val="en-GB"/>
              </w:rPr>
              <w:t xml:space="preserve">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Time variability and change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Time variability and change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Is the hydrological cycle regionally accelerating/decelerating under global warming?</w:t>
            </w:r>
          </w:p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 xml:space="preserve">Can we identify tipping points of hydrological systems due to changes in climate and/or human </w:t>
            </w:r>
            <w:proofErr w:type="gramStart"/>
            <w:r w:rsidRPr="00397EFC">
              <w:rPr>
                <w:color w:val="B88800"/>
                <w:sz w:val="20"/>
                <w:szCs w:val="20"/>
                <w:lang w:val="en-GB"/>
              </w:rPr>
              <w:t>impacts.</w:t>
            </w:r>
            <w:proofErr w:type="gramEnd"/>
            <w:r w:rsidRPr="00397EFC">
              <w:rPr>
                <w:color w:val="B88800"/>
                <w:sz w:val="20"/>
                <w:szCs w:val="20"/>
                <w:lang w:val="en-GB"/>
              </w:rPr>
              <w:t xml:space="preserve"> .. regime changes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1. Is the hydrological cycle regionally accelerating/decelerating under climate and environmental change and are there tipping points (irreversible changes)?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 w:beforeAutospacing="0" w:after="0" w:afterAutospacing="0"/>
              <w:outlineLvl w:val="3"/>
              <w:rPr>
                <w:b w:val="0"/>
                <w:bCs w:val="0"/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b w:val="0"/>
                <w:bCs w:val="0"/>
                <w:color w:val="5F5F5F"/>
                <w:sz w:val="20"/>
                <w:szCs w:val="20"/>
                <w:lang w:val="en-GB"/>
              </w:rPr>
              <w:t>When will we run out of glacier augmentation (to runoff and groundwater) and what will happen to those catchments? (</w:t>
            </w:r>
            <w:proofErr w:type="gramStart"/>
            <w:r w:rsidRPr="00397EFC">
              <w:rPr>
                <w:b w:val="0"/>
                <w:bCs w:val="0"/>
                <w:color w:val="5F5F5F"/>
                <w:sz w:val="20"/>
                <w:szCs w:val="20"/>
                <w:lang w:val="en-GB"/>
              </w:rPr>
              <w:t>until</w:t>
            </w:r>
            <w:proofErr w:type="gramEnd"/>
            <w:r w:rsidRPr="00397EFC">
              <w:rPr>
                <w:b w:val="0"/>
                <w:bCs w:val="0"/>
                <w:color w:val="5F5F5F"/>
                <w:sz w:val="20"/>
                <w:szCs w:val="20"/>
                <w:lang w:val="en-GB"/>
              </w:rPr>
              <w:t xml:space="preserve"> and after)</w:t>
            </w:r>
          </w:p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What is the hydrologic effect of thawing permafrost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2. How will cold region runoff and groundwater change in a warmer climate (e.g. with glacier melt and permafrost thaw)?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00FF"/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Understanding the dynamics of temporary rivers</w:t>
            </w:r>
            <w:r w:rsidRPr="00397EFC">
              <w:rPr>
                <w:color w:val="0000FF"/>
                <w:sz w:val="20"/>
                <w:szCs w:val="20"/>
                <w:lang w:val="en-GB"/>
              </w:rPr>
              <w:t xml:space="preserve"> / </w:t>
            </w:r>
            <w:r w:rsidRPr="00397EFC">
              <w:rPr>
                <w:color w:val="008080"/>
                <w:sz w:val="20"/>
                <w:szCs w:val="20"/>
                <w:lang w:val="en-GB"/>
              </w:rPr>
              <w:t>Why, when and how do rivers dry up?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3. What are the mechanisms by which climate change and water use alter ephemeral rivers and groundwater in (semi-) arid regions?</w:t>
            </w:r>
          </w:p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What are the effects of natural and anthropogenic soil disturbances on heat and mass fluxes at the land-atmosphere interface?</w:t>
            </w:r>
          </w:p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What are the impacts of climate and environmental change on aquifer recharge?</w:t>
            </w:r>
          </w:p>
          <w:p w:rsidR="00976DFA" w:rsidRPr="00397EFC" w:rsidRDefault="00976DFA" w:rsidP="00C84C73">
            <w:pPr>
              <w:spacing w:before="60"/>
              <w:textAlignment w:val="top"/>
              <w:rPr>
                <w:sz w:val="20"/>
                <w:szCs w:val="20"/>
                <w:lang w:val="en-GB"/>
              </w:rPr>
            </w:pP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textAlignment w:val="top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4. What are the impacts of land cover change and soil disturbances on water and energy fluxes at the land surface, and on the resulting groundwater recharge?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Space variability and scaling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Space variability and scaling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Why are evapotranspiration rates spatially homogeneous despite differences in controlling mechanisms?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Why is soil-water content so variable in space and time?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Why do changes in the snow fall regime have a very different impact on stream flow in different catchments? 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Why is aridity (according to the </w:t>
            </w:r>
            <w:proofErr w:type="spellStart"/>
            <w:r w:rsidRPr="00397EFC">
              <w:rPr>
                <w:color w:val="5F5F5F"/>
                <w:sz w:val="20"/>
                <w:szCs w:val="20"/>
                <w:lang w:val="en-GB"/>
              </w:rPr>
              <w:t>Budyko</w:t>
            </w:r>
            <w:proofErr w:type="spellEnd"/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 Curve) the main controlling factor in the partitioning between runoff and evapotranspiration?</w:t>
            </w:r>
          </w:p>
          <w:p w:rsidR="00976DFA" w:rsidRPr="00397EFC" w:rsidRDefault="00976DFA" w:rsidP="00C84C73">
            <w:pPr>
              <w:spacing w:before="60"/>
              <w:textAlignment w:val="top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 w:eastAsia="zh-CN" w:bidi="ar"/>
              </w:rPr>
              <w:t>How can we identify the similarities between catchments?</w:t>
            </w:r>
          </w:p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Why are reaction coefficients for the same process heterogeneous in time and in space across different soils, streams, lakes, catchments, groundwater bodies…?</w:t>
            </w:r>
            <w:r w:rsidRPr="00397EF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5. What causes spatial heterogeneity and homogeneity in runoff, evaporation, subsurface water an</w:t>
            </w:r>
            <w:r w:rsidRPr="0078411D">
              <w:rPr>
                <w:color w:val="008600"/>
                <w:sz w:val="20"/>
                <w:szCs w:val="20"/>
                <w:lang w:val="en-GB"/>
              </w:rPr>
              <w:t>d material fluxes (carbon and other nutrients,</w:t>
            </w: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 sediments), and in their sensitivity to their controls (e.g. snow fall regime, aridity, reaction coefficients)?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textAlignment w:val="top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 w:eastAsia="zh-CN" w:bidi="ar"/>
              </w:rPr>
              <w:t>Why do dominant hydrological processes emerge and disappear across scales? Why is hydrology simple at the catchment scale despite being complex at smaller scales?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 w:eastAsia="zh-CN" w:bidi="ar"/>
              </w:rPr>
            </w:pPr>
            <w:r w:rsidRPr="00397EFC">
              <w:rPr>
                <w:color w:val="5F5F5F"/>
                <w:sz w:val="20"/>
                <w:szCs w:val="20"/>
                <w:lang w:val="en-GB" w:eastAsia="zh-CN" w:bidi="ar"/>
              </w:rPr>
              <w:t>What are the emergent hydrological laws at catchment scale?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 w:eastAsia="zh-CN" w:bidi="ar"/>
              </w:rPr>
              <w:t>How do constitutive relationships and their parameters change with scale?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rFonts w:cs="Calibri"/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6. What are the hydrologic laws at the catchment scale and how do they change with scale?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rFonts w:eastAsia="SimSun" w:cs="Calibri"/>
                <w:i/>
                <w:color w:val="B88800"/>
                <w:sz w:val="20"/>
                <w:szCs w:val="20"/>
                <w:lang w:val="en-GB" w:eastAsia="zh-CN" w:bidi="ar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Why is most flow preferential and what are the consequences?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rFonts w:eastAsia="SimSun" w:cs="Calibri"/>
                <w:i/>
                <w:color w:val="008600"/>
                <w:sz w:val="20"/>
                <w:szCs w:val="20"/>
                <w:lang w:val="en-GB" w:eastAsia="zh-CN" w:bidi="ar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7. Why is most flow preferential across multiple scales and how does such behaviour co-evolve with the critical zone?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Why is stream water so young when ground water is so old? 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Why do streams respond so quickly to rainfall, with storm flow that is so old?</w:t>
            </w:r>
          </w:p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What is the fate and lifetime of evaporated water from land surfaces?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8. Why do streams respond so quickly to precipitation inputs when storm flow is so old, and what is the transit time distribution of water in the terrestrial water cycle?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Variability of extremes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Variability of extremes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lastRenderedPageBreak/>
              <w:t xml:space="preserve">Why do drought and flood rich/poor periods exist? </w:t>
            </w:r>
          </w:p>
          <w:p w:rsidR="00976DFA" w:rsidRPr="00397EFC" w:rsidRDefault="00976DFA" w:rsidP="00C84C73">
            <w:pPr>
              <w:pStyle w:val="Heading4"/>
              <w:spacing w:before="60" w:beforeAutospacing="0" w:after="0" w:afterAutospacing="0"/>
              <w:outlineLvl w:val="3"/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  <w:t xml:space="preserve">Why do we see long term cycles and correlations in </w:t>
            </w:r>
            <w:proofErr w:type="spellStart"/>
            <w:r w:rsidRPr="00397EFC"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  <w:t>hydroclimatological</w:t>
            </w:r>
            <w:proofErr w:type="spellEnd"/>
            <w:r w:rsidRPr="00397EFC"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  <w:t xml:space="preserve"> variables? What is the cause of the Hurst phenomenon? </w:t>
            </w:r>
          </w:p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Are the characteristics of extreme events changing and if so why? Floods and droughts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How to reconstruct </w:t>
            </w:r>
            <w:proofErr w:type="spellStart"/>
            <w:r w:rsidRPr="00397EFC">
              <w:rPr>
                <w:color w:val="5F5F5F"/>
                <w:sz w:val="20"/>
                <w:szCs w:val="20"/>
                <w:lang w:val="en-GB"/>
              </w:rPr>
              <w:t>paleohydrological</w:t>
            </w:r>
            <w:proofErr w:type="spellEnd"/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 phenomena during the Holocene and why did they happen?</w:t>
            </w:r>
          </w:p>
          <w:p w:rsidR="00976DFA" w:rsidRPr="00397EFC" w:rsidRDefault="00976DFA" w:rsidP="00C84C73">
            <w:pPr>
              <w:spacing w:before="60"/>
              <w:rPr>
                <w:color w:val="FF0000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How do extreme floods and droughts around the world </w:t>
            </w:r>
            <w:proofErr w:type="spellStart"/>
            <w:r w:rsidRPr="00397EFC">
              <w:rPr>
                <w:color w:val="5F5F5F"/>
                <w:sz w:val="20"/>
                <w:szCs w:val="20"/>
                <w:lang w:val="en-GB"/>
              </w:rPr>
              <w:t>teleconnect</w:t>
            </w:r>
            <w:proofErr w:type="spellEnd"/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 with each other and with other factors?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9. How do flood-rich and drought-rich periods arise, are they changing, and if so why?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How do geomorphic processes interact with floods and droughts?</w:t>
            </w:r>
          </w:p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 xml:space="preserve">Why are some catchments more sensitive to land-use/cover change than others?  </w:t>
            </w:r>
          </w:p>
          <w:p w:rsidR="00976DFA" w:rsidRPr="00397EFC" w:rsidRDefault="00976DFA" w:rsidP="00C84C73">
            <w:pPr>
              <w:spacing w:before="60"/>
              <w:rPr>
                <w:color w:val="FF00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 xml:space="preserve">What is the role of changing land use/land cover change patterns on in-situ and downwind droughts and floods?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10. Why are runoff extremes in some catchments more sensitive to land-use/cover and geomorphic change than in others?</w:t>
            </w:r>
          </w:p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What are the controls on and consequences of (e.g. streamflow, groundwater recharge, evaporation, soil moisture etc.) the spatial and temporal patterns of snow and ice in catchments?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Why and when do rain-on-snow events produce exceptional runoff?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11. Why, how and when do rain-on-snow events produce exceptional runoff?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Interfaces in hydrology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Interfaces in hydrology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Groundwater-surface water interactions /</w:t>
            </w:r>
            <w:r w:rsidRPr="00397EFC">
              <w:rPr>
                <w:sz w:val="20"/>
                <w:szCs w:val="20"/>
                <w:lang w:val="en-GB"/>
              </w:rPr>
              <w:t xml:space="preserve"> </w:t>
            </w:r>
            <w:r w:rsidRPr="00397EFC">
              <w:rPr>
                <w:color w:val="008080"/>
                <w:sz w:val="20"/>
                <w:szCs w:val="20"/>
                <w:lang w:val="en-GB"/>
              </w:rPr>
              <w:t xml:space="preserve">regional </w:t>
            </w:r>
          </w:p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What are the processes of groundwater-surface water interactions, including the role of the </w:t>
            </w:r>
            <w:proofErr w:type="spellStart"/>
            <w:r w:rsidRPr="00397EFC">
              <w:rPr>
                <w:color w:val="5F5F5F"/>
                <w:sz w:val="20"/>
                <w:szCs w:val="20"/>
                <w:lang w:val="en-GB"/>
              </w:rPr>
              <w:t>hyporheic</w:t>
            </w:r>
            <w:proofErr w:type="spellEnd"/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 zone (e.g. in contaminant fate and transport), and the dependencies of different ecosystems?</w:t>
            </w:r>
          </w:p>
          <w:p w:rsidR="00976DFA" w:rsidRPr="00397EFC" w:rsidRDefault="00976DFA" w:rsidP="00C84C73">
            <w:pPr>
              <w:spacing w:before="60"/>
              <w:rPr>
                <w:i/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Why is the connectivity between hillslopes and streams so heterogeneous and dynamic?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i/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12. What are the processes that control hillslope-riparian-stream-groundwater interactions and when do the compartments connect?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>What are the processes in the unsaturated zone, which have significant impacts on groundwater recharge and composition?</w:t>
            </w:r>
          </w:p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 xml:space="preserve">What are the storages and fluxes of groundwater across boundaries (oceans, atmosphere and inter-catchment fluxes) at different scales?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13. What are the processes controlling the fluxes of groundwater across boundaries (e.g. </w:t>
            </w:r>
            <w:r>
              <w:rPr>
                <w:color w:val="008600"/>
                <w:sz w:val="20"/>
                <w:szCs w:val="20"/>
                <w:lang w:val="en-GB"/>
              </w:rPr>
              <w:t xml:space="preserve">groundwater </w:t>
            </w:r>
            <w:r w:rsidRPr="00397EFC">
              <w:rPr>
                <w:color w:val="008600"/>
                <w:sz w:val="20"/>
                <w:szCs w:val="20"/>
                <w:lang w:val="en-GB"/>
              </w:rPr>
              <w:t>recharge, inter-catchment fluxes and discharge to oceans)?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444CEA"/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 xml:space="preserve">What controls long-term </w:t>
            </w:r>
            <w:proofErr w:type="spellStart"/>
            <w:r w:rsidRPr="00397EFC">
              <w:rPr>
                <w:color w:val="444CEA"/>
                <w:sz w:val="20"/>
                <w:szCs w:val="20"/>
                <w:lang w:val="en-GB"/>
              </w:rPr>
              <w:t>spatio</w:t>
            </w:r>
            <w:proofErr w:type="spellEnd"/>
            <w:r w:rsidRPr="00397EFC">
              <w:rPr>
                <w:color w:val="444CEA"/>
                <w:sz w:val="20"/>
                <w:szCs w:val="20"/>
                <w:lang w:val="en-GB"/>
              </w:rPr>
              <w:t>-temporal evolution of catchment water quality? What factors contribute to the persistence of sources contributing to the degradation of water-quality?</w:t>
            </w:r>
          </w:p>
          <w:p w:rsidR="00976DFA" w:rsidRPr="00397EFC" w:rsidRDefault="00976DFA" w:rsidP="00C84C73">
            <w:pPr>
              <w:spacing w:before="60"/>
              <w:rPr>
                <w:i/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color w:val="B88800"/>
                <w:sz w:val="20"/>
                <w:szCs w:val="20"/>
                <w:lang w:val="en-GB"/>
              </w:rPr>
              <w:t>What are the dominant processes controlling the fate of material fluxes in catchments over different spatial and temporal scales?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i/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14. What factors contribute to the long-term persistence of sources responsible for the degradation of water-quality?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444CEA"/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What is the extent, fate and impacts of contaminants of concern (EOCs</w:t>
            </w:r>
            <w:proofErr w:type="gramStart"/>
            <w:r w:rsidRPr="00397EFC">
              <w:rPr>
                <w:color w:val="444CEA"/>
                <w:sz w:val="20"/>
                <w:szCs w:val="20"/>
                <w:lang w:val="en-GB"/>
              </w:rPr>
              <w:t>)  in</w:t>
            </w:r>
            <w:proofErr w:type="gramEnd"/>
            <w:r w:rsidRPr="00397EFC">
              <w:rPr>
                <w:color w:val="444CEA"/>
                <w:sz w:val="20"/>
                <w:szCs w:val="20"/>
                <w:lang w:val="en-GB"/>
              </w:rPr>
              <w:t xml:space="preserve"> groundwater?</w:t>
            </w:r>
          </w:p>
          <w:p w:rsidR="00976DFA" w:rsidRPr="00397EFC" w:rsidRDefault="00976DFA" w:rsidP="00C84C73">
            <w:pPr>
              <w:spacing w:before="60"/>
              <w:rPr>
                <w:i/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How are microbial pathogens removed in the subsurface?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i/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15. What are the extent, fate and impact of contaminants of emerging concern and how are microbial pathogens removed or inactivated in the subsurface?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Measurements and data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Measurements and data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textAlignment w:val="top"/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</w:pPr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>How to reduce uncertainty in large-scale hydrological fluxes using novel technologies/remote sensing?</w:t>
            </w:r>
          </w:p>
          <w:p w:rsidR="00976DFA" w:rsidRPr="00397EFC" w:rsidRDefault="00976DFA" w:rsidP="00C84C73">
            <w:pPr>
              <w:spacing w:before="60"/>
              <w:rPr>
                <w:color w:val="B88800"/>
                <w:sz w:val="20"/>
                <w:szCs w:val="20"/>
                <w:lang w:val="en-GB" w:eastAsia="zh-CN" w:bidi="ar"/>
              </w:rPr>
            </w:pPr>
            <w:r w:rsidRPr="00397EFC">
              <w:rPr>
                <w:color w:val="B88800"/>
                <w:sz w:val="20"/>
                <w:szCs w:val="20"/>
                <w:lang w:val="en-GB" w:eastAsia="zh-CN" w:bidi="ar"/>
              </w:rPr>
              <w:t xml:space="preserve">How can we accurately measure subsurface properties, states and fluxes at a range of scales in space and time?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 w:eastAsia="zh-CN" w:bidi="ar"/>
              </w:rPr>
            </w:pPr>
            <w:r w:rsidRPr="00397EFC">
              <w:rPr>
                <w:color w:val="008600"/>
                <w:sz w:val="20"/>
                <w:szCs w:val="20"/>
                <w:lang w:val="en-GB" w:eastAsia="zh-CN" w:bidi="ar"/>
              </w:rPr>
              <w:t xml:space="preserve">16. How can we use innovative technologies to measure surface and subsurface properties, states and fluxes, at a range of spatial and temporal scales?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textAlignment w:val="top"/>
              <w:rPr>
                <w:rFonts w:cs="Calibri"/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 xml:space="preserve">How can we convincingly put a value to hydrological observation systems </w:t>
            </w:r>
            <w:r w:rsidRPr="00397EFC">
              <w:rPr>
                <w:rStyle w:val="font41"/>
                <w:color w:val="5F5F5F"/>
                <w:sz w:val="20"/>
                <w:szCs w:val="20"/>
                <w:lang w:val="en-GB" w:eastAsia="zh-CN" w:bidi="ar"/>
              </w:rPr>
              <w:t>with open data</w:t>
            </w:r>
            <w:r w:rsidRPr="00397EFC">
              <w:rPr>
                <w:rStyle w:val="font61"/>
                <w:color w:val="5F5F5F"/>
                <w:sz w:val="20"/>
                <w:szCs w:val="20"/>
                <w:lang w:val="en-GB" w:eastAsia="zh-CN" w:bidi="ar"/>
              </w:rPr>
              <w:t xml:space="preserve"> to reverse the current trend of decline of observation systems?</w:t>
            </w:r>
          </w:p>
          <w:p w:rsidR="00976DFA" w:rsidRPr="00397EFC" w:rsidRDefault="00976DFA" w:rsidP="00C84C73">
            <w:pPr>
              <w:spacing w:before="60"/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</w:pPr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 xml:space="preserve">What are the consequences of choosing between a large </w:t>
            </w:r>
            <w:proofErr w:type="gramStart"/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>number</w:t>
            </w:r>
            <w:proofErr w:type="gramEnd"/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 xml:space="preserve"> of less accurate observations vs a few more accurate measurements?</w:t>
            </w:r>
          </w:p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Working with different data sources</w:t>
            </w:r>
            <w:r w:rsidRPr="00397EFC">
              <w:rPr>
                <w:color w:val="0000FF"/>
                <w:sz w:val="20"/>
                <w:szCs w:val="20"/>
                <w:lang w:val="en-GB"/>
              </w:rPr>
              <w:t xml:space="preserve"> /</w:t>
            </w:r>
            <w:r w:rsidRPr="00397EFC">
              <w:rPr>
                <w:sz w:val="20"/>
                <w:szCs w:val="20"/>
                <w:lang w:val="en-GB"/>
              </w:rPr>
              <w:t xml:space="preserve"> </w:t>
            </w:r>
            <w:r w:rsidRPr="00397EFC">
              <w:rPr>
                <w:color w:val="008080"/>
                <w:sz w:val="20"/>
                <w:szCs w:val="20"/>
                <w:lang w:val="en-GB"/>
              </w:rPr>
              <w:t xml:space="preserve">big data </w:t>
            </w:r>
          </w:p>
          <w:p w:rsidR="00976DFA" w:rsidRPr="00397EFC" w:rsidRDefault="00976DFA" w:rsidP="00C84C73">
            <w:pPr>
              <w:spacing w:before="60"/>
              <w:rPr>
                <w:rFonts w:cs="Calibri"/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>Under what conditions can we substitute space for time in hydrology?</w:t>
            </w:r>
            <w:r w:rsidRPr="00397EFC">
              <w:rPr>
                <w:rStyle w:val="font41"/>
                <w:color w:val="5F5F5F"/>
                <w:sz w:val="20"/>
                <w:szCs w:val="20"/>
                <w:lang w:val="en-GB" w:eastAsia="zh-CN" w:bidi="ar"/>
              </w:rPr>
              <w:t xml:space="preserve"> 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 w:eastAsia="zh-CN" w:bidi="ar"/>
              </w:rPr>
              <w:t xml:space="preserve">17. What is the relative value of traditional hydrological observations </w:t>
            </w:r>
            <w:r w:rsidRPr="00397EFC">
              <w:rPr>
                <w:rStyle w:val="font41"/>
                <w:color w:val="008600"/>
                <w:sz w:val="20"/>
                <w:szCs w:val="20"/>
                <w:lang w:val="en-GB" w:eastAsia="zh-CN" w:bidi="ar"/>
              </w:rPr>
              <w:t>vs soft data (qualitative observations from lay-persons, from data mining etc.), and under what conditions can we substitute space for time?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/>
              <w:outlineLvl w:val="3"/>
              <w:rPr>
                <w:b w:val="0"/>
                <w:color w:val="5F5F5F"/>
                <w:sz w:val="20"/>
                <w:szCs w:val="20"/>
                <w:highlight w:val="yellow"/>
                <w:lang w:val="en-GB"/>
              </w:rPr>
            </w:pPr>
            <w:r w:rsidRPr="00397EFC">
              <w:rPr>
                <w:rFonts w:eastAsia="SimSun" w:cs="Calibri"/>
                <w:b w:val="0"/>
                <w:color w:val="5F5F5F"/>
                <w:sz w:val="20"/>
                <w:szCs w:val="20"/>
                <w:lang w:val="en-GB" w:eastAsia="zh-CN" w:bidi="ar"/>
              </w:rPr>
              <w:lastRenderedPageBreak/>
              <w:t>How to extract information from available data on human and water systems in order to inform the building process of socio-hydrological models?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/>
              <w:outlineLvl w:val="3"/>
              <w:rPr>
                <w:b w:val="0"/>
                <w:bCs w:val="0"/>
                <w:color w:val="008600"/>
                <w:sz w:val="20"/>
                <w:szCs w:val="20"/>
                <w:highlight w:val="yellow"/>
                <w:lang w:val="en-GB"/>
              </w:rPr>
            </w:pPr>
            <w:r w:rsidRPr="00397EFC">
              <w:rPr>
                <w:b w:val="0"/>
                <w:bCs w:val="0"/>
                <w:color w:val="008600"/>
                <w:sz w:val="20"/>
                <w:szCs w:val="20"/>
                <w:lang w:val="en-GB" w:eastAsia="zh-CN" w:bidi="ar"/>
              </w:rPr>
              <w:t>18. How can we extract information from available data on human and water systems in order to inform the building process of socio-hydrological conceptualisations and models?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Modelling methods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b/>
                <w:sz w:val="20"/>
                <w:szCs w:val="20"/>
                <w:lang w:val="en-GB"/>
              </w:rPr>
            </w:pPr>
            <w:r w:rsidRPr="00397EFC">
              <w:rPr>
                <w:b/>
                <w:sz w:val="20"/>
                <w:szCs w:val="20"/>
                <w:lang w:val="en-GB"/>
              </w:rPr>
              <w:t xml:space="preserve">Modelling methods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 w:beforeAutospacing="0" w:after="0" w:afterAutospacing="0"/>
              <w:outlineLvl w:val="3"/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</w:pPr>
            <w:r w:rsidRPr="00397EFC"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  <w:t xml:space="preserve">How do we adapt hydrological models to be able to extrapolate to changed </w:t>
            </w:r>
            <w:proofErr w:type="gramStart"/>
            <w:r w:rsidRPr="00397EFC">
              <w:rPr>
                <w:b w:val="0"/>
                <w:bCs w:val="0"/>
                <w:color w:val="B88800"/>
                <w:sz w:val="20"/>
                <w:szCs w:val="20"/>
                <w:lang w:val="en-GB"/>
              </w:rPr>
              <w:t>conditions.</w:t>
            </w:r>
            <w:proofErr w:type="gramEnd"/>
          </w:p>
          <w:p w:rsidR="00976DFA" w:rsidRPr="00397EFC" w:rsidRDefault="00976DFA" w:rsidP="00C84C73">
            <w:pPr>
              <w:spacing w:before="60"/>
              <w:textAlignment w:val="top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 xml:space="preserve">What is the sensitivity of hydrologic models to vegetation dynamics?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textAlignment w:val="top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19. How can hydrological models be adapted to be able to extrapolate to changing conditions, including changing vegetation dynamics?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</w:pPr>
            <w:r w:rsidRPr="00397EFC">
              <w:rPr>
                <w:rFonts w:eastAsia="SimSun" w:cs="Calibri"/>
                <w:color w:val="5F5F5F"/>
                <w:sz w:val="20"/>
                <w:szCs w:val="20"/>
                <w:lang w:val="en-GB" w:eastAsia="zh-CN" w:bidi="ar"/>
              </w:rPr>
              <w:t>How to disentangle and reduce model structural/parameter/input uncertainty in hydrological prediction?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rFonts w:eastAsia="SimSun" w:cs="Calibri"/>
                <w:color w:val="008600"/>
                <w:sz w:val="20"/>
                <w:szCs w:val="20"/>
                <w:lang w:val="en-GB" w:eastAsia="zh-CN" w:bidi="ar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20. How can we disentangle and reduce model structural/parameter/input uncertainty in hydrological prediction?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 w:beforeAutospacing="0" w:after="0" w:afterAutospacing="0"/>
              <w:outlineLvl w:val="3"/>
              <w:rPr>
                <w:sz w:val="20"/>
                <w:szCs w:val="20"/>
                <w:lang w:val="en-GB"/>
              </w:rPr>
            </w:pPr>
            <w:r w:rsidRPr="00397EFC">
              <w:rPr>
                <w:sz w:val="20"/>
                <w:szCs w:val="20"/>
                <w:lang w:val="en-GB"/>
              </w:rPr>
              <w:t xml:space="preserve">Interfaces with society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 w:beforeAutospacing="0" w:after="0" w:afterAutospacing="0"/>
              <w:outlineLvl w:val="3"/>
              <w:rPr>
                <w:sz w:val="20"/>
                <w:szCs w:val="20"/>
                <w:lang w:val="en-GB"/>
              </w:rPr>
            </w:pPr>
            <w:r w:rsidRPr="00397EFC">
              <w:rPr>
                <w:sz w:val="20"/>
                <w:szCs w:val="20"/>
                <w:lang w:val="en-GB"/>
              </w:rPr>
              <w:t xml:space="preserve">Interfaces with society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How to communicate (un)certainty to decision makers and general public  </w:t>
            </w:r>
          </w:p>
          <w:p w:rsidR="00976DFA" w:rsidRPr="00397EFC" w:rsidRDefault="00976DFA" w:rsidP="00C84C73">
            <w:pPr>
              <w:spacing w:before="60"/>
              <w:rPr>
                <w:color w:val="444CEA"/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How can we improve flood and drought forecasting on different lead times?</w:t>
            </w:r>
          </w:p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>Why are drought and flood risk assessments ineffective? (social)</w:t>
            </w:r>
            <w:r w:rsidRPr="00397EFC">
              <w:rPr>
                <w:color w:val="0099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21. How can the (un)certainty in hydrological predictions be communicated to decision makers and the general public?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444CEA"/>
                <w:sz w:val="20"/>
                <w:szCs w:val="20"/>
                <w:lang w:val="en-GB"/>
              </w:rPr>
            </w:pPr>
            <w:r w:rsidRPr="00397EFC">
              <w:rPr>
                <w:color w:val="444CEA"/>
                <w:sz w:val="20"/>
                <w:szCs w:val="20"/>
                <w:lang w:val="en-GB"/>
              </w:rPr>
              <w:t xml:space="preserve">Water-energy-food nexus  </w:t>
            </w:r>
          </w:p>
          <w:p w:rsidR="00976DFA" w:rsidRPr="00397EFC" w:rsidRDefault="00976DFA" w:rsidP="00C84C73">
            <w:pPr>
              <w:spacing w:before="60"/>
              <w:rPr>
                <w:color w:val="008080"/>
                <w:sz w:val="20"/>
                <w:szCs w:val="20"/>
                <w:lang w:val="en-GB"/>
              </w:rPr>
            </w:pPr>
            <w:r w:rsidRPr="00397EFC">
              <w:rPr>
                <w:color w:val="008080"/>
                <w:sz w:val="20"/>
                <w:szCs w:val="20"/>
                <w:lang w:val="en-GB"/>
              </w:rPr>
              <w:t>Water quality – ecosystem health – human health nexus</w:t>
            </w:r>
          </w:p>
          <w:p w:rsidR="00976DFA" w:rsidRPr="00397EFC" w:rsidRDefault="00976DFA" w:rsidP="00C84C73">
            <w:pPr>
              <w:spacing w:before="60"/>
              <w:rPr>
                <w:color w:val="0000FF"/>
                <w:sz w:val="20"/>
                <w:szCs w:val="20"/>
                <w:lang w:val="en-GB"/>
              </w:rPr>
            </w:pPr>
            <w:r w:rsidRPr="00397EFC">
              <w:rPr>
                <w:color w:val="008080"/>
                <w:sz w:val="20"/>
                <w:szCs w:val="20"/>
                <w:lang w:val="en-GB"/>
              </w:rPr>
              <w:t>Water sustainability of large cities</w:t>
            </w:r>
            <w:r w:rsidRPr="00397EFC">
              <w:rPr>
                <w:color w:val="0099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22. What are the synergies and </w:t>
            </w:r>
            <w:proofErr w:type="spellStart"/>
            <w:r w:rsidRPr="00397EFC">
              <w:rPr>
                <w:color w:val="008600"/>
                <w:sz w:val="20"/>
                <w:szCs w:val="20"/>
                <w:lang w:val="en-GB"/>
              </w:rPr>
              <w:t>tradeoffs</w:t>
            </w:r>
            <w:proofErr w:type="spellEnd"/>
            <w:r w:rsidRPr="00397EFC">
              <w:rPr>
                <w:color w:val="008600"/>
                <w:sz w:val="20"/>
                <w:szCs w:val="20"/>
                <w:lang w:val="en-GB"/>
              </w:rPr>
              <w:t xml:space="preserve"> between societal goals related to water management (e.g. water-environment-energy-food-health)? </w:t>
            </w:r>
          </w:p>
        </w:tc>
      </w:tr>
      <w:tr w:rsidR="00976DFA" w:rsidRPr="00397EFC" w:rsidTr="00C84C73">
        <w:trPr>
          <w:trHeight w:val="20"/>
        </w:trPr>
        <w:tc>
          <w:tcPr>
            <w:tcW w:w="6085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pStyle w:val="Heading4"/>
              <w:spacing w:before="60" w:beforeAutospacing="0" w:after="0" w:afterAutospacing="0"/>
              <w:outlineLvl w:val="3"/>
              <w:rPr>
                <w:b w:val="0"/>
                <w:color w:val="5F5F5F"/>
                <w:sz w:val="20"/>
                <w:szCs w:val="20"/>
                <w:lang w:val="en-GB"/>
              </w:rPr>
            </w:pPr>
            <w:r w:rsidRPr="00397EFC">
              <w:rPr>
                <w:b w:val="0"/>
                <w:color w:val="5F5F5F"/>
                <w:sz w:val="20"/>
                <w:szCs w:val="20"/>
                <w:lang w:val="en-GB"/>
              </w:rPr>
              <w:t xml:space="preserve">How strong is the impact of hydrological change on the migration of people worldwide and what is the effect of migration on hydrologic change?  </w:t>
            </w:r>
          </w:p>
          <w:p w:rsidR="00976DFA" w:rsidRPr="00397EFC" w:rsidRDefault="00976DFA" w:rsidP="00C84C73">
            <w:pPr>
              <w:spacing w:before="60"/>
              <w:rPr>
                <w:sz w:val="20"/>
                <w:szCs w:val="20"/>
                <w:lang w:val="en-GB"/>
              </w:rPr>
            </w:pPr>
            <w:r w:rsidRPr="00397EFC">
              <w:rPr>
                <w:color w:val="5F5F5F"/>
                <w:sz w:val="20"/>
                <w:szCs w:val="20"/>
                <w:lang w:val="en-GB"/>
              </w:rPr>
              <w:t xml:space="preserve">What is the role of water in the collapse of ancient civilizations and the implications for contemporary water management? </w:t>
            </w:r>
          </w:p>
        </w:tc>
        <w:tc>
          <w:tcPr>
            <w:tcW w:w="3838" w:type="dxa"/>
            <w:tcMar>
              <w:left w:w="57" w:type="dxa"/>
              <w:right w:w="28" w:type="dxa"/>
            </w:tcMar>
          </w:tcPr>
          <w:p w:rsidR="00976DFA" w:rsidRPr="00397EFC" w:rsidRDefault="00976DFA" w:rsidP="00C84C73">
            <w:pPr>
              <w:spacing w:before="60"/>
              <w:rPr>
                <w:color w:val="008600"/>
                <w:sz w:val="20"/>
                <w:szCs w:val="20"/>
                <w:lang w:val="en-GB"/>
              </w:rPr>
            </w:pPr>
            <w:r w:rsidRPr="00397EFC">
              <w:rPr>
                <w:color w:val="008600"/>
                <w:sz w:val="20"/>
                <w:szCs w:val="20"/>
                <w:lang w:val="en-GB"/>
              </w:rPr>
              <w:t>23. What is the role of water in migration, urbanisation and the dynamics of human civilisations, and what are the implications for contemporary water management?</w:t>
            </w:r>
          </w:p>
        </w:tc>
      </w:tr>
    </w:tbl>
    <w:p w:rsidR="00976DFA" w:rsidRDefault="00976DFA" w:rsidP="00976DFA">
      <w:pPr>
        <w:autoSpaceDE w:val="0"/>
        <w:autoSpaceDN w:val="0"/>
        <w:adjustRightInd w:val="0"/>
        <w:rPr>
          <w:rFonts w:ascii="AdvOT46dcae81" w:hAnsi="AdvOT46dcae81" w:cs="AdvOT46dcae81"/>
          <w:color w:val="231F20"/>
          <w:sz w:val="18"/>
          <w:szCs w:val="18"/>
          <w:lang w:val="en-GB"/>
        </w:rPr>
      </w:pPr>
    </w:p>
    <w:p w:rsidR="00976DFA" w:rsidRDefault="00976DFA" w:rsidP="00976DFA">
      <w:pPr>
        <w:autoSpaceDE w:val="0"/>
        <w:autoSpaceDN w:val="0"/>
        <w:adjustRightInd w:val="0"/>
        <w:rPr>
          <w:rFonts w:ascii="AdvOT46dcae81" w:hAnsi="AdvOT46dcae81" w:cs="AdvOT46dcae81"/>
          <w:color w:val="231F20"/>
          <w:sz w:val="18"/>
          <w:szCs w:val="18"/>
          <w:lang w:val="en-GB"/>
        </w:rPr>
      </w:pPr>
    </w:p>
    <w:p w:rsidR="009535A4" w:rsidRPr="00976DFA" w:rsidRDefault="009535A4">
      <w:pPr>
        <w:rPr>
          <w:lang w:val="en-GB"/>
        </w:rPr>
      </w:pPr>
      <w:bookmarkStart w:id="0" w:name="_GoBack"/>
      <w:bookmarkEnd w:id="0"/>
    </w:p>
    <w:sectPr w:rsidR="009535A4" w:rsidRPr="00976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nt-weight : 400">
    <w:altName w:val="Calibri"/>
    <w:charset w:val="00"/>
    <w:family w:val="auto"/>
    <w:pitch w:val="default"/>
  </w:font>
  <w:font w:name="font-weight : 700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46dcae8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FA"/>
    <w:rsid w:val="009535A4"/>
    <w:rsid w:val="009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93BC5-3507-485A-9D01-EE360C0C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AT" w:eastAsia="ja-JP"/>
    </w:rPr>
  </w:style>
  <w:style w:type="paragraph" w:styleId="Heading4">
    <w:name w:val="heading 4"/>
    <w:basedOn w:val="Normal"/>
    <w:link w:val="Heading4Char"/>
    <w:qFormat/>
    <w:rsid w:val="00976DF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76DFA"/>
    <w:rPr>
      <w:rFonts w:ascii="Times New Roman" w:eastAsia="MS Mincho" w:hAnsi="Times New Roman" w:cs="Times New Roman"/>
      <w:b/>
      <w:bCs/>
      <w:sz w:val="24"/>
      <w:szCs w:val="24"/>
      <w:lang w:val="de-AT" w:eastAsia="ja-JP"/>
    </w:rPr>
  </w:style>
  <w:style w:type="table" w:styleId="TableGrid">
    <w:name w:val="Table Grid"/>
    <w:basedOn w:val="TableNormal"/>
    <w:rsid w:val="00976D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rsid w:val="00976DFA"/>
    <w:rPr>
      <w:rFonts w:ascii="font-weight : 400" w:eastAsia="font-weight : 400" w:hAnsi="font-weight : 400" w:cs="font-weight : 400"/>
      <w:i w:val="0"/>
      <w:color w:val="4C4C4C"/>
      <w:sz w:val="22"/>
      <w:szCs w:val="22"/>
      <w:u w:val="none"/>
    </w:rPr>
  </w:style>
  <w:style w:type="character" w:customStyle="1" w:styleId="font41">
    <w:name w:val="font41"/>
    <w:rsid w:val="00976DFA"/>
    <w:rPr>
      <w:rFonts w:ascii="font-weight : 700" w:eastAsia="font-weight : 700" w:hAnsi="font-weight : 700" w:cs="font-weight : 700"/>
      <w:i w:val="0"/>
      <w:color w:val="4C4C4C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1402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Frances</cp:lastModifiedBy>
  <cp:revision>1</cp:revision>
  <dcterms:created xsi:type="dcterms:W3CDTF">2019-05-01T10:32:00Z</dcterms:created>
  <dcterms:modified xsi:type="dcterms:W3CDTF">2019-05-01T10:32:00Z</dcterms:modified>
</cp:coreProperties>
</file>