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83230" w14:textId="77777777" w:rsidR="00DD0568" w:rsidRPr="005777CD" w:rsidRDefault="00DD0568" w:rsidP="00DD0568">
      <w:pPr>
        <w:pStyle w:val="Title2"/>
        <w:jc w:val="both"/>
        <w:rPr>
          <w:b w:val="0"/>
          <w:color w:val="000000"/>
          <w:sz w:val="32"/>
          <w:szCs w:val="32"/>
        </w:rPr>
      </w:pPr>
      <w:r w:rsidRPr="005777CD">
        <w:rPr>
          <w:b w:val="0"/>
          <w:color w:val="000000"/>
          <w:sz w:val="32"/>
          <w:szCs w:val="32"/>
        </w:rPr>
        <w:t>Supporting Information</w:t>
      </w:r>
      <w:r>
        <w:rPr>
          <w:b w:val="0"/>
          <w:color w:val="000000"/>
          <w:sz w:val="32"/>
          <w:szCs w:val="32"/>
        </w:rPr>
        <w:t xml:space="preserve"> </w:t>
      </w:r>
    </w:p>
    <w:p w14:paraId="42BA3DBE" w14:textId="77777777" w:rsidR="00DD0568" w:rsidRDefault="00DD0568" w:rsidP="00DD0568">
      <w:pPr>
        <w:jc w:val="both"/>
        <w:rPr>
          <w:b/>
          <w:sz w:val="28"/>
        </w:rPr>
      </w:pPr>
    </w:p>
    <w:p w14:paraId="036B8A45" w14:textId="1AB4A93B" w:rsidR="00DD0568" w:rsidRPr="000F11A7" w:rsidRDefault="000F11A7" w:rsidP="000F11A7">
      <w:pPr>
        <w:rPr>
          <w:b/>
          <w:sz w:val="28"/>
          <w:lang w:val="en-US"/>
        </w:rPr>
      </w:pPr>
      <w:bookmarkStart w:id="0" w:name="OLE_LINK85"/>
      <w:bookmarkStart w:id="1" w:name="OLE_LINK86"/>
      <w:bookmarkStart w:id="2" w:name="OLE_LINK105"/>
      <w:bookmarkStart w:id="3" w:name="_Hlk536004193"/>
      <w:bookmarkStart w:id="4" w:name="_Hlk504778812"/>
      <w:bookmarkStart w:id="5" w:name="OLE_LINK38"/>
      <w:r w:rsidRPr="009443A6">
        <w:rPr>
          <w:b/>
          <w:sz w:val="28"/>
          <w:lang w:val="en-US"/>
        </w:rPr>
        <w:t xml:space="preserve">Bulk-Mediated </w:t>
      </w:r>
      <w:r w:rsidRPr="009443A6">
        <w:rPr>
          <w:rFonts w:hint="eastAsia"/>
          <w:b/>
          <w:i/>
          <w:iCs/>
          <w:sz w:val="28"/>
          <w:lang w:val="en-US"/>
        </w:rPr>
        <w:t>In-Situ</w:t>
      </w:r>
      <w:r w:rsidRPr="009443A6">
        <w:rPr>
          <w:b/>
          <w:sz w:val="28"/>
          <w:lang w:val="en-US"/>
        </w:rPr>
        <w:t xml:space="preserve"> Homogeneous Photoalignment Induced by Reactive Mesogen Containing </w:t>
      </w:r>
      <w:r w:rsidRPr="009443A6">
        <w:rPr>
          <w:rFonts w:hint="eastAsia"/>
          <w:b/>
          <w:sz w:val="28"/>
          <w:lang w:val="en-US"/>
        </w:rPr>
        <w:t>D</w:t>
      </w:r>
      <w:r w:rsidRPr="009443A6">
        <w:rPr>
          <w:b/>
          <w:sz w:val="28"/>
          <w:lang w:val="en-US"/>
        </w:rPr>
        <w:t>iphenylacetylene Moiety</w:t>
      </w:r>
      <w:bookmarkEnd w:id="0"/>
      <w:bookmarkEnd w:id="1"/>
      <w:bookmarkEnd w:id="2"/>
      <w:bookmarkEnd w:id="3"/>
      <w:bookmarkEnd w:id="4"/>
      <w:bookmarkEnd w:id="5"/>
    </w:p>
    <w:p w14:paraId="204BEE92" w14:textId="77777777" w:rsidR="000F11A7" w:rsidRPr="009443A6" w:rsidRDefault="000F11A7" w:rsidP="000F11A7">
      <w:pPr>
        <w:pStyle w:val="Authornames"/>
        <w:rPr>
          <w:lang w:val="en-US"/>
        </w:rPr>
      </w:pPr>
      <w:bookmarkStart w:id="6" w:name="_Hlk5193272"/>
      <w:bookmarkStart w:id="7" w:name="_Hlk504778866"/>
      <w:r w:rsidRPr="009443A6">
        <w:rPr>
          <w:lang w:val="en-US"/>
        </w:rPr>
        <w:t xml:space="preserve">Rui </w:t>
      </w:r>
      <w:proofErr w:type="spellStart"/>
      <w:proofErr w:type="gramStart"/>
      <w:r w:rsidRPr="009443A6">
        <w:rPr>
          <w:lang w:val="en-US"/>
        </w:rPr>
        <w:t>He</w:t>
      </w:r>
      <w:r w:rsidRPr="009443A6">
        <w:rPr>
          <w:vertAlign w:val="superscript"/>
          <w:lang w:val="en-US"/>
        </w:rPr>
        <w:t>a,</w:t>
      </w:r>
      <w:r>
        <w:rPr>
          <w:rFonts w:hint="eastAsia"/>
          <w:vertAlign w:val="superscript"/>
          <w:lang w:val="en-US" w:eastAsia="zh-CN"/>
        </w:rPr>
        <w:t>c</w:t>
      </w:r>
      <w:proofErr w:type="spellEnd"/>
      <w:proofErr w:type="gramEnd"/>
      <w:r w:rsidRPr="009443A6">
        <w:rPr>
          <w:lang w:val="en-US"/>
        </w:rPr>
        <w:t xml:space="preserve">, </w:t>
      </w:r>
      <w:proofErr w:type="spellStart"/>
      <w:r w:rsidRPr="009443A6">
        <w:rPr>
          <w:lang w:val="en-US"/>
        </w:rPr>
        <w:t>Pushan</w:t>
      </w:r>
      <w:proofErr w:type="spellEnd"/>
      <w:r w:rsidRPr="009443A6">
        <w:rPr>
          <w:lang w:val="en-US"/>
        </w:rPr>
        <w:t xml:space="preserve"> </w:t>
      </w:r>
      <w:proofErr w:type="spellStart"/>
      <w:r w:rsidRPr="009443A6">
        <w:rPr>
          <w:lang w:val="en-US"/>
        </w:rPr>
        <w:t>Wen</w:t>
      </w:r>
      <w:r w:rsidRPr="009443A6">
        <w:rPr>
          <w:vertAlign w:val="superscript"/>
          <w:lang w:val="en-US"/>
        </w:rPr>
        <w:t>b</w:t>
      </w:r>
      <w:proofErr w:type="spellEnd"/>
      <w:r w:rsidRPr="009443A6">
        <w:rPr>
          <w:lang w:val="en-US"/>
        </w:rPr>
        <w:t>, Yang Ye</w:t>
      </w:r>
      <w:r w:rsidRPr="009443A6">
        <w:rPr>
          <w:vertAlign w:val="superscript"/>
          <w:lang w:val="en-US"/>
        </w:rPr>
        <w:t>a</w:t>
      </w:r>
      <w:r w:rsidRPr="009443A6">
        <w:rPr>
          <w:lang w:val="en-US"/>
        </w:rPr>
        <w:t xml:space="preserve">, </w:t>
      </w:r>
      <w:proofErr w:type="spellStart"/>
      <w:r w:rsidRPr="009443A6">
        <w:rPr>
          <w:lang w:val="en-US"/>
        </w:rPr>
        <w:t>Eunche</w:t>
      </w:r>
      <w:proofErr w:type="spellEnd"/>
      <w:r w:rsidRPr="009443A6">
        <w:rPr>
          <w:lang w:val="en-US"/>
        </w:rPr>
        <w:t xml:space="preserve"> </w:t>
      </w:r>
      <w:proofErr w:type="spellStart"/>
      <w:r w:rsidRPr="009443A6">
        <w:rPr>
          <w:lang w:val="en-US"/>
        </w:rPr>
        <w:t>Oh</w:t>
      </w:r>
      <w:r w:rsidRPr="009443A6">
        <w:rPr>
          <w:vertAlign w:val="superscript"/>
          <w:lang w:val="en-US"/>
        </w:rPr>
        <w:t>a</w:t>
      </w:r>
      <w:proofErr w:type="spellEnd"/>
      <w:r w:rsidRPr="009443A6">
        <w:rPr>
          <w:lang w:val="en-US"/>
        </w:rPr>
        <w:t xml:space="preserve">, </w:t>
      </w:r>
      <w:bookmarkStart w:id="8" w:name="OLE_LINK92"/>
      <w:bookmarkStart w:id="9" w:name="OLE_LINK93"/>
      <w:r w:rsidRPr="009443A6">
        <w:rPr>
          <w:lang w:val="en-US"/>
        </w:rPr>
        <w:t>Shin-</w:t>
      </w:r>
      <w:proofErr w:type="spellStart"/>
      <w:r w:rsidRPr="009443A6">
        <w:rPr>
          <w:lang w:val="en-US"/>
        </w:rPr>
        <w:t>Woong</w:t>
      </w:r>
      <w:proofErr w:type="spellEnd"/>
      <w:r w:rsidRPr="009443A6">
        <w:rPr>
          <w:lang w:val="en-US"/>
        </w:rPr>
        <w:t xml:space="preserve"> </w:t>
      </w:r>
      <w:proofErr w:type="spellStart"/>
      <w:r w:rsidRPr="009443A6">
        <w:rPr>
          <w:lang w:val="en-US"/>
        </w:rPr>
        <w:t>Kang</w:t>
      </w:r>
      <w:bookmarkEnd w:id="8"/>
      <w:bookmarkEnd w:id="9"/>
      <w:r w:rsidRPr="009443A6">
        <w:rPr>
          <w:vertAlign w:val="superscript"/>
          <w:lang w:val="en-US"/>
        </w:rPr>
        <w:t>c</w:t>
      </w:r>
      <w:proofErr w:type="spellEnd"/>
      <w:r w:rsidRPr="009443A6">
        <w:rPr>
          <w:lang w:val="en-US"/>
        </w:rPr>
        <w:t xml:space="preserve">, Seung </w:t>
      </w:r>
      <w:proofErr w:type="spellStart"/>
      <w:r w:rsidRPr="009443A6">
        <w:rPr>
          <w:lang w:val="en-US"/>
        </w:rPr>
        <w:t>Hee</w:t>
      </w:r>
      <w:proofErr w:type="spellEnd"/>
      <w:r w:rsidRPr="009443A6">
        <w:rPr>
          <w:lang w:val="en-US"/>
        </w:rPr>
        <w:t xml:space="preserve"> </w:t>
      </w:r>
      <w:proofErr w:type="spellStart"/>
      <w:r w:rsidRPr="009443A6">
        <w:rPr>
          <w:lang w:val="en-US"/>
        </w:rPr>
        <w:t>Lee</w:t>
      </w:r>
      <w:r w:rsidRPr="009443A6">
        <w:rPr>
          <w:vertAlign w:val="superscript"/>
          <w:lang w:val="en-US"/>
        </w:rPr>
        <w:t>c</w:t>
      </w:r>
      <w:proofErr w:type="spellEnd"/>
      <w:r w:rsidRPr="009443A6">
        <w:rPr>
          <w:lang w:val="en-US"/>
        </w:rPr>
        <w:t>* and Myong-</w:t>
      </w:r>
      <w:proofErr w:type="spellStart"/>
      <w:r w:rsidRPr="009443A6">
        <w:rPr>
          <w:lang w:val="en-US"/>
        </w:rPr>
        <w:t>Hoon</w:t>
      </w:r>
      <w:proofErr w:type="spellEnd"/>
      <w:r w:rsidRPr="009443A6">
        <w:rPr>
          <w:lang w:val="en-US"/>
        </w:rPr>
        <w:t xml:space="preserve"> </w:t>
      </w:r>
      <w:proofErr w:type="spellStart"/>
      <w:r w:rsidRPr="009443A6">
        <w:rPr>
          <w:lang w:val="en-US"/>
        </w:rPr>
        <w:t>Lee</w:t>
      </w:r>
      <w:r w:rsidRPr="009443A6">
        <w:rPr>
          <w:vertAlign w:val="superscript"/>
          <w:lang w:val="en-US"/>
        </w:rPr>
        <w:t>a</w:t>
      </w:r>
      <w:proofErr w:type="spellEnd"/>
      <w:r w:rsidRPr="009443A6">
        <w:rPr>
          <w:lang w:val="en-US"/>
        </w:rPr>
        <w:t>*</w:t>
      </w:r>
    </w:p>
    <w:bookmarkEnd w:id="6"/>
    <w:p w14:paraId="1C0C11A3" w14:textId="77777777" w:rsidR="000F11A7" w:rsidRDefault="000F11A7" w:rsidP="000F11A7">
      <w:pPr>
        <w:jc w:val="both"/>
        <w:rPr>
          <w:lang w:val="en-US"/>
        </w:rPr>
      </w:pPr>
    </w:p>
    <w:bookmarkEnd w:id="7"/>
    <w:p w14:paraId="17A98E21" w14:textId="56223BDC" w:rsidR="000F11A7" w:rsidRDefault="000F11A7" w:rsidP="000F11A7">
      <w:pPr>
        <w:pStyle w:val="Addresses"/>
        <w:spacing w:before="240" w:line="360" w:lineRule="auto"/>
        <w:jc w:val="both"/>
        <w:rPr>
          <w:rFonts w:eastAsiaTheme="minorEastAsia"/>
          <w:i/>
          <w:lang w:eastAsia="en-GB"/>
        </w:rPr>
      </w:pPr>
      <w:proofErr w:type="spellStart"/>
      <w:r w:rsidRPr="009443A6">
        <w:rPr>
          <w:i/>
          <w:iCs/>
          <w:vertAlign w:val="superscript"/>
        </w:rPr>
        <w:t>a</w:t>
      </w:r>
      <w:r w:rsidRPr="009443A6">
        <w:rPr>
          <w:rFonts w:eastAsiaTheme="minorEastAsia"/>
          <w:i/>
          <w:iCs/>
          <w:lang w:eastAsia="en-GB"/>
        </w:rPr>
        <w:t>G</w:t>
      </w:r>
      <w:r w:rsidRPr="009443A6">
        <w:rPr>
          <w:rFonts w:eastAsiaTheme="minorEastAsia"/>
          <w:i/>
          <w:lang w:eastAsia="en-GB"/>
        </w:rPr>
        <w:t>raduate</w:t>
      </w:r>
      <w:proofErr w:type="spellEnd"/>
      <w:r w:rsidRPr="009443A6">
        <w:rPr>
          <w:rFonts w:eastAsiaTheme="minorEastAsia"/>
          <w:i/>
          <w:lang w:eastAsia="en-GB"/>
        </w:rPr>
        <w:t xml:space="preserve"> School of Flexible and Printable Electronics, </w:t>
      </w:r>
      <w:proofErr w:type="spellStart"/>
      <w:r w:rsidR="00B6558C">
        <w:rPr>
          <w:rFonts w:eastAsiaTheme="minorEastAsia"/>
          <w:i/>
          <w:lang w:eastAsia="en-GB"/>
        </w:rPr>
        <w:t>Jeonbuk</w:t>
      </w:r>
      <w:proofErr w:type="spellEnd"/>
      <w:r w:rsidRPr="009443A6">
        <w:rPr>
          <w:rFonts w:eastAsiaTheme="minorEastAsia"/>
          <w:i/>
          <w:lang w:eastAsia="en-GB"/>
        </w:rPr>
        <w:t xml:space="preserve"> National University, </w:t>
      </w:r>
      <w:proofErr w:type="spellStart"/>
      <w:r w:rsidRPr="009443A6">
        <w:rPr>
          <w:rFonts w:eastAsiaTheme="minorEastAsia"/>
          <w:i/>
          <w:lang w:eastAsia="en-GB"/>
        </w:rPr>
        <w:t>Jeonju</w:t>
      </w:r>
      <w:proofErr w:type="spellEnd"/>
      <w:r w:rsidRPr="009443A6">
        <w:rPr>
          <w:rFonts w:eastAsiaTheme="minorEastAsia"/>
          <w:i/>
          <w:lang w:eastAsia="en-GB"/>
        </w:rPr>
        <w:t>, 54896, Korea;</w:t>
      </w:r>
      <w:r>
        <w:rPr>
          <w:rFonts w:eastAsiaTheme="minorEastAsia"/>
          <w:i/>
          <w:lang w:eastAsia="en-GB"/>
        </w:rPr>
        <w:t xml:space="preserve"> </w:t>
      </w:r>
      <w:proofErr w:type="spellStart"/>
      <w:r w:rsidRPr="009443A6">
        <w:rPr>
          <w:rFonts w:eastAsiaTheme="minorEastAsia"/>
          <w:i/>
          <w:vertAlign w:val="superscript"/>
          <w:lang w:eastAsia="en-GB"/>
        </w:rPr>
        <w:t>b</w:t>
      </w:r>
      <w:r w:rsidRPr="009443A6">
        <w:rPr>
          <w:rFonts w:eastAsiaTheme="minorEastAsia"/>
          <w:i/>
          <w:lang w:eastAsia="en-GB"/>
        </w:rPr>
        <w:t>Department</w:t>
      </w:r>
      <w:proofErr w:type="spellEnd"/>
      <w:r w:rsidRPr="009443A6">
        <w:rPr>
          <w:rFonts w:eastAsiaTheme="minorEastAsia"/>
          <w:i/>
          <w:lang w:eastAsia="en-GB"/>
        </w:rPr>
        <w:t xml:space="preserve"> of Chemistry and Chemical Engineering, </w:t>
      </w:r>
      <w:proofErr w:type="spellStart"/>
      <w:r w:rsidRPr="009443A6">
        <w:rPr>
          <w:rFonts w:eastAsiaTheme="minorEastAsia"/>
          <w:i/>
          <w:lang w:eastAsia="en-GB"/>
        </w:rPr>
        <w:t>Zunyi</w:t>
      </w:r>
      <w:proofErr w:type="spellEnd"/>
      <w:r w:rsidRPr="009443A6">
        <w:rPr>
          <w:rFonts w:eastAsiaTheme="minorEastAsia"/>
          <w:i/>
          <w:lang w:eastAsia="en-GB"/>
        </w:rPr>
        <w:t xml:space="preserve"> Normal College, </w:t>
      </w:r>
      <w:proofErr w:type="spellStart"/>
      <w:r w:rsidRPr="009443A6">
        <w:rPr>
          <w:rFonts w:eastAsiaTheme="minorEastAsia"/>
          <w:i/>
          <w:lang w:eastAsia="en-GB"/>
        </w:rPr>
        <w:t>Zunyi</w:t>
      </w:r>
      <w:proofErr w:type="spellEnd"/>
      <w:r w:rsidRPr="009443A6">
        <w:rPr>
          <w:rFonts w:eastAsiaTheme="minorEastAsia"/>
          <w:i/>
          <w:lang w:eastAsia="en-GB"/>
        </w:rPr>
        <w:t>, 563006, China;</w:t>
      </w:r>
      <w:r>
        <w:rPr>
          <w:rFonts w:eastAsiaTheme="minorEastAsia"/>
          <w:i/>
          <w:lang w:eastAsia="en-GB"/>
        </w:rPr>
        <w:t xml:space="preserve"> </w:t>
      </w:r>
      <w:r w:rsidRPr="009443A6">
        <w:rPr>
          <w:rFonts w:eastAsiaTheme="minorEastAsia"/>
          <w:i/>
          <w:vertAlign w:val="superscript"/>
          <w:lang w:eastAsia="en-GB"/>
        </w:rPr>
        <w:t>c</w:t>
      </w:r>
      <w:r w:rsidRPr="009443A6">
        <w:rPr>
          <w:rFonts w:eastAsiaTheme="minorEastAsia"/>
          <w:i/>
          <w:lang w:eastAsia="en-GB"/>
        </w:rPr>
        <w:t xml:space="preserve"> Department of BIN convergence Technology, </w:t>
      </w:r>
      <w:proofErr w:type="spellStart"/>
      <w:r w:rsidR="00B6558C">
        <w:rPr>
          <w:rFonts w:eastAsiaTheme="minorEastAsia"/>
          <w:i/>
          <w:lang w:eastAsia="en-GB"/>
        </w:rPr>
        <w:t>Jeonbuk</w:t>
      </w:r>
      <w:proofErr w:type="spellEnd"/>
      <w:r w:rsidRPr="009443A6">
        <w:rPr>
          <w:rFonts w:eastAsiaTheme="minorEastAsia"/>
          <w:i/>
          <w:lang w:eastAsia="en-GB"/>
        </w:rPr>
        <w:t xml:space="preserve"> National University, </w:t>
      </w:r>
      <w:proofErr w:type="spellStart"/>
      <w:r w:rsidRPr="009443A6">
        <w:rPr>
          <w:rFonts w:eastAsiaTheme="minorEastAsia"/>
          <w:i/>
          <w:lang w:eastAsia="en-GB"/>
        </w:rPr>
        <w:t>Jeonju</w:t>
      </w:r>
      <w:proofErr w:type="spellEnd"/>
      <w:r w:rsidRPr="009443A6">
        <w:rPr>
          <w:rFonts w:eastAsiaTheme="minorEastAsia"/>
          <w:i/>
          <w:lang w:eastAsia="en-GB"/>
        </w:rPr>
        <w:t>, 54896, Korea</w:t>
      </w:r>
    </w:p>
    <w:p w14:paraId="210828D5" w14:textId="77777777" w:rsidR="000F11A7" w:rsidRPr="000F11A7" w:rsidRDefault="000F11A7" w:rsidP="000F11A7">
      <w:pPr>
        <w:pStyle w:val="Addresses"/>
        <w:spacing w:before="240" w:line="360" w:lineRule="auto"/>
        <w:jc w:val="both"/>
        <w:rPr>
          <w:rFonts w:eastAsiaTheme="minorEastAsia"/>
          <w:i/>
          <w:lang w:eastAsia="en-GB"/>
        </w:rPr>
      </w:pPr>
    </w:p>
    <w:p w14:paraId="5EBE5371" w14:textId="7704C449" w:rsidR="000F11A7" w:rsidRDefault="000F11A7" w:rsidP="000F11A7">
      <w:pPr>
        <w:pStyle w:val="Addresses"/>
        <w:jc w:val="both"/>
      </w:pPr>
      <w:r w:rsidRPr="005C36A3">
        <w:t>*</w:t>
      </w:r>
      <w:r w:rsidRPr="000F11A7">
        <w:rPr>
          <w:rFonts w:eastAsiaTheme="minorEastAsia"/>
          <w:lang w:val="en-GB" w:eastAsia="en-GB"/>
        </w:rPr>
        <w:t>Corresponding author. Email: mhlee2@</w:t>
      </w:r>
      <w:r w:rsidR="00B6558C">
        <w:rPr>
          <w:rFonts w:eastAsiaTheme="minorEastAsia"/>
          <w:lang w:val="en-GB" w:eastAsia="en-GB"/>
        </w:rPr>
        <w:t>jbnu</w:t>
      </w:r>
      <w:bookmarkStart w:id="10" w:name="_GoBack"/>
      <w:bookmarkEnd w:id="10"/>
      <w:r w:rsidRPr="000F11A7">
        <w:rPr>
          <w:rFonts w:eastAsiaTheme="minorEastAsia"/>
          <w:lang w:val="en-GB" w:eastAsia="en-GB"/>
        </w:rPr>
        <w:t xml:space="preserve">.ac.kr; </w:t>
      </w:r>
      <w:hyperlink r:id="rId6" w:history="1">
        <w:r w:rsidRPr="000F11A7">
          <w:rPr>
            <w:rFonts w:eastAsiaTheme="minorEastAsia"/>
            <w:lang w:val="en-GB" w:eastAsia="en-GB"/>
          </w:rPr>
          <w:t>lsh1@jbnu.ac.kr</w:t>
        </w:r>
      </w:hyperlink>
    </w:p>
    <w:p w14:paraId="672E2F19" w14:textId="77777777" w:rsidR="00DD0568" w:rsidRPr="000F11A7" w:rsidRDefault="00DD0568" w:rsidP="00DD0568">
      <w:pPr>
        <w:jc w:val="both"/>
        <w:rPr>
          <w:lang w:val="en-US"/>
        </w:rPr>
      </w:pPr>
    </w:p>
    <w:p w14:paraId="71D1C7F1" w14:textId="77777777" w:rsidR="00DD0568" w:rsidRDefault="00DD0568" w:rsidP="00DD0568">
      <w:pPr>
        <w:jc w:val="both"/>
      </w:pPr>
      <w:r>
        <w:br w:type="page"/>
      </w:r>
    </w:p>
    <w:p w14:paraId="17F05E0B" w14:textId="77777777" w:rsidR="00DD0568" w:rsidRPr="00A6684D" w:rsidRDefault="00DD0568" w:rsidP="00DD0568">
      <w:pPr>
        <w:pStyle w:val="2"/>
        <w:spacing w:line="480" w:lineRule="auto"/>
        <w:jc w:val="both"/>
        <w:rPr>
          <w:rFonts w:cs="Times New Roman"/>
          <w:szCs w:val="24"/>
          <w:lang w:val="en-US"/>
        </w:rPr>
      </w:pPr>
      <w:r>
        <w:rPr>
          <w:rFonts w:cs="Times New Roman"/>
          <w:szCs w:val="24"/>
          <w:lang w:val="en-US"/>
        </w:rPr>
        <w:lastRenderedPageBreak/>
        <w:t>1</w:t>
      </w:r>
      <w:r w:rsidRPr="00A6684D">
        <w:rPr>
          <w:rFonts w:cs="Times New Roman"/>
          <w:szCs w:val="24"/>
          <w:lang w:val="en-US"/>
        </w:rPr>
        <w:t xml:space="preserve">. </w:t>
      </w:r>
      <w:r w:rsidRPr="00A6684D">
        <w:rPr>
          <w:rFonts w:cs="Times New Roman"/>
          <w:szCs w:val="24"/>
          <w:lang w:val="en-US" w:eastAsia="zh-CN"/>
        </w:rPr>
        <w:t>S</w:t>
      </w:r>
      <w:r w:rsidRPr="00A6684D">
        <w:rPr>
          <w:rFonts w:cs="Times New Roman"/>
          <w:szCs w:val="24"/>
          <w:lang w:val="en-US"/>
        </w:rPr>
        <w:t>ynthesis of DAT</w:t>
      </w:r>
    </w:p>
    <w:p w14:paraId="7B547847" w14:textId="77777777" w:rsidR="00DD0568" w:rsidRDefault="00DD0568" w:rsidP="000F11A7">
      <w:pPr>
        <w:spacing w:before="240"/>
        <w:jc w:val="both"/>
      </w:pPr>
      <w:r w:rsidRPr="00A6684D">
        <w:t xml:space="preserve">The synthetic route of the liquid crystalline monomer consisting of tolane moiety (DAT) is demonstrated in Scheme </w:t>
      </w:r>
      <w:r>
        <w:t>S</w:t>
      </w:r>
      <w:r w:rsidRPr="00A6684D">
        <w:t>1.</w:t>
      </w:r>
    </w:p>
    <w:p w14:paraId="7297230B" w14:textId="40461D21" w:rsidR="00DD0568" w:rsidRDefault="00DD0568" w:rsidP="00DD0568">
      <w:pPr>
        <w:jc w:val="both"/>
      </w:pPr>
      <w:r>
        <w:rPr>
          <w:rFonts w:eastAsia="SimSun"/>
          <w:noProof/>
        </w:rPr>
        <w:drawing>
          <wp:inline distT="0" distB="0" distL="0" distR="0" wp14:anchorId="42A8516A" wp14:editId="6C241BA9">
            <wp:extent cx="5270500" cy="56769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676900"/>
                    </a:xfrm>
                    <a:prstGeom prst="rect">
                      <a:avLst/>
                    </a:prstGeom>
                    <a:noFill/>
                    <a:ln>
                      <a:noFill/>
                    </a:ln>
                  </pic:spPr>
                </pic:pic>
              </a:graphicData>
            </a:graphic>
          </wp:inline>
        </w:drawing>
      </w:r>
    </w:p>
    <w:p w14:paraId="2B284287" w14:textId="77777777" w:rsidR="00DD0568" w:rsidRPr="00AB2230" w:rsidRDefault="00DD0568" w:rsidP="00DD0568">
      <w:pPr>
        <w:spacing w:before="240" w:line="360" w:lineRule="auto"/>
        <w:jc w:val="both"/>
      </w:pPr>
      <w:r>
        <w:t>Scheme S1. Synthetic route for DAT.</w:t>
      </w:r>
    </w:p>
    <w:p w14:paraId="428CED50" w14:textId="77777777" w:rsidR="00DD0568" w:rsidRPr="00A6684D" w:rsidRDefault="00DD0568" w:rsidP="00DD0568">
      <w:pPr>
        <w:pStyle w:val="4"/>
        <w:jc w:val="both"/>
        <w:rPr>
          <w:i/>
          <w:szCs w:val="24"/>
        </w:rPr>
      </w:pPr>
      <w:r>
        <w:rPr>
          <w:i/>
          <w:szCs w:val="24"/>
        </w:rPr>
        <w:t>1</w:t>
      </w:r>
      <w:r w:rsidRPr="00A6684D">
        <w:rPr>
          <w:i/>
          <w:szCs w:val="24"/>
        </w:rPr>
        <w:t>.1 Synthesis of compound (5)</w:t>
      </w:r>
    </w:p>
    <w:p w14:paraId="3378FFB6" w14:textId="77777777" w:rsidR="00DD0568" w:rsidRPr="00A6684D" w:rsidRDefault="00DD0568" w:rsidP="000F11A7">
      <w:pPr>
        <w:spacing w:before="240"/>
        <w:jc w:val="both"/>
      </w:pPr>
      <w:r w:rsidRPr="00A6684D">
        <w:t>To a 500 mL flask, we added 9.92 g (40.0 mmol) of p-</w:t>
      </w:r>
      <w:proofErr w:type="spellStart"/>
      <w:r w:rsidRPr="00A6684D">
        <w:t>iodobenzoic</w:t>
      </w:r>
      <w:proofErr w:type="spellEnd"/>
      <w:r w:rsidRPr="00A6684D">
        <w:t xml:space="preserve"> acid, 33.1 g (280.0 mmol) of 1,6-hexandiol and several drops of </w:t>
      </w:r>
      <w:proofErr w:type="spellStart"/>
      <w:r w:rsidRPr="00A6684D">
        <w:t>methanesulfonic</w:t>
      </w:r>
      <w:proofErr w:type="spellEnd"/>
      <w:r w:rsidRPr="00A6684D">
        <w:t xml:space="preserve"> acid. After stirring at </w:t>
      </w:r>
      <w:r w:rsidRPr="00A6684D">
        <w:lastRenderedPageBreak/>
        <w:t>115 °C for 4h, the mixture was poured into 1</w:t>
      </w:r>
      <w:r>
        <w:t xml:space="preserve"> </w:t>
      </w:r>
      <w:r w:rsidRPr="00A6684D">
        <w:t>L of water and extracted with ethyl acetate for several times. The combined organic solution was washed with deionized water for several times and washed with saturated aqueous NaHCO</w:t>
      </w:r>
      <w:r w:rsidRPr="00A6684D">
        <w:rPr>
          <w:vertAlign w:val="subscript"/>
        </w:rPr>
        <w:t>3</w:t>
      </w:r>
      <w:r w:rsidRPr="00A6684D">
        <w:t xml:space="preserve">, and then, dried over anhydrous sodium </w:t>
      </w:r>
      <w:proofErr w:type="spellStart"/>
      <w:r w:rsidRPr="00A6684D">
        <w:t>sulfate</w:t>
      </w:r>
      <w:proofErr w:type="spellEnd"/>
      <w:r w:rsidRPr="00A6684D">
        <w:t>. The solution was evaporated to obtain a crude product (5). The crude product (5) was purified by chromatography (dichloromethane: ethyl acetate = 1:1) to obtain the product (5) as a dark yellow oil. Yield: 88%.</w:t>
      </w:r>
    </w:p>
    <w:p w14:paraId="43F6C74D" w14:textId="77777777" w:rsidR="00DD0568" w:rsidRPr="00A6684D" w:rsidRDefault="00DD0568" w:rsidP="00DD0568">
      <w:pPr>
        <w:pStyle w:val="4"/>
        <w:jc w:val="both"/>
        <w:rPr>
          <w:i/>
          <w:szCs w:val="24"/>
        </w:rPr>
      </w:pPr>
      <w:r>
        <w:rPr>
          <w:i/>
          <w:szCs w:val="24"/>
        </w:rPr>
        <w:t>1</w:t>
      </w:r>
      <w:r w:rsidRPr="00A6684D">
        <w:rPr>
          <w:i/>
          <w:szCs w:val="24"/>
        </w:rPr>
        <w:t>.2 Synthesis of compound (6)</w:t>
      </w:r>
    </w:p>
    <w:p w14:paraId="6D48BB2C" w14:textId="77777777" w:rsidR="00DD0568" w:rsidRPr="00A6684D" w:rsidRDefault="00DD0568" w:rsidP="000F11A7">
      <w:pPr>
        <w:spacing w:before="240"/>
        <w:jc w:val="both"/>
      </w:pPr>
      <w:r w:rsidRPr="00A6684D">
        <w:t xml:space="preserve">To a 100 mL flask, we added 10.5 g (30.0 mmol) of compound (5), 80 ml of triethylamine, 114.3 mg (0.6 mmol) of copper (I) iodide and 693.3 mg (0.6 mmol) of </w:t>
      </w:r>
      <w:proofErr w:type="spellStart"/>
      <w:r w:rsidRPr="00A6684D">
        <w:t>tetrakis</w:t>
      </w:r>
      <w:proofErr w:type="spellEnd"/>
      <w:r w:rsidRPr="00A6684D">
        <w:t>(</w:t>
      </w:r>
      <w:proofErr w:type="spellStart"/>
      <w:r w:rsidRPr="00A6684D">
        <w:t>triphenyphosphine</w:t>
      </w:r>
      <w:proofErr w:type="spellEnd"/>
      <w:r w:rsidRPr="00A6684D">
        <w:t xml:space="preserve">) palladium (0). The mixture was flushed with nitrogen and 4.4 g (45.0 mmol) of </w:t>
      </w:r>
      <w:proofErr w:type="spellStart"/>
      <w:r w:rsidRPr="00A6684D">
        <w:t>trimethylsilylacetylene</w:t>
      </w:r>
      <w:proofErr w:type="spellEnd"/>
      <w:r w:rsidRPr="00A6684D">
        <w:t xml:space="preserve"> was added with magnetic stirring. After stirring at 40 °C for 24 h, 14.4 ml of a 75% (w/w) tetrabutylammonium fluoride solution in water was added to deprotect the silane moiety. After stirring for another 30 minutes, the solvent was evaporated under vacuum, and the residual mixture was dissolved in dichloromethane and filtered. The obtained organic phase was washed with a 0.5 M HCl aqueous solution for several times and dried over anhydrous magnesium </w:t>
      </w:r>
      <w:proofErr w:type="spellStart"/>
      <w:r w:rsidRPr="00A6684D">
        <w:t>sulfate</w:t>
      </w:r>
      <w:proofErr w:type="spellEnd"/>
      <w:r w:rsidRPr="00A6684D">
        <w:t>. The solvent was evaporated to obtain a crude product (6), which was further purified by chromatography (dichloromethane: ethyl acetate = 2:1) to obtain the product (6) as a dark yellow liquid. Yield: 72%.</w:t>
      </w:r>
    </w:p>
    <w:p w14:paraId="1A417DE6" w14:textId="77777777" w:rsidR="00DD0568" w:rsidRPr="00A6684D" w:rsidRDefault="00DD0568" w:rsidP="00DD0568">
      <w:pPr>
        <w:pStyle w:val="4"/>
        <w:jc w:val="both"/>
        <w:rPr>
          <w:i/>
          <w:szCs w:val="24"/>
        </w:rPr>
      </w:pPr>
      <w:r>
        <w:rPr>
          <w:i/>
          <w:szCs w:val="24"/>
        </w:rPr>
        <w:t>1</w:t>
      </w:r>
      <w:r w:rsidRPr="00A6684D">
        <w:rPr>
          <w:i/>
          <w:szCs w:val="24"/>
        </w:rPr>
        <w:t>.3 Synthesis of compound (7)</w:t>
      </w:r>
    </w:p>
    <w:p w14:paraId="5D879E38" w14:textId="77777777" w:rsidR="00DD0568" w:rsidRPr="00A6684D" w:rsidRDefault="00DD0568" w:rsidP="000F11A7">
      <w:pPr>
        <w:spacing w:before="240"/>
        <w:jc w:val="both"/>
      </w:pPr>
      <w:r w:rsidRPr="00A6684D">
        <w:t>To a 100 mL flask, we added 4.93 g (20.0 mmol) of compound (6), 3.0 g (30.0 mmol) of triethylamine and 40mL of dichloromethane. The mixture was flushed with nitrogen, and 2.2 g (24.0 mmol) of acryloyl chloride was added slowly under magnetic stirring in ice-</w:t>
      </w:r>
      <w:r w:rsidRPr="00A6684D">
        <w:lastRenderedPageBreak/>
        <w:t>bath. After stirring at room temperature for 12</w:t>
      </w:r>
      <w:r>
        <w:t xml:space="preserve"> </w:t>
      </w:r>
      <w:r w:rsidRPr="00A6684D">
        <w:t>h, the solution was diluted with 40 mL of dichloromethane, and then, washed with 20</w:t>
      </w:r>
      <w:r>
        <w:t xml:space="preserve"> </w:t>
      </w:r>
      <w:r w:rsidRPr="00A6684D">
        <w:t xml:space="preserve">mL of 1.0 M HCl aqueous solution and deionized water, respectively. The organic phase was dried over anhydrous sodium </w:t>
      </w:r>
      <w:proofErr w:type="spellStart"/>
      <w:r w:rsidRPr="00A6684D">
        <w:t>sulfate</w:t>
      </w:r>
      <w:proofErr w:type="spellEnd"/>
      <w:r w:rsidRPr="00A6684D">
        <w:t xml:space="preserve"> and the solvent was evaporated to obtain a crude product (7). The crude product (7) was purified by chromatography (dichloromethane) to obtain the product (7) as a yellowish liquid. Yield: 41%.</w:t>
      </w:r>
    </w:p>
    <w:p w14:paraId="36CDB6FE" w14:textId="77777777" w:rsidR="00DD0568" w:rsidRPr="00A6684D" w:rsidRDefault="00DD0568" w:rsidP="00DD0568">
      <w:pPr>
        <w:pStyle w:val="4"/>
        <w:jc w:val="both"/>
        <w:rPr>
          <w:i/>
          <w:szCs w:val="24"/>
        </w:rPr>
      </w:pPr>
      <w:r>
        <w:rPr>
          <w:i/>
          <w:szCs w:val="24"/>
        </w:rPr>
        <w:t>1</w:t>
      </w:r>
      <w:r w:rsidRPr="00A6684D">
        <w:rPr>
          <w:i/>
          <w:szCs w:val="24"/>
        </w:rPr>
        <w:t>.4 Synthesis of DAT</w:t>
      </w:r>
    </w:p>
    <w:p w14:paraId="0CF1F04A" w14:textId="3C0AE3AD" w:rsidR="00DD0568" w:rsidRPr="00A6684D" w:rsidRDefault="00DD0568" w:rsidP="000F11A7">
      <w:pPr>
        <w:spacing w:before="240"/>
        <w:jc w:val="both"/>
      </w:pPr>
      <w:r w:rsidRPr="00A6684D">
        <w:t>The compound (4) was synthesized according to the reported procedure</w:t>
      </w:r>
      <w:r w:rsidR="000F11A7">
        <w:fldChar w:fldCharType="begin"/>
      </w:r>
      <w:r w:rsidR="0029112F">
        <w:instrText xml:space="preserve"> ADDIN EN.CITE &lt;EndNote&gt;&lt;Cite&gt;&lt;Author&gt;Broer&lt;/Author&gt;&lt;Year&gt;1989&lt;/Year&gt;&lt;RecNum&gt;45&lt;/RecNum&gt;&lt;DisplayText&gt;[1]&lt;/DisplayText&gt;&lt;record&gt;&lt;rec-number&gt;45&lt;/rec-number&gt;&lt;foreign-keys&gt;&lt;key app="EN" db-id="vesvsarx8exr0lepvt5p2dzqrdttfta22pdz" timestamp="1541579872"&gt;45&lt;/key&gt;&lt;/foreign-keys&gt;&lt;ref-type name="Journal Article"&gt;17&lt;/ref-type&gt;&lt;contributors&gt;&lt;authors&gt;&lt;author&gt;Broer, Dirk J.&lt;/author&gt;&lt;author&gt;Boven, Jan&lt;/author&gt;&lt;author&gt;Mol, Grietje N.&lt;/author&gt;&lt;author&gt;Challa, Ger&lt;/author&gt;&lt;/authors&gt;&lt;/contributors&gt;&lt;titles&gt;&lt;title&gt;In-situ photopolymerization of oriented liquid-crystalline acrylates, 3. Oriented polymer networks from a mesogenic diacrylate&lt;/title&gt;&lt;secondary-title&gt;Die Makromolekulare Chemie&lt;/secondary-title&gt;&lt;/titles&gt;&lt;pages&gt;2255-2268&lt;/pages&gt;&lt;volume&gt;190&lt;/volume&gt;&lt;number&gt;9&lt;/number&gt;&lt;dates&gt;&lt;year&gt;1989&lt;/year&gt;&lt;pub-dates&gt;&lt;date&gt;1989/09/01&lt;/date&gt;&lt;/pub-dates&gt;&lt;/dates&gt;&lt;publisher&gt;Wiley-Blackwell&lt;/publisher&gt;&lt;isbn&gt;0025-116X&lt;/isbn&gt;&lt;urls&gt;&lt;related-urls&gt;&lt;url&gt;https://doi.org/10.1002/macp.1989.021900926&lt;/url&gt;&lt;/related-urls&gt;&lt;/urls&gt;&lt;electronic-resource-num&gt;10.1002/macp.1989.021900926&lt;/electronic-resource-num&gt;&lt;access-date&gt;2018/11/07&lt;/access-date&gt;&lt;/record&gt;&lt;/Cite&gt;&lt;/EndNote&gt;</w:instrText>
      </w:r>
      <w:r w:rsidR="000F11A7">
        <w:fldChar w:fldCharType="separate"/>
      </w:r>
      <w:r w:rsidR="000F11A7">
        <w:rPr>
          <w:noProof/>
        </w:rPr>
        <w:t>[1]</w:t>
      </w:r>
      <w:r w:rsidR="000F11A7">
        <w:fldChar w:fldCharType="end"/>
      </w:r>
      <w:r>
        <w:t>.</w:t>
      </w:r>
      <w:r w:rsidRPr="00A6684D">
        <w:t xml:space="preserve"> To a 50 ml flask, we added 1.98 g (4.0 mmol) of compound (4), 1.32 g (4.4 mmol) of compound (7), 25 ml of triethylamine, 25.4 mg (0.13 mmol) of copper(I) iodide and 154.1 mg (0.13 mmol) of </w:t>
      </w:r>
      <w:proofErr w:type="spellStart"/>
      <w:r w:rsidRPr="00A6684D">
        <w:t>tetrakis</w:t>
      </w:r>
      <w:proofErr w:type="spellEnd"/>
      <w:r w:rsidRPr="00A6684D">
        <w:t>(</w:t>
      </w:r>
      <w:proofErr w:type="spellStart"/>
      <w:r w:rsidRPr="00A6684D">
        <w:t>triphenyphosphine</w:t>
      </w:r>
      <w:proofErr w:type="spellEnd"/>
      <w:r w:rsidRPr="00A6684D">
        <w:t xml:space="preserve">)palladium (0). The flask was flushed with nitrogen and placed under magnetic stirring. After stirring at 45 °C for 24 h, the solvent was evaporated under vacuum, and the residual mixture was dissolved in dichloromethane and filtered. The obtained organic phase was washed with a 0.5 M HCl aqueous solution, dried over anhydrous magnesium </w:t>
      </w:r>
      <w:proofErr w:type="spellStart"/>
      <w:r w:rsidRPr="00A6684D">
        <w:t>sulfate</w:t>
      </w:r>
      <w:proofErr w:type="spellEnd"/>
      <w:r w:rsidRPr="00A6684D">
        <w:t>, and the solvent was evaporated to obtain a crude product. The crude product was purified by chromatography (ethyl acetate: dichloromethane: petroleum ether = 1:10:10) and recrystallization from ethanol for several times to obtain the final product DAT as white crystals. Yield: 70%.</w:t>
      </w:r>
    </w:p>
    <w:p w14:paraId="389BFB55" w14:textId="77777777" w:rsidR="00DD0568" w:rsidRPr="00EE4370" w:rsidRDefault="00DD0568" w:rsidP="00DD0568">
      <w:pPr>
        <w:pStyle w:val="2"/>
        <w:spacing w:line="480" w:lineRule="auto"/>
        <w:jc w:val="both"/>
        <w:rPr>
          <w:rFonts w:cs="Times New Roman"/>
          <w:sz w:val="72"/>
        </w:rPr>
      </w:pPr>
      <w:r>
        <w:rPr>
          <w:rFonts w:cs="Times New Roman"/>
        </w:rPr>
        <w:t>2</w:t>
      </w:r>
      <w:r w:rsidRPr="005E1074">
        <w:rPr>
          <w:rFonts w:cs="Times New Roman"/>
        </w:rPr>
        <w:t xml:space="preserve">. Synthesis and characterization of </w:t>
      </w:r>
      <w:r>
        <w:rPr>
          <w:rFonts w:cs="Times New Roman" w:hint="eastAsia"/>
          <w:lang w:eastAsia="zh-CN"/>
        </w:rPr>
        <w:t>DAT</w:t>
      </w:r>
      <w:r w:rsidRPr="005E1074">
        <w:rPr>
          <w:rFonts w:cs="Times New Roman"/>
        </w:rPr>
        <w:t xml:space="preserve"> monomer</w:t>
      </w:r>
    </w:p>
    <w:p w14:paraId="5305CB69" w14:textId="77777777" w:rsidR="00DD0568" w:rsidRPr="00CB1202" w:rsidRDefault="00DD0568" w:rsidP="000F11A7">
      <w:pPr>
        <w:adjustRightInd w:val="0"/>
        <w:snapToGrid w:val="0"/>
        <w:spacing w:before="240"/>
        <w:jc w:val="both"/>
        <w:rPr>
          <w:rFonts w:eastAsia="SimSun"/>
        </w:rPr>
      </w:pPr>
      <w:r w:rsidRPr="00CB1202">
        <w:rPr>
          <w:rFonts w:eastAsia="SimSun"/>
        </w:rPr>
        <w:t>The structure of DAT w</w:t>
      </w:r>
      <w:r>
        <w:rPr>
          <w:rFonts w:eastAsia="SimSun"/>
        </w:rPr>
        <w:t>as</w:t>
      </w:r>
      <w:r w:rsidRPr="00CB1202">
        <w:rPr>
          <w:rFonts w:eastAsia="SimSun"/>
        </w:rPr>
        <w:t xml:space="preserve"> characterized by </w:t>
      </w:r>
      <w:r w:rsidRPr="00CB1202">
        <w:rPr>
          <w:rFonts w:eastAsia="SimSun"/>
          <w:vertAlign w:val="superscript"/>
        </w:rPr>
        <w:t>1</w:t>
      </w:r>
      <w:r w:rsidRPr="00CB1202">
        <w:rPr>
          <w:rFonts w:eastAsia="SimSun"/>
        </w:rPr>
        <w:t>H NMR spectr</w:t>
      </w:r>
      <w:r>
        <w:rPr>
          <w:rFonts w:eastAsia="SimSun"/>
        </w:rPr>
        <w:t>um</w:t>
      </w:r>
      <w:r w:rsidRPr="00CB1202">
        <w:rPr>
          <w:rFonts w:eastAsia="SimSun"/>
        </w:rPr>
        <w:t xml:space="preserve">, as shown in Figure S1. In the </w:t>
      </w:r>
      <w:r w:rsidRPr="00CB1202">
        <w:rPr>
          <w:rFonts w:eastAsia="SimSun"/>
          <w:vertAlign w:val="superscript"/>
        </w:rPr>
        <w:t>1</w:t>
      </w:r>
      <w:r w:rsidRPr="00CB1202">
        <w:rPr>
          <w:rFonts w:eastAsia="SimSun"/>
        </w:rPr>
        <w:t xml:space="preserve">H NMR spectrum of </w:t>
      </w:r>
      <w:r>
        <w:rPr>
          <w:rFonts w:eastAsia="SimSun"/>
        </w:rPr>
        <w:t>D</w:t>
      </w:r>
      <w:r w:rsidRPr="00CB1202">
        <w:rPr>
          <w:rFonts w:eastAsia="SimSun"/>
        </w:rPr>
        <w:t xml:space="preserve">AT, all the protons in the structure matched well with the corresponding peaks in the spectrum as depicted in Figure </w:t>
      </w:r>
      <w:r>
        <w:rPr>
          <w:rFonts w:eastAsia="SimSun"/>
        </w:rPr>
        <w:t>S1</w:t>
      </w:r>
      <w:r w:rsidRPr="00CB1202">
        <w:rPr>
          <w:rFonts w:eastAsia="SimSun"/>
        </w:rPr>
        <w:t xml:space="preserve">. The peaks at 5.8-6.5 ppm were assigned to the protons of terminal acrylate groups, and the </w:t>
      </w:r>
      <w:bookmarkStart w:id="11" w:name="OLE_LINK126"/>
      <w:proofErr w:type="spellStart"/>
      <w:r w:rsidRPr="00CB1202">
        <w:rPr>
          <w:rFonts w:eastAsia="SimSun"/>
        </w:rPr>
        <w:t>multiplet</w:t>
      </w:r>
      <w:bookmarkEnd w:id="11"/>
      <w:proofErr w:type="spellEnd"/>
      <w:r w:rsidRPr="00CB1202">
        <w:rPr>
          <w:rFonts w:eastAsia="SimSun"/>
        </w:rPr>
        <w:t xml:space="preserve"> at 0.9-2.0 ppm </w:t>
      </w:r>
      <w:r w:rsidRPr="00CB1202">
        <w:rPr>
          <w:rFonts w:eastAsia="SimSun"/>
        </w:rPr>
        <w:lastRenderedPageBreak/>
        <w:t xml:space="preserve">was assigned to be the alky protons, indicating the existence of alkyl spacer. The four doublets at 7.2, 7.5, 7.6 and 8.0 ppm were attributed to the aromatic protons in the tolane structure, and the two doublets peaks at 7.0 and 8.1 ppm were attributed to the aromatic protons next to the tolane structure, indicating the existence of the </w:t>
      </w:r>
      <w:r>
        <w:rPr>
          <w:rFonts w:eastAsia="SimSun"/>
        </w:rPr>
        <w:t>DAT</w:t>
      </w:r>
      <w:r w:rsidRPr="00CB1202">
        <w:rPr>
          <w:rFonts w:eastAsia="SimSun"/>
        </w:rPr>
        <w:t xml:space="preserve"> mesogenic core structure. The </w:t>
      </w:r>
      <w:r w:rsidRPr="00CB1202">
        <w:rPr>
          <w:rFonts w:eastAsia="SimSun"/>
          <w:vertAlign w:val="superscript"/>
        </w:rPr>
        <w:t>1</w:t>
      </w:r>
      <w:r w:rsidRPr="00CB1202">
        <w:rPr>
          <w:rFonts w:eastAsia="SimSun"/>
        </w:rPr>
        <w:t>H NMR spectr</w:t>
      </w:r>
      <w:r>
        <w:rPr>
          <w:rFonts w:eastAsia="SimSun" w:hint="eastAsia"/>
        </w:rPr>
        <w:t>um</w:t>
      </w:r>
      <w:r w:rsidRPr="00CB1202">
        <w:rPr>
          <w:rFonts w:eastAsia="SimSun"/>
        </w:rPr>
        <w:t xml:space="preserve"> confirmed a successful synthesis of DAT </w:t>
      </w:r>
      <w:r>
        <w:rPr>
          <w:rFonts w:eastAsia="SimSun"/>
        </w:rPr>
        <w:t>monomer</w:t>
      </w:r>
      <w:r w:rsidRPr="00CB1202">
        <w:rPr>
          <w:rFonts w:eastAsia="SimSun"/>
        </w:rPr>
        <w:t>.</w:t>
      </w:r>
    </w:p>
    <w:p w14:paraId="20596BB0" w14:textId="77777777" w:rsidR="00DD0568" w:rsidRPr="00CB1202" w:rsidRDefault="00DD0568" w:rsidP="00DD0568">
      <w:pPr>
        <w:adjustRightInd w:val="0"/>
        <w:snapToGrid w:val="0"/>
        <w:spacing w:before="240"/>
        <w:ind w:firstLineChars="200" w:firstLine="480"/>
        <w:jc w:val="both"/>
        <w:rPr>
          <w:rFonts w:eastAsia="SimSun"/>
        </w:rPr>
      </w:pPr>
      <w:r w:rsidRPr="00CB1202">
        <w:rPr>
          <w:rFonts w:eastAsia="SimSun"/>
        </w:rPr>
        <w:t xml:space="preserve">DAT: </w:t>
      </w:r>
      <w:r w:rsidRPr="00CB1202">
        <w:rPr>
          <w:rFonts w:eastAsia="SimSun"/>
          <w:vertAlign w:val="superscript"/>
        </w:rPr>
        <w:t>1</w:t>
      </w:r>
      <w:r w:rsidRPr="00CB1202">
        <w:rPr>
          <w:rFonts w:eastAsia="SimSun"/>
        </w:rPr>
        <w:t>H NMR (400 MHz, chloroform-d) δ 8.20-8.10 (m, 2H), 8.02 (d, J = 8.2 Hz, 2H), 7.64-.56 (m, 4H), 7.27-7.20 (m, 2H), 7.06-6.94 (m, 2H), 6.41 (dt, J = 17.1, 2.0 Hz, 2H), 6.12 (</w:t>
      </w:r>
      <w:proofErr w:type="spellStart"/>
      <w:r w:rsidRPr="00CB1202">
        <w:rPr>
          <w:rFonts w:eastAsia="SimSun"/>
        </w:rPr>
        <w:t>ddd</w:t>
      </w:r>
      <w:proofErr w:type="spellEnd"/>
      <w:r w:rsidRPr="00CB1202">
        <w:rPr>
          <w:rFonts w:eastAsia="SimSun"/>
        </w:rPr>
        <w:t>, J = 17.3, 10.4, 3.4 Hz, 2H), 5.82 (dt, J = 10.7, 2.3 Hz, 2H), 4.33 (t, J = 6.6 Hz, 2H), 4.18 (td, J = 6.6, 3.2 Hz, 4H), 4.05 (t, J = 6.4 Hz, 2H), 1.82 (</w:t>
      </w:r>
      <w:proofErr w:type="spellStart"/>
      <w:r w:rsidRPr="00CB1202">
        <w:rPr>
          <w:rFonts w:eastAsia="SimSun"/>
        </w:rPr>
        <w:t>ddt</w:t>
      </w:r>
      <w:proofErr w:type="spellEnd"/>
      <w:r w:rsidRPr="00CB1202">
        <w:rPr>
          <w:rFonts w:eastAsia="SimSun"/>
        </w:rPr>
        <w:t>, J = 19.0, 14.1, 6.9 Hz, 4H), 1.72 (</w:t>
      </w:r>
      <w:proofErr w:type="spellStart"/>
      <w:r w:rsidRPr="00CB1202">
        <w:rPr>
          <w:rFonts w:eastAsia="SimSun"/>
        </w:rPr>
        <w:t>ddq</w:t>
      </w:r>
      <w:proofErr w:type="spellEnd"/>
      <w:r w:rsidRPr="00CB1202">
        <w:rPr>
          <w:rFonts w:eastAsia="SimSun"/>
        </w:rPr>
        <w:t>, J = 10.7, 6.8, 3.8, 3.2 Hz, 4H), 1.61-1.40 (m, 8H).</w:t>
      </w:r>
    </w:p>
    <w:p w14:paraId="21851209" w14:textId="77777777" w:rsidR="00DD0568" w:rsidRPr="0032726A" w:rsidRDefault="00DD0568" w:rsidP="00DD0568">
      <w:pPr>
        <w:spacing w:beforeLines="50" w:before="120" w:afterLines="50" w:after="120"/>
        <w:jc w:val="both"/>
        <w:rPr>
          <w:color w:val="000000" w:themeColor="text1"/>
        </w:rPr>
      </w:pPr>
      <w:r>
        <w:rPr>
          <w:noProof/>
          <w:lang w:val="en-US" w:eastAsia="ko-KR"/>
        </w:rPr>
        <w:drawing>
          <wp:inline distT="0" distB="0" distL="0" distR="0" wp14:anchorId="1092FFA2" wp14:editId="7265A591">
            <wp:extent cx="3794078" cy="34729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259" cy="3489570"/>
                    </a:xfrm>
                    <a:prstGeom prst="rect">
                      <a:avLst/>
                    </a:prstGeom>
                    <a:noFill/>
                    <a:ln>
                      <a:noFill/>
                    </a:ln>
                  </pic:spPr>
                </pic:pic>
              </a:graphicData>
            </a:graphic>
          </wp:inline>
        </w:drawing>
      </w:r>
    </w:p>
    <w:p w14:paraId="0911A79C" w14:textId="77777777" w:rsidR="00DD0568" w:rsidRPr="00A6684D" w:rsidRDefault="00DD0568" w:rsidP="00DD0568">
      <w:pPr>
        <w:spacing w:before="240"/>
        <w:mirrorIndents/>
        <w:jc w:val="both"/>
      </w:pPr>
      <w:r w:rsidRPr="0032726A">
        <w:t>Figure</w:t>
      </w:r>
      <w:r>
        <w:t xml:space="preserve"> </w:t>
      </w:r>
      <w:r>
        <w:rPr>
          <w:rFonts w:hint="eastAsia"/>
        </w:rPr>
        <w:t>S1</w:t>
      </w:r>
      <w:r w:rsidRPr="0032726A">
        <w:t xml:space="preserve">. </w:t>
      </w:r>
      <w:r w:rsidRPr="0032726A">
        <w:rPr>
          <w:vertAlign w:val="superscript"/>
        </w:rPr>
        <w:t>1</w:t>
      </w:r>
      <w:r w:rsidRPr="0032726A">
        <w:t>H NMR spectrum</w:t>
      </w:r>
      <w:r>
        <w:t xml:space="preserve"> </w:t>
      </w:r>
      <w:r>
        <w:rPr>
          <w:rFonts w:hint="eastAsia"/>
        </w:rPr>
        <w:t>of</w:t>
      </w:r>
      <w:r>
        <w:t xml:space="preserve"> DAT.</w:t>
      </w:r>
    </w:p>
    <w:p w14:paraId="0557B1F7" w14:textId="77777777" w:rsidR="00DD0568" w:rsidRPr="008D3420" w:rsidRDefault="00DD0568" w:rsidP="00DD0568">
      <w:pPr>
        <w:pStyle w:val="2"/>
        <w:spacing w:line="480" w:lineRule="auto"/>
        <w:jc w:val="both"/>
        <w:rPr>
          <w:rFonts w:cs="Times New Roman"/>
          <w:sz w:val="72"/>
        </w:rPr>
      </w:pPr>
      <w:r>
        <w:rPr>
          <w:rFonts w:cs="Times New Roman"/>
        </w:rPr>
        <w:lastRenderedPageBreak/>
        <w:t>3</w:t>
      </w:r>
      <w:r w:rsidRPr="005E1074">
        <w:rPr>
          <w:rFonts w:cs="Times New Roman"/>
        </w:rPr>
        <w:t xml:space="preserve">. </w:t>
      </w:r>
      <w:r>
        <w:rPr>
          <w:rFonts w:cs="Times New Roman"/>
        </w:rPr>
        <w:t>T</w:t>
      </w:r>
      <w:r>
        <w:rPr>
          <w:rFonts w:cs="Times New Roman" w:hint="eastAsia"/>
          <w:lang w:eastAsia="zh-CN"/>
        </w:rPr>
        <w:t xml:space="preserve">hermal </w:t>
      </w:r>
      <w:r>
        <w:rPr>
          <w:rFonts w:cs="Times New Roman"/>
        </w:rPr>
        <w:t>property</w:t>
      </w:r>
      <w:r w:rsidRPr="005E1074">
        <w:rPr>
          <w:rFonts w:cs="Times New Roman"/>
        </w:rPr>
        <w:t xml:space="preserve"> of </w:t>
      </w:r>
      <w:r>
        <w:rPr>
          <w:rFonts w:cs="Times New Roman"/>
        </w:rPr>
        <w:t>DAT</w:t>
      </w:r>
    </w:p>
    <w:p w14:paraId="1052FD3E" w14:textId="77777777" w:rsidR="00DD0568" w:rsidRPr="00187512" w:rsidRDefault="00DD0568" w:rsidP="000F11A7">
      <w:pPr>
        <w:spacing w:before="240"/>
        <w:jc w:val="both"/>
      </w:pPr>
      <w:r w:rsidRPr="008D3420">
        <w:t xml:space="preserve">The thermal stability of </w:t>
      </w:r>
      <w:r>
        <w:t>DAT</w:t>
      </w:r>
      <w:r w:rsidRPr="008D3420">
        <w:t xml:space="preserve"> was evaluated by TGA in nitrogen atmosphere with a heating rate of 10</w:t>
      </w:r>
      <w:r w:rsidRPr="008D3420">
        <w:rPr>
          <w:vertAlign w:val="superscript"/>
        </w:rPr>
        <w:t xml:space="preserve"> o</w:t>
      </w:r>
      <w:r w:rsidRPr="008D3420">
        <w:t>C min</w:t>
      </w:r>
      <w:r w:rsidRPr="008D3420">
        <w:rPr>
          <w:vertAlign w:val="superscript"/>
        </w:rPr>
        <w:t>-1</w:t>
      </w:r>
      <w:r w:rsidRPr="008D3420">
        <w:t xml:space="preserve"> as shown in Figure </w:t>
      </w:r>
      <w:r>
        <w:t>S2</w:t>
      </w:r>
      <w:r w:rsidRPr="008D3420">
        <w:t xml:space="preserve">, and the results were summarized in Table S1. Thermal degradation of </w:t>
      </w:r>
      <w:r>
        <w:t>DAT</w:t>
      </w:r>
      <w:r w:rsidRPr="008D3420">
        <w:t xml:space="preserve"> occurred in a two-step manner. The first decomposition was around 2</w:t>
      </w:r>
      <w:r>
        <w:t>93</w:t>
      </w:r>
      <w:r w:rsidRPr="008D3420">
        <w:rPr>
          <w:vertAlign w:val="superscript"/>
        </w:rPr>
        <w:t xml:space="preserve"> o</w:t>
      </w:r>
      <w:r w:rsidRPr="008D3420">
        <w:t xml:space="preserve">C corresponding to the cleavage of ester linkages present in </w:t>
      </w:r>
      <w:r>
        <w:t>DAT</w:t>
      </w:r>
      <w:r w:rsidRPr="008D3420">
        <w:t xml:space="preserve"> core. The second stage was around </w:t>
      </w:r>
      <w:r>
        <w:t>396</w:t>
      </w:r>
      <w:r w:rsidRPr="008D3420">
        <w:t xml:space="preserve"> ºC, at which the weight loss was attributed to the decomposition of aryl-alkyl-ether linkages.</w:t>
      </w:r>
    </w:p>
    <w:p w14:paraId="5AC9E2F4" w14:textId="77777777" w:rsidR="00DD0568" w:rsidRDefault="00DD0568" w:rsidP="00DD0568">
      <w:pPr>
        <w:spacing w:before="240"/>
        <w:jc w:val="both"/>
      </w:pPr>
      <w:r>
        <w:rPr>
          <w:noProof/>
          <w:lang w:val="en-US" w:eastAsia="ko-KR"/>
        </w:rPr>
        <w:drawing>
          <wp:inline distT="0" distB="0" distL="0" distR="0" wp14:anchorId="408DA2F6" wp14:editId="14B197CE">
            <wp:extent cx="4510585" cy="348457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254" cy="3493586"/>
                    </a:xfrm>
                    <a:prstGeom prst="rect">
                      <a:avLst/>
                    </a:prstGeom>
                    <a:noFill/>
                    <a:ln>
                      <a:noFill/>
                    </a:ln>
                  </pic:spPr>
                </pic:pic>
              </a:graphicData>
            </a:graphic>
          </wp:inline>
        </w:drawing>
      </w:r>
    </w:p>
    <w:p w14:paraId="0E1483A9" w14:textId="77777777" w:rsidR="00DD0568" w:rsidRDefault="00DD0568" w:rsidP="00DD0568">
      <w:pPr>
        <w:spacing w:before="240"/>
        <w:jc w:val="both"/>
      </w:pPr>
      <w:r>
        <w:t xml:space="preserve">Figure </w:t>
      </w:r>
      <w:r>
        <w:rPr>
          <w:rFonts w:hint="eastAsia"/>
        </w:rPr>
        <w:t>S</w:t>
      </w:r>
      <w:r>
        <w:t>2</w:t>
      </w:r>
      <w:r w:rsidRPr="0032726A">
        <w:t xml:space="preserve">. </w:t>
      </w:r>
      <w:r>
        <w:t>TGA curve of DAT.</w:t>
      </w:r>
    </w:p>
    <w:p w14:paraId="440B95C7" w14:textId="77777777" w:rsidR="00DD0568" w:rsidRDefault="00DD0568" w:rsidP="00DD0568">
      <w:pPr>
        <w:spacing w:before="240"/>
        <w:jc w:val="both"/>
      </w:pPr>
    </w:p>
    <w:p w14:paraId="0B7DD3A7" w14:textId="77777777" w:rsidR="00DD0568" w:rsidRDefault="00DD0568" w:rsidP="00DD0568">
      <w:pPr>
        <w:spacing w:before="240"/>
        <w:jc w:val="both"/>
      </w:pPr>
    </w:p>
    <w:p w14:paraId="752D77C5" w14:textId="77777777" w:rsidR="00DD0568" w:rsidRDefault="00DD0568" w:rsidP="00DD0568">
      <w:pPr>
        <w:spacing w:before="240"/>
        <w:jc w:val="both"/>
      </w:pPr>
    </w:p>
    <w:p w14:paraId="6C58B30E" w14:textId="77777777" w:rsidR="00DD0568" w:rsidRDefault="00DD0568" w:rsidP="00DD0568">
      <w:pPr>
        <w:spacing w:before="240"/>
        <w:jc w:val="both"/>
      </w:pPr>
    </w:p>
    <w:p w14:paraId="21DA0EE8" w14:textId="77777777" w:rsidR="00DD0568" w:rsidRDefault="00DD0568" w:rsidP="00DD0568">
      <w:pPr>
        <w:spacing w:before="240"/>
        <w:jc w:val="both"/>
      </w:pPr>
      <w:r w:rsidRPr="008D3420">
        <w:lastRenderedPageBreak/>
        <w:t xml:space="preserve">Table S1. Thermal properties of </w:t>
      </w:r>
      <w:r>
        <w:t>DAT</w:t>
      </w:r>
      <w:r w:rsidRPr="008D3420">
        <w:t xml:space="preserve"> </w:t>
      </w:r>
    </w:p>
    <w:tbl>
      <w:tblPr>
        <w:tblStyle w:val="a5"/>
        <w:tblW w:w="0" w:type="auto"/>
        <w:tblLook w:val="04A0" w:firstRow="1" w:lastRow="0" w:firstColumn="1" w:lastColumn="0" w:noHBand="0" w:noVBand="1"/>
      </w:tblPr>
      <w:tblGrid>
        <w:gridCol w:w="2122"/>
        <w:gridCol w:w="6367"/>
      </w:tblGrid>
      <w:tr w:rsidR="00DD0568" w14:paraId="0D577237" w14:textId="77777777" w:rsidTr="00804291">
        <w:trPr>
          <w:trHeight w:val="340"/>
        </w:trPr>
        <w:tc>
          <w:tcPr>
            <w:tcW w:w="8489" w:type="dxa"/>
            <w:gridSpan w:val="2"/>
            <w:tcBorders>
              <w:left w:val="nil"/>
              <w:right w:val="nil"/>
            </w:tcBorders>
            <w:vAlign w:val="center"/>
          </w:tcPr>
          <w:p w14:paraId="457AA6A2" w14:textId="77777777" w:rsidR="00DD0568" w:rsidRPr="00523560" w:rsidRDefault="00DD0568" w:rsidP="00804291">
            <w:pPr>
              <w:spacing w:line="240" w:lineRule="auto"/>
              <w:jc w:val="center"/>
              <w:rPr>
                <w:b/>
              </w:rPr>
            </w:pPr>
            <w:r w:rsidRPr="00523560">
              <w:rPr>
                <w:rFonts w:hint="eastAsia"/>
                <w:b/>
                <w:sz w:val="20"/>
                <w:szCs w:val="20"/>
              </w:rPr>
              <w:t xml:space="preserve">Phase transition temperature / </w:t>
            </w:r>
            <w:r w:rsidRPr="00523560">
              <w:rPr>
                <w:rFonts w:hint="eastAsia"/>
                <w:b/>
                <w:sz w:val="20"/>
                <w:szCs w:val="20"/>
                <w:vertAlign w:val="superscript"/>
              </w:rPr>
              <w:t>o</w:t>
            </w:r>
            <w:r w:rsidRPr="00523560">
              <w:rPr>
                <w:rFonts w:hint="eastAsia"/>
                <w:b/>
                <w:sz w:val="20"/>
                <w:szCs w:val="20"/>
              </w:rPr>
              <w:t>C</w:t>
            </w:r>
          </w:p>
        </w:tc>
      </w:tr>
      <w:tr w:rsidR="00DD0568" w14:paraId="0A426697" w14:textId="77777777" w:rsidTr="00804291">
        <w:trPr>
          <w:trHeight w:val="340"/>
        </w:trPr>
        <w:tc>
          <w:tcPr>
            <w:tcW w:w="2122" w:type="dxa"/>
            <w:tcBorders>
              <w:left w:val="nil"/>
              <w:bottom w:val="nil"/>
              <w:right w:val="nil"/>
            </w:tcBorders>
            <w:vAlign w:val="center"/>
          </w:tcPr>
          <w:p w14:paraId="6EC567E4" w14:textId="77777777" w:rsidR="00DD0568" w:rsidRDefault="00DD0568" w:rsidP="00804291">
            <w:pPr>
              <w:spacing w:line="240" w:lineRule="auto"/>
              <w:jc w:val="center"/>
            </w:pPr>
            <w:r>
              <w:rPr>
                <w:rFonts w:hint="eastAsia"/>
                <w:sz w:val="20"/>
                <w:szCs w:val="20"/>
              </w:rPr>
              <w:t>Heating cycle</w:t>
            </w:r>
          </w:p>
        </w:tc>
        <w:tc>
          <w:tcPr>
            <w:tcW w:w="6367" w:type="dxa"/>
            <w:tcBorders>
              <w:left w:val="nil"/>
              <w:bottom w:val="nil"/>
              <w:right w:val="nil"/>
            </w:tcBorders>
            <w:vAlign w:val="center"/>
          </w:tcPr>
          <w:p w14:paraId="262F93B6" w14:textId="77777777" w:rsidR="00DD0568" w:rsidRPr="00523560" w:rsidRDefault="00DD0568" w:rsidP="00804291">
            <w:pPr>
              <w:spacing w:line="240" w:lineRule="auto"/>
              <w:jc w:val="center"/>
              <w:rPr>
                <w:sz w:val="20"/>
              </w:rPr>
            </w:pPr>
            <w:r w:rsidRPr="00523560">
              <w:rPr>
                <w:sz w:val="20"/>
              </w:rPr>
              <w:t>Cr</w:t>
            </w:r>
            <w:r>
              <w:rPr>
                <w:sz w:val="20"/>
              </w:rPr>
              <w:t xml:space="preserve"> - </w:t>
            </w:r>
            <w:r w:rsidRPr="00523560">
              <w:rPr>
                <w:sz w:val="20"/>
              </w:rPr>
              <w:t>63.8</w:t>
            </w:r>
            <w:r>
              <w:rPr>
                <w:sz w:val="20"/>
              </w:rPr>
              <w:t xml:space="preserve"> – </w:t>
            </w:r>
            <w:proofErr w:type="spellStart"/>
            <w:r w:rsidRPr="00523560">
              <w:rPr>
                <w:sz w:val="20"/>
              </w:rPr>
              <w:t>SmA</w:t>
            </w:r>
            <w:proofErr w:type="spellEnd"/>
            <w:r>
              <w:rPr>
                <w:sz w:val="20"/>
              </w:rPr>
              <w:t xml:space="preserve"> - </w:t>
            </w:r>
            <w:r w:rsidRPr="00523560">
              <w:rPr>
                <w:sz w:val="20"/>
              </w:rPr>
              <w:t>121.0</w:t>
            </w:r>
            <w:r>
              <w:rPr>
                <w:sz w:val="20"/>
              </w:rPr>
              <w:t xml:space="preserve"> – N - 128.7 - I</w:t>
            </w:r>
          </w:p>
        </w:tc>
      </w:tr>
      <w:tr w:rsidR="00DD0568" w14:paraId="2A10EECB" w14:textId="77777777" w:rsidTr="00804291">
        <w:trPr>
          <w:trHeight w:val="340"/>
        </w:trPr>
        <w:tc>
          <w:tcPr>
            <w:tcW w:w="2122" w:type="dxa"/>
            <w:tcBorders>
              <w:top w:val="nil"/>
              <w:left w:val="nil"/>
              <w:right w:val="nil"/>
            </w:tcBorders>
            <w:vAlign w:val="center"/>
          </w:tcPr>
          <w:p w14:paraId="30666E8C" w14:textId="77777777" w:rsidR="00DD0568" w:rsidRDefault="00DD0568" w:rsidP="00804291">
            <w:pPr>
              <w:spacing w:line="240" w:lineRule="auto"/>
              <w:jc w:val="center"/>
            </w:pPr>
            <w:r>
              <w:rPr>
                <w:sz w:val="20"/>
                <w:szCs w:val="20"/>
              </w:rPr>
              <w:t>C</w:t>
            </w:r>
            <w:r>
              <w:rPr>
                <w:rFonts w:hint="eastAsia"/>
                <w:sz w:val="20"/>
                <w:szCs w:val="20"/>
              </w:rPr>
              <w:t xml:space="preserve">ooling </w:t>
            </w:r>
            <w:r>
              <w:rPr>
                <w:sz w:val="20"/>
                <w:szCs w:val="20"/>
              </w:rPr>
              <w:t>cycle</w:t>
            </w:r>
          </w:p>
        </w:tc>
        <w:tc>
          <w:tcPr>
            <w:tcW w:w="6367" w:type="dxa"/>
            <w:tcBorders>
              <w:top w:val="nil"/>
              <w:left w:val="nil"/>
              <w:bottom w:val="nil"/>
              <w:right w:val="nil"/>
            </w:tcBorders>
            <w:vAlign w:val="center"/>
          </w:tcPr>
          <w:p w14:paraId="64ABB378" w14:textId="77777777" w:rsidR="00DD0568" w:rsidRDefault="00DD0568" w:rsidP="00804291">
            <w:pPr>
              <w:spacing w:line="240" w:lineRule="auto"/>
              <w:jc w:val="center"/>
            </w:pPr>
            <w:r>
              <w:rPr>
                <w:sz w:val="20"/>
              </w:rPr>
              <w:t xml:space="preserve">I - </w:t>
            </w:r>
            <w:r w:rsidRPr="00523560">
              <w:rPr>
                <w:sz w:val="20"/>
              </w:rPr>
              <w:t>126.5</w:t>
            </w:r>
            <w:r>
              <w:rPr>
                <w:sz w:val="20"/>
              </w:rPr>
              <w:t xml:space="preserve"> – </w:t>
            </w:r>
            <w:r w:rsidRPr="00523560">
              <w:rPr>
                <w:sz w:val="20"/>
              </w:rPr>
              <w:t>N</w:t>
            </w:r>
            <w:r>
              <w:rPr>
                <w:sz w:val="20"/>
              </w:rPr>
              <w:t xml:space="preserve"> - </w:t>
            </w:r>
            <w:r w:rsidRPr="00523560">
              <w:rPr>
                <w:sz w:val="20"/>
              </w:rPr>
              <w:t>119.2</w:t>
            </w:r>
            <w:r>
              <w:rPr>
                <w:sz w:val="20"/>
              </w:rPr>
              <w:t xml:space="preserve"> – </w:t>
            </w:r>
            <w:proofErr w:type="spellStart"/>
            <w:r w:rsidRPr="00523560">
              <w:rPr>
                <w:sz w:val="20"/>
              </w:rPr>
              <w:t>SmA</w:t>
            </w:r>
            <w:proofErr w:type="spellEnd"/>
            <w:r>
              <w:rPr>
                <w:sz w:val="20"/>
              </w:rPr>
              <w:t xml:space="preserve"> - </w:t>
            </w:r>
            <w:r w:rsidRPr="00523560">
              <w:rPr>
                <w:sz w:val="20"/>
              </w:rPr>
              <w:t>33.1</w:t>
            </w:r>
            <w:r>
              <w:rPr>
                <w:sz w:val="20"/>
              </w:rPr>
              <w:t xml:space="preserve"> - </w:t>
            </w:r>
            <w:r w:rsidRPr="00523560">
              <w:rPr>
                <w:sz w:val="20"/>
              </w:rPr>
              <w:t>Cr</w:t>
            </w:r>
          </w:p>
        </w:tc>
      </w:tr>
      <w:tr w:rsidR="00DD0568" w14:paraId="7B03EA3C" w14:textId="77777777" w:rsidTr="00804291">
        <w:trPr>
          <w:trHeight w:val="340"/>
        </w:trPr>
        <w:tc>
          <w:tcPr>
            <w:tcW w:w="8489" w:type="dxa"/>
            <w:gridSpan w:val="2"/>
            <w:tcBorders>
              <w:left w:val="nil"/>
              <w:right w:val="nil"/>
            </w:tcBorders>
            <w:vAlign w:val="center"/>
          </w:tcPr>
          <w:p w14:paraId="66A5A04F" w14:textId="77777777" w:rsidR="00DD0568" w:rsidRPr="00523560" w:rsidRDefault="00DD0568" w:rsidP="00804291">
            <w:pPr>
              <w:spacing w:line="240" w:lineRule="auto"/>
              <w:jc w:val="center"/>
              <w:rPr>
                <w:b/>
              </w:rPr>
            </w:pPr>
            <w:r w:rsidRPr="00523560">
              <w:rPr>
                <w:b/>
                <w:sz w:val="20"/>
                <w:szCs w:val="20"/>
              </w:rPr>
              <w:t xml:space="preserve">TGA </w:t>
            </w:r>
            <w:r w:rsidRPr="00523560">
              <w:rPr>
                <w:rFonts w:hint="eastAsia"/>
                <w:b/>
                <w:sz w:val="20"/>
                <w:szCs w:val="20"/>
              </w:rPr>
              <w:t xml:space="preserve">decomposition temperature / </w:t>
            </w:r>
            <w:r w:rsidRPr="00523560">
              <w:rPr>
                <w:rFonts w:hint="eastAsia"/>
                <w:b/>
                <w:sz w:val="20"/>
                <w:szCs w:val="20"/>
                <w:vertAlign w:val="superscript"/>
              </w:rPr>
              <w:t>o</w:t>
            </w:r>
            <w:r w:rsidRPr="00523560">
              <w:rPr>
                <w:rFonts w:hint="eastAsia"/>
                <w:b/>
                <w:sz w:val="20"/>
                <w:szCs w:val="20"/>
              </w:rPr>
              <w:t>C</w:t>
            </w:r>
          </w:p>
        </w:tc>
      </w:tr>
      <w:tr w:rsidR="00DD0568" w14:paraId="7D2C73B6" w14:textId="77777777" w:rsidTr="00804291">
        <w:trPr>
          <w:trHeight w:val="340"/>
        </w:trPr>
        <w:tc>
          <w:tcPr>
            <w:tcW w:w="2122" w:type="dxa"/>
            <w:tcBorders>
              <w:left w:val="nil"/>
              <w:bottom w:val="nil"/>
              <w:right w:val="nil"/>
            </w:tcBorders>
            <w:vAlign w:val="center"/>
          </w:tcPr>
          <w:p w14:paraId="603E0372" w14:textId="77777777" w:rsidR="00DD0568" w:rsidRDefault="00DD0568" w:rsidP="00804291">
            <w:pPr>
              <w:spacing w:line="240" w:lineRule="auto"/>
              <w:jc w:val="center"/>
            </w:pPr>
            <w:r>
              <w:rPr>
                <w:rFonts w:hint="eastAsia"/>
                <w:sz w:val="20"/>
                <w:szCs w:val="20"/>
              </w:rPr>
              <w:t>1</w:t>
            </w:r>
            <w:r w:rsidRPr="0029072C">
              <w:rPr>
                <w:rFonts w:hint="eastAsia"/>
                <w:sz w:val="20"/>
                <w:szCs w:val="20"/>
                <w:vertAlign w:val="superscript"/>
              </w:rPr>
              <w:t>st</w:t>
            </w:r>
            <w:r>
              <w:rPr>
                <w:rFonts w:hint="eastAsia"/>
                <w:sz w:val="20"/>
                <w:szCs w:val="20"/>
              </w:rPr>
              <w:t xml:space="preserve"> </w:t>
            </w:r>
            <w:r>
              <w:rPr>
                <w:sz w:val="20"/>
                <w:szCs w:val="20"/>
              </w:rPr>
              <w:t>decomposition</w:t>
            </w:r>
          </w:p>
        </w:tc>
        <w:tc>
          <w:tcPr>
            <w:tcW w:w="6367" w:type="dxa"/>
            <w:tcBorders>
              <w:left w:val="nil"/>
              <w:bottom w:val="nil"/>
              <w:right w:val="nil"/>
            </w:tcBorders>
            <w:vAlign w:val="center"/>
          </w:tcPr>
          <w:p w14:paraId="46170BCC" w14:textId="77777777" w:rsidR="00DD0568" w:rsidRPr="00523560" w:rsidRDefault="00DD0568" w:rsidP="00804291">
            <w:pPr>
              <w:spacing w:line="240" w:lineRule="auto"/>
              <w:jc w:val="center"/>
              <w:rPr>
                <w:sz w:val="20"/>
                <w:szCs w:val="20"/>
              </w:rPr>
            </w:pPr>
            <w:r w:rsidRPr="00523560">
              <w:rPr>
                <w:rFonts w:hint="eastAsia"/>
                <w:sz w:val="20"/>
                <w:szCs w:val="20"/>
              </w:rPr>
              <w:t>293</w:t>
            </w:r>
          </w:p>
        </w:tc>
      </w:tr>
      <w:tr w:rsidR="00DD0568" w14:paraId="07C5B1F2" w14:textId="77777777" w:rsidTr="00804291">
        <w:trPr>
          <w:trHeight w:val="340"/>
        </w:trPr>
        <w:tc>
          <w:tcPr>
            <w:tcW w:w="2122" w:type="dxa"/>
            <w:tcBorders>
              <w:top w:val="nil"/>
              <w:left w:val="nil"/>
              <w:right w:val="nil"/>
            </w:tcBorders>
            <w:vAlign w:val="center"/>
          </w:tcPr>
          <w:p w14:paraId="2D600ED2" w14:textId="77777777" w:rsidR="00DD0568" w:rsidRDefault="00DD0568" w:rsidP="00804291">
            <w:pPr>
              <w:spacing w:line="240" w:lineRule="auto"/>
              <w:jc w:val="center"/>
            </w:pPr>
            <w:r>
              <w:rPr>
                <w:rFonts w:hint="eastAsia"/>
                <w:sz w:val="20"/>
                <w:szCs w:val="20"/>
              </w:rPr>
              <w:t>2</w:t>
            </w:r>
            <w:r w:rsidRPr="0029072C">
              <w:rPr>
                <w:rFonts w:hint="eastAsia"/>
                <w:sz w:val="20"/>
                <w:szCs w:val="20"/>
                <w:vertAlign w:val="superscript"/>
              </w:rPr>
              <w:t>nd</w:t>
            </w:r>
            <w:r>
              <w:rPr>
                <w:rFonts w:hint="eastAsia"/>
                <w:sz w:val="20"/>
                <w:szCs w:val="20"/>
              </w:rPr>
              <w:t xml:space="preserve"> </w:t>
            </w:r>
            <w:r>
              <w:rPr>
                <w:sz w:val="20"/>
                <w:szCs w:val="20"/>
              </w:rPr>
              <w:t>decomposition</w:t>
            </w:r>
          </w:p>
        </w:tc>
        <w:tc>
          <w:tcPr>
            <w:tcW w:w="6367" w:type="dxa"/>
            <w:tcBorders>
              <w:top w:val="nil"/>
              <w:left w:val="nil"/>
              <w:right w:val="nil"/>
            </w:tcBorders>
            <w:vAlign w:val="center"/>
          </w:tcPr>
          <w:p w14:paraId="592551F3" w14:textId="77777777" w:rsidR="00DD0568" w:rsidRPr="00523560" w:rsidRDefault="00DD0568" w:rsidP="00804291">
            <w:pPr>
              <w:spacing w:line="240" w:lineRule="auto"/>
              <w:jc w:val="center"/>
              <w:rPr>
                <w:rFonts w:eastAsia="맑은 고딕"/>
                <w:sz w:val="20"/>
                <w:szCs w:val="20"/>
                <w:lang w:eastAsia="ko-KR"/>
              </w:rPr>
            </w:pPr>
            <w:r>
              <w:rPr>
                <w:rFonts w:eastAsia="맑은 고딕" w:hint="eastAsia"/>
                <w:sz w:val="20"/>
                <w:szCs w:val="20"/>
                <w:lang w:eastAsia="ko-KR"/>
              </w:rPr>
              <w:t>396</w:t>
            </w:r>
          </w:p>
        </w:tc>
      </w:tr>
    </w:tbl>
    <w:p w14:paraId="46483C26" w14:textId="77777777" w:rsidR="00DD0568" w:rsidRPr="00090518" w:rsidRDefault="00DD0568" w:rsidP="00DD0568">
      <w:pPr>
        <w:jc w:val="both"/>
      </w:pPr>
    </w:p>
    <w:p w14:paraId="5C385039" w14:textId="77777777" w:rsidR="00DD0568" w:rsidRPr="00452D1D" w:rsidRDefault="00DD0568" w:rsidP="00DD0568">
      <w:pPr>
        <w:pStyle w:val="2"/>
        <w:spacing w:line="480" w:lineRule="auto"/>
        <w:jc w:val="both"/>
        <w:rPr>
          <w:rFonts w:cs="Times New Roman"/>
        </w:rPr>
      </w:pPr>
      <w:r>
        <w:rPr>
          <w:rFonts w:cs="Times New Roman"/>
        </w:rPr>
        <w:t>4</w:t>
      </w:r>
      <w:r w:rsidRPr="005E1074">
        <w:rPr>
          <w:rFonts w:cs="Times New Roman"/>
        </w:rPr>
        <w:t xml:space="preserve">. Photo-induced alignment of </w:t>
      </w:r>
      <w:r>
        <w:rPr>
          <w:rFonts w:cs="Times New Roman"/>
        </w:rPr>
        <w:t>DAT</w:t>
      </w:r>
      <w:r w:rsidRPr="005E1074">
        <w:rPr>
          <w:rFonts w:cs="Times New Roman"/>
        </w:rPr>
        <w:t>-I</w:t>
      </w:r>
      <w:r>
        <w:rPr>
          <w:rFonts w:cs="Times New Roman" w:hint="eastAsia"/>
          <w:lang w:eastAsia="zh-CN"/>
        </w:rPr>
        <w:t>TO</w:t>
      </w:r>
      <w:r w:rsidRPr="005E1074">
        <w:rPr>
          <w:rFonts w:cs="Times New Roman"/>
        </w:rPr>
        <w:t xml:space="preserve"> cell</w:t>
      </w:r>
    </w:p>
    <w:p w14:paraId="776A936A" w14:textId="77777777" w:rsidR="00DD0568" w:rsidRDefault="00DD0568" w:rsidP="000F11A7">
      <w:pPr>
        <w:spacing w:before="240"/>
        <w:jc w:val="both"/>
      </w:pPr>
      <w:r w:rsidRPr="00147194">
        <w:t xml:space="preserve">The POM images of the DAT-ITO samples </w:t>
      </w:r>
      <w:r>
        <w:t xml:space="preserve">with various LPUV exposure energy </w:t>
      </w:r>
      <w:r w:rsidRPr="00147194">
        <w:t xml:space="preserve">were </w:t>
      </w:r>
      <w:r>
        <w:t>examined</w:t>
      </w:r>
      <w:r w:rsidRPr="00147194">
        <w:t xml:space="preserve"> under crossed polarizer, as shown in Figure S3. All the POM images showed perfect dark and bright states when the alignment direction is 0 </w:t>
      </w:r>
      <w:r w:rsidRPr="00147194">
        <w:rPr>
          <w:vertAlign w:val="superscript"/>
        </w:rPr>
        <w:t>o</w:t>
      </w:r>
      <w:r w:rsidRPr="00147194">
        <w:t xml:space="preserve"> and 45 </w:t>
      </w:r>
      <w:r w:rsidRPr="00147194">
        <w:rPr>
          <w:vertAlign w:val="superscript"/>
        </w:rPr>
        <w:t>o</w:t>
      </w:r>
      <w:r w:rsidRPr="00147194">
        <w:t xml:space="preserve"> to the polarizer, respectively, which confirms the LC molecules are uniaxially aligned on the ITO surface.</w:t>
      </w:r>
    </w:p>
    <w:p w14:paraId="4EA63B40" w14:textId="77777777" w:rsidR="00DD0568" w:rsidRDefault="00DD0568" w:rsidP="00DD0568">
      <w:pPr>
        <w:jc w:val="both"/>
      </w:pPr>
      <w:r>
        <w:rPr>
          <w:noProof/>
          <w:lang w:val="en-US" w:eastAsia="ko-KR"/>
        </w:rPr>
        <w:drawing>
          <wp:inline distT="0" distB="0" distL="0" distR="0" wp14:anchorId="7C19648B" wp14:editId="753316DD">
            <wp:extent cx="5274310" cy="3168797"/>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168797"/>
                    </a:xfrm>
                    <a:prstGeom prst="rect">
                      <a:avLst/>
                    </a:prstGeom>
                    <a:noFill/>
                    <a:ln>
                      <a:noFill/>
                    </a:ln>
                  </pic:spPr>
                </pic:pic>
              </a:graphicData>
            </a:graphic>
          </wp:inline>
        </w:drawing>
      </w:r>
    </w:p>
    <w:p w14:paraId="5A3BD5E6" w14:textId="77777777" w:rsidR="00DD0568" w:rsidRDefault="00DD0568" w:rsidP="00DD0568">
      <w:pPr>
        <w:jc w:val="both"/>
      </w:pPr>
      <w:r>
        <w:rPr>
          <w:rFonts w:hint="eastAsia"/>
        </w:rPr>
        <w:t>F</w:t>
      </w:r>
      <w:r>
        <w:t>igure S3. POM</w:t>
      </w:r>
      <w:r w:rsidRPr="0032726A">
        <w:t xml:space="preserve"> images of </w:t>
      </w:r>
      <w:r>
        <w:t>DAT-</w:t>
      </w:r>
      <w:r w:rsidRPr="0032726A">
        <w:t xml:space="preserve">ITO cells </w:t>
      </w:r>
      <w:r>
        <w:t xml:space="preserve">under crossed polarizer </w:t>
      </w:r>
      <w:r w:rsidRPr="0032726A">
        <w:t>with various LPUV exposure energy.</w:t>
      </w:r>
    </w:p>
    <w:p w14:paraId="4489B59E" w14:textId="77777777" w:rsidR="00DD0568" w:rsidRDefault="00DD0568" w:rsidP="00DD0568">
      <w:pPr>
        <w:jc w:val="center"/>
      </w:pPr>
      <w:r>
        <w:rPr>
          <w:noProof/>
          <w:lang w:val="en-US" w:eastAsia="ko-KR"/>
        </w:rPr>
        <w:lastRenderedPageBreak/>
        <w:drawing>
          <wp:inline distT="0" distB="0" distL="0" distR="0" wp14:anchorId="44010B8E" wp14:editId="77251662">
            <wp:extent cx="4323283" cy="301804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0854" cy="3023329"/>
                    </a:xfrm>
                    <a:prstGeom prst="rect">
                      <a:avLst/>
                    </a:prstGeom>
                    <a:noFill/>
                    <a:ln>
                      <a:noFill/>
                    </a:ln>
                  </pic:spPr>
                </pic:pic>
              </a:graphicData>
            </a:graphic>
          </wp:inline>
        </w:drawing>
      </w:r>
    </w:p>
    <w:p w14:paraId="720938CD" w14:textId="77777777" w:rsidR="00DD0568" w:rsidRDefault="00DD0568" w:rsidP="00DD0568">
      <w:pPr>
        <w:spacing w:before="240" w:line="360" w:lineRule="auto"/>
        <w:jc w:val="both"/>
      </w:pPr>
      <w:r>
        <w:t xml:space="preserve">Figure </w:t>
      </w:r>
      <w:r>
        <w:rPr>
          <w:rFonts w:hint="eastAsia"/>
          <w:lang w:eastAsia="zh-CN"/>
        </w:rPr>
        <w:t>S4</w:t>
      </w:r>
      <w:r>
        <w:t>. Light leakage of the DAT-ITO cell with respect to the LPUV exposure energy.</w:t>
      </w:r>
    </w:p>
    <w:p w14:paraId="66D4F879" w14:textId="77777777" w:rsidR="00DD0568" w:rsidRDefault="00DD0568" w:rsidP="00DD0568">
      <w:pPr>
        <w:jc w:val="both"/>
      </w:pPr>
    </w:p>
    <w:p w14:paraId="134D184B" w14:textId="77777777" w:rsidR="00DD0568" w:rsidRPr="00133387" w:rsidRDefault="00DD0568" w:rsidP="00DD0568">
      <w:pPr>
        <w:pStyle w:val="2"/>
        <w:spacing w:line="480" w:lineRule="auto"/>
        <w:jc w:val="both"/>
        <w:rPr>
          <w:rFonts w:cs="Times New Roman"/>
          <w:sz w:val="72"/>
        </w:rPr>
      </w:pPr>
      <w:r>
        <w:rPr>
          <w:rFonts w:cs="Times New Roman"/>
        </w:rPr>
        <w:t>5</w:t>
      </w:r>
      <w:r w:rsidRPr="005E1074">
        <w:rPr>
          <w:rFonts w:cs="Times New Roman"/>
        </w:rPr>
        <w:t xml:space="preserve">. </w:t>
      </w:r>
      <w:r w:rsidRPr="005E1074">
        <w:rPr>
          <w:rFonts w:cs="Times New Roman"/>
          <w:color w:val="000000" w:themeColor="text1"/>
        </w:rPr>
        <w:t xml:space="preserve">Electro-optic properties of </w:t>
      </w:r>
      <w:r>
        <w:rPr>
          <w:rFonts w:cs="Times New Roman"/>
          <w:color w:val="000000" w:themeColor="text1"/>
        </w:rPr>
        <w:t>DAT</w:t>
      </w:r>
      <w:r w:rsidRPr="005E1074">
        <w:rPr>
          <w:rFonts w:cs="Times New Roman"/>
          <w:color w:val="000000" w:themeColor="text1"/>
        </w:rPr>
        <w:t>-IPS and PI-IPS cells</w:t>
      </w:r>
    </w:p>
    <w:p w14:paraId="0FA9C306" w14:textId="77777777" w:rsidR="00DD0568" w:rsidRDefault="00DD0568" w:rsidP="000F11A7">
      <w:pPr>
        <w:spacing w:before="240"/>
        <w:jc w:val="both"/>
      </w:pPr>
      <w:r w:rsidRPr="00133387">
        <w:t xml:space="preserve">In </w:t>
      </w:r>
      <w:r>
        <w:t>Figure S5</w:t>
      </w:r>
      <w:r w:rsidRPr="00133387">
        <w:t xml:space="preserve"> (a) and (b), POM images of </w:t>
      </w:r>
      <w:r>
        <w:t>DAT</w:t>
      </w:r>
      <w:r w:rsidRPr="00133387">
        <w:t xml:space="preserve">-IPS and PI-IPS cells at various applied voltages are displayed. In both cases, </w:t>
      </w:r>
      <w:r w:rsidRPr="00133387">
        <w:rPr>
          <w:color w:val="000000" w:themeColor="text1"/>
        </w:rPr>
        <w:t xml:space="preserve">the transmittance increased with increasing applied voltage from 0 to </w:t>
      </w:r>
      <w:r>
        <w:rPr>
          <w:color w:val="000000" w:themeColor="text1"/>
        </w:rPr>
        <w:t>7.7</w:t>
      </w:r>
      <w:r w:rsidRPr="00133387">
        <w:rPr>
          <w:color w:val="000000" w:themeColor="text1"/>
        </w:rPr>
        <w:t xml:space="preserve"> V</w:t>
      </w:r>
      <w:r>
        <w:rPr>
          <w:color w:val="000000" w:themeColor="text1"/>
        </w:rPr>
        <w:t xml:space="preserve">. </w:t>
      </w:r>
      <w:r>
        <w:rPr>
          <w:rFonts w:hint="eastAsia"/>
          <w:color w:val="000000" w:themeColor="text1"/>
          <w:lang w:eastAsia="zh-CN"/>
        </w:rPr>
        <w:t>T</w:t>
      </w:r>
      <w:r>
        <w:rPr>
          <w:color w:val="000000" w:themeColor="text1"/>
        </w:rPr>
        <w:t xml:space="preserve">he DAT-IPS cell and PI-IPS cell exhibited the </w:t>
      </w:r>
      <w:proofErr w:type="spellStart"/>
      <w:r>
        <w:rPr>
          <w:color w:val="000000" w:themeColor="text1"/>
        </w:rPr>
        <w:t>gray</w:t>
      </w:r>
      <w:proofErr w:type="spellEnd"/>
      <w:r>
        <w:rPr>
          <w:color w:val="000000" w:themeColor="text1"/>
        </w:rPr>
        <w:t xml:space="preserve"> scale images almost at the same level</w:t>
      </w:r>
      <w:r w:rsidRPr="00133387">
        <w:rPr>
          <w:color w:val="000000" w:themeColor="text1"/>
        </w:rPr>
        <w:t>.</w:t>
      </w:r>
      <w:r w:rsidRPr="00ED316C">
        <w:rPr>
          <w:color w:val="000000" w:themeColor="text1"/>
        </w:rPr>
        <w:t xml:space="preserve"> Moreover, the voltage-dependent response time of DAT-IPS and PI-IPS cells were measured at various applied voltages as shown in Figure S</w:t>
      </w:r>
      <w:r>
        <w:rPr>
          <w:color w:val="000000" w:themeColor="text1"/>
        </w:rPr>
        <w:t>6</w:t>
      </w:r>
      <w:r w:rsidRPr="00ED316C">
        <w:rPr>
          <w:color w:val="000000" w:themeColor="text1"/>
        </w:rPr>
        <w:t>. The rise time (</w:t>
      </w:r>
      <w:proofErr w:type="spellStart"/>
      <w:r w:rsidRPr="00ED316C">
        <w:rPr>
          <w:color w:val="000000" w:themeColor="text1"/>
        </w:rPr>
        <w:t>τ</w:t>
      </w:r>
      <w:r w:rsidRPr="00ED316C">
        <w:rPr>
          <w:color w:val="000000" w:themeColor="text1"/>
          <w:vertAlign w:val="subscript"/>
        </w:rPr>
        <w:t>r</w:t>
      </w:r>
      <w:proofErr w:type="spellEnd"/>
      <w:r w:rsidRPr="00ED316C">
        <w:rPr>
          <w:color w:val="000000" w:themeColor="text1"/>
        </w:rPr>
        <w:t xml:space="preserve">) of DAT-IPS and PI-IPS cells are </w:t>
      </w:r>
      <w:r>
        <w:rPr>
          <w:color w:val="000000" w:themeColor="text1"/>
        </w:rPr>
        <w:t>20.9</w:t>
      </w:r>
      <w:r w:rsidRPr="00ED316C">
        <w:rPr>
          <w:color w:val="000000" w:themeColor="text1"/>
        </w:rPr>
        <w:t xml:space="preserve"> and </w:t>
      </w:r>
      <w:r>
        <w:rPr>
          <w:color w:val="000000" w:themeColor="text1"/>
        </w:rPr>
        <w:t>20.5</w:t>
      </w:r>
      <w:r w:rsidRPr="00ED316C">
        <w:rPr>
          <w:color w:val="000000" w:themeColor="text1"/>
        </w:rPr>
        <w:t xml:space="preserve"> </w:t>
      </w:r>
      <w:proofErr w:type="spellStart"/>
      <w:r w:rsidRPr="00ED316C">
        <w:rPr>
          <w:color w:val="000000" w:themeColor="text1"/>
        </w:rPr>
        <w:t>ms</w:t>
      </w:r>
      <w:proofErr w:type="spellEnd"/>
      <w:r w:rsidRPr="00ED316C">
        <w:rPr>
          <w:color w:val="000000" w:themeColor="text1"/>
        </w:rPr>
        <w:t>, and the decay time (</w:t>
      </w:r>
      <w:proofErr w:type="spellStart"/>
      <w:r w:rsidRPr="00ED316C">
        <w:rPr>
          <w:color w:val="000000" w:themeColor="text1"/>
        </w:rPr>
        <w:t>τ</w:t>
      </w:r>
      <w:r w:rsidRPr="00ED316C">
        <w:rPr>
          <w:color w:val="000000" w:themeColor="text1"/>
          <w:vertAlign w:val="subscript"/>
        </w:rPr>
        <w:t>d</w:t>
      </w:r>
      <w:proofErr w:type="spellEnd"/>
      <w:r w:rsidRPr="00ED316C">
        <w:rPr>
          <w:color w:val="000000" w:themeColor="text1"/>
        </w:rPr>
        <w:t xml:space="preserve">) of </w:t>
      </w:r>
      <w:r>
        <w:rPr>
          <w:color w:val="000000" w:themeColor="text1"/>
        </w:rPr>
        <w:t>DAT</w:t>
      </w:r>
      <w:r w:rsidRPr="00ED316C">
        <w:rPr>
          <w:color w:val="000000" w:themeColor="text1"/>
        </w:rPr>
        <w:t xml:space="preserve">-IPS and PI-IPS cells are </w:t>
      </w:r>
      <w:r>
        <w:rPr>
          <w:color w:val="000000" w:themeColor="text1"/>
        </w:rPr>
        <w:t>22</w:t>
      </w:r>
      <w:r w:rsidRPr="00ED316C">
        <w:rPr>
          <w:color w:val="000000" w:themeColor="text1"/>
        </w:rPr>
        <w:t xml:space="preserve">.3 and </w:t>
      </w:r>
      <w:r>
        <w:rPr>
          <w:color w:val="000000" w:themeColor="text1"/>
        </w:rPr>
        <w:t>21.8</w:t>
      </w:r>
      <w:r w:rsidRPr="00ED316C">
        <w:rPr>
          <w:color w:val="000000" w:themeColor="text1"/>
        </w:rPr>
        <w:t xml:space="preserve"> </w:t>
      </w:r>
      <w:proofErr w:type="spellStart"/>
      <w:r w:rsidRPr="00ED316C">
        <w:rPr>
          <w:color w:val="000000" w:themeColor="text1"/>
        </w:rPr>
        <w:t>ms</w:t>
      </w:r>
      <w:proofErr w:type="spellEnd"/>
      <w:r w:rsidRPr="00ED316C">
        <w:rPr>
          <w:color w:val="000000" w:themeColor="text1"/>
        </w:rPr>
        <w:t>, respectively. The results further c</w:t>
      </w:r>
      <w:r w:rsidRPr="00133387">
        <w:t xml:space="preserve">onfirmed that the </w:t>
      </w:r>
      <w:r>
        <w:t xml:space="preserve">DAT-IPS cell exhibited comparable </w:t>
      </w:r>
      <w:r w:rsidRPr="00133387">
        <w:t>electro-optic switching propert</w:t>
      </w:r>
      <w:r>
        <w:t>ies to the conventional PI-IPS cell</w:t>
      </w:r>
      <w:r w:rsidRPr="00133387">
        <w:t>.</w:t>
      </w:r>
    </w:p>
    <w:p w14:paraId="7EAB857B" w14:textId="77777777" w:rsidR="00DD0568" w:rsidRDefault="00DD0568" w:rsidP="00DD0568">
      <w:pPr>
        <w:tabs>
          <w:tab w:val="left" w:pos="8021"/>
        </w:tabs>
        <w:spacing w:before="240"/>
        <w:jc w:val="center"/>
      </w:pPr>
      <w:r>
        <w:rPr>
          <w:noProof/>
          <w:lang w:val="en-US" w:eastAsia="ko-KR"/>
        </w:rPr>
        <w:lastRenderedPageBreak/>
        <w:drawing>
          <wp:inline distT="0" distB="0" distL="0" distR="0" wp14:anchorId="64D89899" wp14:editId="64630E1B">
            <wp:extent cx="2809036" cy="59638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9573" cy="6028725"/>
                    </a:xfrm>
                    <a:prstGeom prst="rect">
                      <a:avLst/>
                    </a:prstGeom>
                    <a:noFill/>
                    <a:ln>
                      <a:noFill/>
                    </a:ln>
                  </pic:spPr>
                </pic:pic>
              </a:graphicData>
            </a:graphic>
          </wp:inline>
        </w:drawing>
      </w:r>
    </w:p>
    <w:p w14:paraId="152CCAC1" w14:textId="77777777" w:rsidR="00DD0568" w:rsidRDefault="00DD0568" w:rsidP="00DD0568">
      <w:pPr>
        <w:spacing w:before="240"/>
        <w:jc w:val="both"/>
      </w:pPr>
      <w:r>
        <w:t xml:space="preserve">Figure S5. POM </w:t>
      </w:r>
      <w:proofErr w:type="spellStart"/>
      <w:r>
        <w:t>gray</w:t>
      </w:r>
      <w:proofErr w:type="spellEnd"/>
      <w:r>
        <w:t xml:space="preserve">-scale images of </w:t>
      </w:r>
      <w:r>
        <w:rPr>
          <w:rFonts w:hint="eastAsia"/>
        </w:rPr>
        <w:t>DAT</w:t>
      </w:r>
      <w:r>
        <w:t xml:space="preserve">-IPS and PI-IPS cells at various applied voltages. (a) </w:t>
      </w:r>
      <w:r>
        <w:rPr>
          <w:rFonts w:hint="eastAsia"/>
        </w:rPr>
        <w:t>DAT</w:t>
      </w:r>
      <w:r>
        <w:t>-IPS cell and (b) PI-IPS cell.</w:t>
      </w:r>
    </w:p>
    <w:p w14:paraId="726B0662" w14:textId="77777777" w:rsidR="00DD0568" w:rsidRDefault="00DD0568" w:rsidP="00DD0568">
      <w:pPr>
        <w:jc w:val="both"/>
      </w:pPr>
    </w:p>
    <w:p w14:paraId="0EE0C741" w14:textId="77777777" w:rsidR="00DD0568" w:rsidRDefault="00DD0568" w:rsidP="00DD0568">
      <w:pPr>
        <w:tabs>
          <w:tab w:val="left" w:pos="8021"/>
        </w:tabs>
        <w:spacing w:before="240"/>
        <w:jc w:val="center"/>
      </w:pPr>
      <w:r>
        <w:rPr>
          <w:noProof/>
          <w:lang w:val="en-US" w:eastAsia="ko-KR"/>
        </w:rPr>
        <w:lastRenderedPageBreak/>
        <w:drawing>
          <wp:inline distT="0" distB="0" distL="0" distR="0" wp14:anchorId="47210A8F" wp14:editId="599EE73D">
            <wp:extent cx="4864608" cy="339924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8215" cy="3401769"/>
                    </a:xfrm>
                    <a:prstGeom prst="rect">
                      <a:avLst/>
                    </a:prstGeom>
                    <a:noFill/>
                    <a:ln>
                      <a:noFill/>
                    </a:ln>
                  </pic:spPr>
                </pic:pic>
              </a:graphicData>
            </a:graphic>
          </wp:inline>
        </w:drawing>
      </w:r>
    </w:p>
    <w:p w14:paraId="6048C095" w14:textId="77777777" w:rsidR="00DD0568" w:rsidRDefault="00DD0568" w:rsidP="00DD0568">
      <w:pPr>
        <w:spacing w:before="240"/>
        <w:jc w:val="both"/>
      </w:pPr>
      <w:r>
        <w:t>Figure S6. V</w:t>
      </w:r>
      <w:r w:rsidRPr="00ED316C">
        <w:t>oltage-dependent response time of DAT-IPS and PI-IPS cells</w:t>
      </w:r>
      <w:r>
        <w:t>.</w:t>
      </w:r>
    </w:p>
    <w:p w14:paraId="4277075F" w14:textId="77777777" w:rsidR="00DD0568" w:rsidRDefault="00DD0568" w:rsidP="00DD0568">
      <w:pPr>
        <w:spacing w:before="240"/>
        <w:jc w:val="both"/>
      </w:pPr>
    </w:p>
    <w:p w14:paraId="1EE1C8B5" w14:textId="1C3A5428" w:rsidR="000F11A7" w:rsidRPr="00EF2044" w:rsidRDefault="00DD0568" w:rsidP="000F11A7">
      <w:pPr>
        <w:spacing w:before="360" w:after="60" w:line="360" w:lineRule="auto"/>
        <w:ind w:right="567"/>
        <w:jc w:val="both"/>
        <w:outlineLvl w:val="0"/>
        <w:rPr>
          <w:b/>
          <w:bCs/>
          <w:lang w:val="en-US"/>
        </w:rPr>
      </w:pPr>
      <w:r w:rsidRPr="00EF2044">
        <w:rPr>
          <w:b/>
          <w:bCs/>
          <w:lang w:val="en-US"/>
        </w:rPr>
        <w:t>References</w:t>
      </w:r>
    </w:p>
    <w:p w14:paraId="4D8E822C" w14:textId="50507398" w:rsidR="0029112F" w:rsidRPr="0029112F" w:rsidRDefault="000F11A7" w:rsidP="0029112F">
      <w:pPr>
        <w:pStyle w:val="EndNoteBibliography"/>
        <w:ind w:left="720" w:hanging="720"/>
      </w:pPr>
      <w:r>
        <w:fldChar w:fldCharType="begin"/>
      </w:r>
      <w:r>
        <w:instrText xml:space="preserve"> ADDIN EN.REFLIST </w:instrText>
      </w:r>
      <w:r>
        <w:fldChar w:fldCharType="separate"/>
      </w:r>
      <w:r w:rsidR="0029112F" w:rsidRPr="0029112F">
        <w:t>[1]</w:t>
      </w:r>
      <w:r w:rsidR="0029112F" w:rsidRPr="0029112F">
        <w:tab/>
        <w:t xml:space="preserve">Broer DJ, Boven J, Mol GN, et al. In-situ photopolymerization of oriented liquid-crystalline acrylates, 3. Oriented polymer networks from a mesogenic diacrylate. </w:t>
      </w:r>
      <w:r w:rsidR="0029112F">
        <w:rPr>
          <w:rFonts w:hint="eastAsia"/>
        </w:rPr>
        <w:t>Macromol</w:t>
      </w:r>
      <w:r w:rsidR="0029112F">
        <w:t xml:space="preserve"> </w:t>
      </w:r>
      <w:r w:rsidR="0029112F">
        <w:rPr>
          <w:rFonts w:hint="eastAsia"/>
        </w:rPr>
        <w:t>Chem</w:t>
      </w:r>
      <w:r w:rsidR="0029112F">
        <w:t xml:space="preserve"> </w:t>
      </w:r>
      <w:r w:rsidR="0029112F">
        <w:rPr>
          <w:rFonts w:hint="eastAsia"/>
        </w:rPr>
        <w:t>Phys</w:t>
      </w:r>
      <w:r w:rsidR="0029112F" w:rsidRPr="0029112F">
        <w:t>. 1989;190(9):2255-2268.</w:t>
      </w:r>
    </w:p>
    <w:p w14:paraId="53D51C38" w14:textId="467778C9" w:rsidR="009F7EBB" w:rsidRPr="00DD0568" w:rsidRDefault="000F11A7">
      <w:pPr>
        <w:rPr>
          <w:lang w:val="en-US"/>
        </w:rPr>
      </w:pPr>
      <w:r>
        <w:rPr>
          <w:lang w:val="en-US"/>
        </w:rPr>
        <w:fldChar w:fldCharType="end"/>
      </w:r>
    </w:p>
    <w:sectPr w:rsidR="009F7EBB" w:rsidRPr="00DD0568" w:rsidSect="00074B81">
      <w:headerReference w:type="default" r:id="rId14"/>
      <w:footerReference w:type="default" r:id="rId15"/>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3E836" w14:textId="77777777" w:rsidR="00BF6C49" w:rsidRDefault="00BF6C49" w:rsidP="00DD0568">
      <w:pPr>
        <w:spacing w:line="240" w:lineRule="auto"/>
      </w:pPr>
      <w:r>
        <w:separator/>
      </w:r>
    </w:p>
  </w:endnote>
  <w:endnote w:type="continuationSeparator" w:id="0">
    <w:p w14:paraId="57F23BB8" w14:textId="77777777" w:rsidR="00BF6C49" w:rsidRDefault="00BF6C49" w:rsidP="00DD05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8F5A6" w14:textId="77777777" w:rsidR="00FC3E7B" w:rsidRDefault="00CB3A70" w:rsidP="007232C5">
    <w:pPr>
      <w:pStyle w:val="a4"/>
      <w:jc w:val="center"/>
    </w:pPr>
    <w:r>
      <w:fldChar w:fldCharType="begin"/>
    </w:r>
    <w:r>
      <w:instrText>PAGE   \* MERGEFORMAT</w:instrText>
    </w:r>
    <w:r>
      <w:fldChar w:fldCharType="separate"/>
    </w:r>
    <w:r>
      <w:rPr>
        <w:noProof/>
      </w:rPr>
      <w:t>38</w:t>
    </w:r>
    <w:r>
      <w:fldChar w:fldCharType="end"/>
    </w:r>
  </w:p>
  <w:p w14:paraId="6804D810" w14:textId="77777777" w:rsidR="00FC3E7B" w:rsidRDefault="00BF6C49">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31C23E" w14:textId="77777777" w:rsidR="00BF6C49" w:rsidRDefault="00BF6C49" w:rsidP="00DD0568">
      <w:pPr>
        <w:spacing w:line="240" w:lineRule="auto"/>
      </w:pPr>
      <w:r>
        <w:separator/>
      </w:r>
    </w:p>
  </w:footnote>
  <w:footnote w:type="continuationSeparator" w:id="0">
    <w:p w14:paraId="670F806F" w14:textId="77777777" w:rsidR="00BF6C49" w:rsidRDefault="00BF6C49" w:rsidP="00DD05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0074" w14:textId="77777777" w:rsidR="00FC3E7B" w:rsidRDefault="00BF6C49" w:rsidP="007232C5">
    <w:pPr>
      <w:pStyle w:val="a3"/>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iquid Crystals new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svsarx8exr0lepvt5p2dzqrdttfta22pdz&quot;&gt;My EndNote Library&lt;record-ids&gt;&lt;item&gt;45&lt;/item&gt;&lt;/record-ids&gt;&lt;/item&gt;&lt;/Libraries&gt;"/>
  </w:docVars>
  <w:rsids>
    <w:rsidRoot w:val="00A828D8"/>
    <w:rsid w:val="000A10E0"/>
    <w:rsid w:val="000F11A7"/>
    <w:rsid w:val="0029112F"/>
    <w:rsid w:val="002E63A3"/>
    <w:rsid w:val="0038404A"/>
    <w:rsid w:val="007548DE"/>
    <w:rsid w:val="00A828D8"/>
    <w:rsid w:val="00B6558C"/>
    <w:rsid w:val="00BF6C49"/>
    <w:rsid w:val="00CB3A70"/>
    <w:rsid w:val="00DD0568"/>
    <w:rsid w:val="00EF20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EE917"/>
  <w15:chartTrackingRefBased/>
  <w15:docId w15:val="{69E8C645-A022-41AC-A475-DB91FBC5D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D0568"/>
    <w:pPr>
      <w:spacing w:line="480" w:lineRule="auto"/>
    </w:pPr>
    <w:rPr>
      <w:rFonts w:ascii="Times New Roman" w:hAnsi="Times New Roman" w:cs="Times New Roman"/>
      <w:kern w:val="0"/>
      <w:sz w:val="24"/>
      <w:szCs w:val="24"/>
      <w:lang w:val="en-GB" w:eastAsia="en-GB"/>
    </w:rPr>
  </w:style>
  <w:style w:type="paragraph" w:styleId="2">
    <w:name w:val="heading 2"/>
    <w:basedOn w:val="a"/>
    <w:next w:val="a"/>
    <w:link w:val="2Char"/>
    <w:qFormat/>
    <w:rsid w:val="00DD0568"/>
    <w:pPr>
      <w:keepNext/>
      <w:spacing w:before="360" w:after="60" w:line="360" w:lineRule="auto"/>
      <w:ind w:right="567"/>
      <w:contextualSpacing/>
      <w:outlineLvl w:val="1"/>
    </w:pPr>
    <w:rPr>
      <w:rFonts w:cs="Arial"/>
      <w:b/>
      <w:bCs/>
      <w:i/>
      <w:iCs/>
      <w:szCs w:val="28"/>
    </w:rPr>
  </w:style>
  <w:style w:type="paragraph" w:styleId="4">
    <w:name w:val="heading 4"/>
    <w:basedOn w:val="a"/>
    <w:next w:val="a"/>
    <w:link w:val="4Char"/>
    <w:uiPriority w:val="9"/>
    <w:qFormat/>
    <w:rsid w:val="00DD0568"/>
    <w:pPr>
      <w:widowControl w:val="0"/>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D0568"/>
    <w:pPr>
      <w:widowControl w:val="0"/>
      <w:pBdr>
        <w:bottom w:val="single" w:sz="6" w:space="1" w:color="auto"/>
      </w:pBdr>
      <w:tabs>
        <w:tab w:val="center" w:pos="4153"/>
        <w:tab w:val="right" w:pos="8306"/>
      </w:tabs>
      <w:snapToGrid w:val="0"/>
      <w:spacing w:line="240" w:lineRule="auto"/>
      <w:jc w:val="center"/>
    </w:pPr>
    <w:rPr>
      <w:rFonts w:asciiTheme="minorHAnsi" w:hAnsiTheme="minorHAnsi" w:cstheme="minorBidi"/>
      <w:kern w:val="2"/>
      <w:sz w:val="18"/>
      <w:szCs w:val="18"/>
      <w:lang w:val="en-US" w:eastAsia="zh-CN"/>
    </w:rPr>
  </w:style>
  <w:style w:type="character" w:customStyle="1" w:styleId="Char">
    <w:name w:val="머리글 Char"/>
    <w:basedOn w:val="a0"/>
    <w:link w:val="a3"/>
    <w:uiPriority w:val="99"/>
    <w:rsid w:val="00DD0568"/>
    <w:rPr>
      <w:sz w:val="18"/>
      <w:szCs w:val="18"/>
    </w:rPr>
  </w:style>
  <w:style w:type="paragraph" w:styleId="a4">
    <w:name w:val="footer"/>
    <w:basedOn w:val="a"/>
    <w:link w:val="Char0"/>
    <w:uiPriority w:val="99"/>
    <w:unhideWhenUsed/>
    <w:rsid w:val="00DD0568"/>
    <w:pPr>
      <w:widowControl w:val="0"/>
      <w:tabs>
        <w:tab w:val="center" w:pos="4153"/>
        <w:tab w:val="right" w:pos="8306"/>
      </w:tabs>
      <w:snapToGrid w:val="0"/>
      <w:spacing w:line="240" w:lineRule="auto"/>
    </w:pPr>
    <w:rPr>
      <w:rFonts w:asciiTheme="minorHAnsi" w:hAnsiTheme="minorHAnsi" w:cstheme="minorBidi"/>
      <w:kern w:val="2"/>
      <w:sz w:val="18"/>
      <w:szCs w:val="18"/>
      <w:lang w:val="en-US" w:eastAsia="zh-CN"/>
    </w:rPr>
  </w:style>
  <w:style w:type="character" w:customStyle="1" w:styleId="Char0">
    <w:name w:val="바닥글 Char"/>
    <w:basedOn w:val="a0"/>
    <w:link w:val="a4"/>
    <w:uiPriority w:val="99"/>
    <w:rsid w:val="00DD0568"/>
    <w:rPr>
      <w:sz w:val="18"/>
      <w:szCs w:val="18"/>
    </w:rPr>
  </w:style>
  <w:style w:type="character" w:customStyle="1" w:styleId="2Char">
    <w:name w:val="제목 2 Char"/>
    <w:basedOn w:val="a0"/>
    <w:link w:val="2"/>
    <w:rsid w:val="00DD0568"/>
    <w:rPr>
      <w:rFonts w:ascii="Times New Roman" w:hAnsi="Times New Roman" w:cs="Arial"/>
      <w:b/>
      <w:bCs/>
      <w:i/>
      <w:iCs/>
      <w:kern w:val="0"/>
      <w:sz w:val="24"/>
      <w:szCs w:val="28"/>
      <w:lang w:val="en-GB" w:eastAsia="en-GB"/>
    </w:rPr>
  </w:style>
  <w:style w:type="character" w:customStyle="1" w:styleId="4Char">
    <w:name w:val="제목 4 Char"/>
    <w:basedOn w:val="a0"/>
    <w:link w:val="4"/>
    <w:uiPriority w:val="9"/>
    <w:rsid w:val="00DD0568"/>
    <w:rPr>
      <w:rFonts w:ascii="Times New Roman" w:hAnsi="Times New Roman" w:cs="Times New Roman"/>
      <w:bCs/>
      <w:kern w:val="0"/>
      <w:sz w:val="24"/>
      <w:szCs w:val="28"/>
      <w:lang w:val="en-GB" w:eastAsia="en-GB"/>
    </w:rPr>
  </w:style>
  <w:style w:type="paragraph" w:customStyle="1" w:styleId="Authornames">
    <w:name w:val="Author names"/>
    <w:basedOn w:val="a"/>
    <w:next w:val="a"/>
    <w:qFormat/>
    <w:rsid w:val="00DD0568"/>
    <w:pPr>
      <w:spacing w:before="240" w:line="360" w:lineRule="auto"/>
    </w:pPr>
    <w:rPr>
      <w:sz w:val="28"/>
    </w:rPr>
  </w:style>
  <w:style w:type="paragraph" w:customStyle="1" w:styleId="Tabletitle">
    <w:name w:val="Table title"/>
    <w:basedOn w:val="a"/>
    <w:next w:val="a"/>
    <w:qFormat/>
    <w:rsid w:val="00DD0568"/>
    <w:pPr>
      <w:spacing w:before="240" w:line="360" w:lineRule="auto"/>
    </w:pPr>
  </w:style>
  <w:style w:type="table" w:styleId="a5">
    <w:name w:val="Table Grid"/>
    <w:basedOn w:val="a1"/>
    <w:uiPriority w:val="39"/>
    <w:rsid w:val="00DD0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rsid w:val="00DD0568"/>
    <w:pPr>
      <w:widowControl w:val="0"/>
      <w:spacing w:line="240" w:lineRule="auto"/>
      <w:jc w:val="both"/>
    </w:pPr>
    <w:rPr>
      <w:rFonts w:eastAsia="DengXian"/>
      <w:noProof/>
      <w:kern w:val="2"/>
      <w:szCs w:val="22"/>
      <w:lang w:val="en-US" w:eastAsia="zh-CN"/>
    </w:rPr>
  </w:style>
  <w:style w:type="character" w:customStyle="1" w:styleId="EndNoteBibliography0">
    <w:name w:val="EndNote Bibliography 字符"/>
    <w:basedOn w:val="a0"/>
    <w:link w:val="EndNoteBibliography"/>
    <w:rsid w:val="00DD0568"/>
    <w:rPr>
      <w:rFonts w:ascii="Times New Roman" w:eastAsia="DengXian" w:hAnsi="Times New Roman" w:cs="Times New Roman"/>
      <w:noProof/>
      <w:sz w:val="24"/>
    </w:rPr>
  </w:style>
  <w:style w:type="paragraph" w:customStyle="1" w:styleId="Title2">
    <w:name w:val="Title2"/>
    <w:basedOn w:val="a"/>
    <w:rsid w:val="00DD0568"/>
    <w:pPr>
      <w:spacing w:line="240" w:lineRule="auto"/>
    </w:pPr>
    <w:rPr>
      <w:rFonts w:eastAsia="MS Mincho"/>
      <w:b/>
      <w:lang w:val="en-US" w:eastAsia="ja-JP"/>
    </w:rPr>
  </w:style>
  <w:style w:type="character" w:styleId="a6">
    <w:name w:val="Hyperlink"/>
    <w:basedOn w:val="a0"/>
    <w:uiPriority w:val="99"/>
    <w:unhideWhenUsed/>
    <w:rsid w:val="000F11A7"/>
    <w:rPr>
      <w:color w:val="0563C1" w:themeColor="hyperlink"/>
      <w:u w:val="single"/>
    </w:rPr>
  </w:style>
  <w:style w:type="paragraph" w:customStyle="1" w:styleId="Addresses">
    <w:name w:val="Addresses"/>
    <w:basedOn w:val="a"/>
    <w:rsid w:val="000F11A7"/>
    <w:pPr>
      <w:spacing w:line="240" w:lineRule="auto"/>
    </w:pPr>
    <w:rPr>
      <w:rFonts w:eastAsia="MS Mincho"/>
      <w:lang w:val="en-US" w:eastAsia="ja-JP"/>
    </w:rPr>
  </w:style>
  <w:style w:type="paragraph" w:customStyle="1" w:styleId="Correspondencedetails">
    <w:name w:val="Correspondence details"/>
    <w:basedOn w:val="a"/>
    <w:qFormat/>
    <w:rsid w:val="000F11A7"/>
    <w:pPr>
      <w:spacing w:before="240" w:line="360" w:lineRule="auto"/>
    </w:pPr>
  </w:style>
  <w:style w:type="paragraph" w:customStyle="1" w:styleId="EndNoteBibliographyTitle">
    <w:name w:val="EndNote Bibliography Title"/>
    <w:basedOn w:val="a"/>
    <w:link w:val="EndNoteBibliographyTitle0"/>
    <w:rsid w:val="000F11A7"/>
    <w:pPr>
      <w:jc w:val="center"/>
    </w:pPr>
    <w:rPr>
      <w:noProof/>
    </w:rPr>
  </w:style>
  <w:style w:type="character" w:customStyle="1" w:styleId="EndNoteBibliographyTitle0">
    <w:name w:val="EndNote Bibliography Title 字符"/>
    <w:basedOn w:val="a0"/>
    <w:link w:val="EndNoteBibliographyTitle"/>
    <w:rsid w:val="000F11A7"/>
    <w:rPr>
      <w:rFonts w:ascii="Times New Roman" w:hAnsi="Times New Roman" w:cs="Times New Roman"/>
      <w:noProof/>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lsh1@jbnu.ac.kr" TargetMode="External"/><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1376</Words>
  <Characters>7848</Characters>
  <Application>Microsoft Office Word</Application>
  <DocSecurity>0</DocSecurity>
  <Lines>65</Lines>
  <Paragraphs>18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 Rui</dc:creator>
  <cp:keywords/>
  <dc:description/>
  <cp:lastModifiedBy>이명훈</cp:lastModifiedBy>
  <cp:revision>2</cp:revision>
  <dcterms:created xsi:type="dcterms:W3CDTF">2019-10-11T02:28:00Z</dcterms:created>
  <dcterms:modified xsi:type="dcterms:W3CDTF">2019-10-11T02:28:00Z</dcterms:modified>
</cp:coreProperties>
</file>