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A26" w:rsidRDefault="004F793D" w:rsidP="00066A26">
      <w:pPr>
        <w:jc w:val="center"/>
        <w:rPr>
          <w:rFonts w:ascii="Times New Roman" w:hAnsi="Times New Roman" w:cs="Times New Roman"/>
          <w:sz w:val="36"/>
          <w:szCs w:val="36"/>
        </w:rPr>
      </w:pPr>
      <w:bookmarkStart w:id="0" w:name="_GoBack"/>
      <w:bookmarkEnd w:id="0"/>
      <w:r w:rsidRPr="004F793D">
        <w:rPr>
          <w:rFonts w:ascii="Times New Roman" w:hAnsi="Times New Roman" w:cs="Times New Roman"/>
          <w:sz w:val="36"/>
          <w:szCs w:val="36"/>
        </w:rPr>
        <w:t>Supporting File</w:t>
      </w:r>
      <w:bookmarkStart w:id="1" w:name="OLE_LINK171"/>
      <w:bookmarkStart w:id="2" w:name="OLE_LINK170"/>
      <w:bookmarkStart w:id="3" w:name="OLE_LINK169"/>
    </w:p>
    <w:p w:rsidR="00066A26" w:rsidRPr="00066A26" w:rsidRDefault="00066A26" w:rsidP="00066A26">
      <w:pPr>
        <w:jc w:val="center"/>
        <w:rPr>
          <w:rFonts w:ascii="Times New Roman" w:hAnsi="Times New Roman" w:cs="Times New Roman"/>
          <w:sz w:val="36"/>
          <w:szCs w:val="36"/>
        </w:rPr>
      </w:pPr>
    </w:p>
    <w:p w:rsidR="00066A26" w:rsidRDefault="00066A26" w:rsidP="00066A26">
      <w:pPr>
        <w:spacing w:line="480" w:lineRule="auto"/>
        <w:rPr>
          <w:rFonts w:ascii="Times New Roman" w:hAnsi="Times New Roman" w:cs="Times New Roman"/>
          <w:b/>
          <w:i/>
        </w:rPr>
      </w:pPr>
      <w:r>
        <w:rPr>
          <w:rFonts w:ascii="Times New Roman" w:hAnsi="Times New Roman" w:cs="Times New Roman"/>
          <w:b/>
          <w:i/>
        </w:rPr>
        <w:t>Optimization of Instrument Parameters to the Pesticides</w:t>
      </w:r>
    </w:p>
    <w:p w:rsidR="00066A26" w:rsidRDefault="00066A26" w:rsidP="00066A26">
      <w:pPr>
        <w:spacing w:line="480" w:lineRule="auto"/>
        <w:ind w:firstLineChars="200" w:firstLine="420"/>
        <w:rPr>
          <w:rFonts w:ascii="Times New Roman" w:hAnsi="Times New Roman" w:cs="Times New Roman"/>
        </w:rPr>
      </w:pPr>
      <w:r>
        <w:rPr>
          <w:rFonts w:ascii="Times New Roman" w:eastAsia="STXingkai" w:hAnsi="Times New Roman" w:cs="Times New Roman"/>
        </w:rPr>
        <w:t xml:space="preserve">Standard solution of the pesticides </w:t>
      </w:r>
      <w:r>
        <w:rPr>
          <w:rFonts w:ascii="Times New Roman" w:hAnsi="Times New Roman" w:cs="Times New Roman"/>
        </w:rPr>
        <w:t>was used for optimizing the parameters of the instruments and developing excellent analytical methods for detection of the residue. Target compounds prepared in solvent were monitored in the scan range of 50-500 m/z to produce the best spectrum of the positively charged precursor ions. Each pesticide exhibited its highest intensity at different mass (m/z), and these peaks corresponded to their protonation ([M+H]</w:t>
      </w:r>
      <w:r>
        <w:rPr>
          <w:rFonts w:ascii="Times New Roman" w:hAnsi="Times New Roman" w:cs="Times New Roman"/>
          <w:vertAlign w:val="superscript"/>
        </w:rPr>
        <w:t>+</w:t>
      </w:r>
      <w:r>
        <w:rPr>
          <w:rFonts w:ascii="Times New Roman" w:hAnsi="Times New Roman" w:cs="Times New Roman"/>
        </w:rPr>
        <w:t>). Further, to obtain higher intensity value for each pesticide, the declustering potential voltage (DP) and collision energy (CE) for collision-induced dissociation of the precursor ions were optimized separately to provide better sensitivity and fragmentation. Taking chloran</w:t>
      </w:r>
      <w:bookmarkEnd w:id="1"/>
      <w:bookmarkEnd w:id="2"/>
      <w:bookmarkEnd w:id="3"/>
      <w:r>
        <w:rPr>
          <w:rFonts w:ascii="Times New Roman" w:hAnsi="Times New Roman" w:cs="Times New Roman"/>
        </w:rPr>
        <w:t>traniliprole as an example, CE was adjusted under the condition of a fixed CE in a wide interval (10-30V). When the CE was 17.96 V, the ion intensity and sensitivity were highest. The CE was thus fixed at 17.96 V and the DP was adjusted to obtain the maximum response of ions. The highest quantitative and qualitative ion intensity was realized when the CEs were17.96 V and 20.32 V. The mass condition of 14 pesticides was finally performed as shown in the supporting file (S1), and also their corresponding quantitative ion chromatograms are also shown in supporting file (S2).</w:t>
      </w:r>
    </w:p>
    <w:p w:rsidR="00066A26" w:rsidRDefault="00066A26" w:rsidP="004F793D">
      <w:pPr>
        <w:spacing w:line="480" w:lineRule="auto"/>
        <w:ind w:firstLineChars="200" w:firstLine="360"/>
        <w:jc w:val="center"/>
        <w:rPr>
          <w:rFonts w:ascii="Times New Roman" w:hAnsi="Times New Roman" w:cs="Times New Roman"/>
          <w:sz w:val="18"/>
          <w:szCs w:val="18"/>
        </w:rPr>
      </w:pPr>
    </w:p>
    <w:p w:rsidR="00066A26" w:rsidRDefault="00066A26" w:rsidP="004F793D">
      <w:pPr>
        <w:spacing w:line="480" w:lineRule="auto"/>
        <w:ind w:firstLineChars="200" w:firstLine="360"/>
        <w:jc w:val="center"/>
        <w:rPr>
          <w:rFonts w:ascii="Times New Roman" w:hAnsi="Times New Roman" w:cs="Times New Roman"/>
          <w:sz w:val="18"/>
          <w:szCs w:val="18"/>
        </w:rPr>
      </w:pPr>
    </w:p>
    <w:p w:rsidR="00066A26" w:rsidRDefault="00066A26" w:rsidP="004F793D">
      <w:pPr>
        <w:spacing w:line="480" w:lineRule="auto"/>
        <w:ind w:firstLineChars="200" w:firstLine="360"/>
        <w:jc w:val="center"/>
        <w:rPr>
          <w:rFonts w:ascii="Times New Roman" w:hAnsi="Times New Roman" w:cs="Times New Roman"/>
          <w:sz w:val="18"/>
          <w:szCs w:val="18"/>
        </w:rPr>
      </w:pPr>
    </w:p>
    <w:p w:rsidR="00066A26" w:rsidRDefault="00066A26" w:rsidP="004F793D">
      <w:pPr>
        <w:spacing w:line="480" w:lineRule="auto"/>
        <w:ind w:firstLineChars="200" w:firstLine="360"/>
        <w:jc w:val="center"/>
        <w:rPr>
          <w:rFonts w:ascii="Times New Roman" w:hAnsi="Times New Roman" w:cs="Times New Roman"/>
          <w:sz w:val="18"/>
          <w:szCs w:val="18"/>
        </w:rPr>
      </w:pPr>
    </w:p>
    <w:p w:rsidR="00066A26" w:rsidRDefault="00066A26" w:rsidP="004F793D">
      <w:pPr>
        <w:spacing w:line="480" w:lineRule="auto"/>
        <w:ind w:firstLineChars="200" w:firstLine="360"/>
        <w:jc w:val="center"/>
        <w:rPr>
          <w:rFonts w:ascii="Times New Roman" w:hAnsi="Times New Roman" w:cs="Times New Roman"/>
          <w:sz w:val="18"/>
          <w:szCs w:val="18"/>
        </w:rPr>
      </w:pPr>
    </w:p>
    <w:p w:rsidR="004F793D" w:rsidRDefault="004F793D" w:rsidP="00066A26">
      <w:pPr>
        <w:spacing w:line="480" w:lineRule="auto"/>
        <w:ind w:firstLineChars="200" w:firstLine="560"/>
        <w:jc w:val="center"/>
        <w:rPr>
          <w:rFonts w:ascii="Times New Roman" w:hAnsi="Times New Roman" w:cs="Times New Roman"/>
          <w:sz w:val="18"/>
          <w:szCs w:val="18"/>
        </w:rPr>
      </w:pPr>
      <w:bookmarkStart w:id="4" w:name="OLE_LINK172"/>
      <w:bookmarkStart w:id="5" w:name="OLE_LINK173"/>
      <w:r w:rsidRPr="00066A26">
        <w:rPr>
          <w:rFonts w:ascii="Times New Roman" w:hAnsi="Times New Roman" w:cs="Times New Roman" w:hint="eastAsia"/>
          <w:sz w:val="28"/>
          <w:szCs w:val="28"/>
        </w:rPr>
        <w:lastRenderedPageBreak/>
        <w:t>S1</w:t>
      </w:r>
      <w:bookmarkEnd w:id="4"/>
      <w:bookmarkEnd w:id="5"/>
      <w:r>
        <w:rPr>
          <w:rFonts w:ascii="Times New Roman" w:hAnsi="Times New Roman" w:cs="Times New Roman"/>
          <w:sz w:val="18"/>
          <w:szCs w:val="18"/>
        </w:rPr>
        <w:t xml:space="preserve"> MS/MS parameters of 14 pesticides in MRM mode. </w:t>
      </w:r>
    </w:p>
    <w:tbl>
      <w:tblPr>
        <w:tblW w:w="5977" w:type="dxa"/>
        <w:jc w:val="center"/>
        <w:tblBorders>
          <w:top w:val="single" w:sz="2" w:space="0" w:color="auto"/>
          <w:bottom w:val="single" w:sz="2" w:space="0" w:color="auto"/>
        </w:tblBorders>
        <w:tblLayout w:type="fixed"/>
        <w:tblLook w:val="04A0" w:firstRow="1" w:lastRow="0" w:firstColumn="1" w:lastColumn="0" w:noHBand="0" w:noVBand="1"/>
      </w:tblPr>
      <w:tblGrid>
        <w:gridCol w:w="1366"/>
        <w:gridCol w:w="1037"/>
        <w:gridCol w:w="991"/>
        <w:gridCol w:w="1058"/>
        <w:gridCol w:w="811"/>
        <w:gridCol w:w="714"/>
      </w:tblGrid>
      <w:tr w:rsidR="004F793D" w:rsidTr="0037420E">
        <w:trPr>
          <w:trHeight w:val="463"/>
          <w:jc w:val="center"/>
        </w:trPr>
        <w:tc>
          <w:tcPr>
            <w:tcW w:w="1366" w:type="dxa"/>
            <w:vMerge w:val="restart"/>
            <w:tcBorders>
              <w:top w:val="single" w:sz="2" w:space="0" w:color="auto"/>
              <w:bottom w:val="single" w:sz="2" w:space="0" w:color="auto"/>
            </w:tcBorders>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Pesticides</w:t>
            </w:r>
          </w:p>
        </w:tc>
        <w:tc>
          <w:tcPr>
            <w:tcW w:w="1037" w:type="dxa"/>
            <w:vMerge w:val="restart"/>
            <w:tcBorders>
              <w:top w:val="single" w:sz="2" w:space="0" w:color="auto"/>
              <w:bottom w:val="single" w:sz="2" w:space="0" w:color="auto"/>
            </w:tcBorders>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Precursor ion</w:t>
            </w:r>
          </w:p>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 xml:space="preserve"> (m/z)</w:t>
            </w:r>
          </w:p>
        </w:tc>
        <w:tc>
          <w:tcPr>
            <w:tcW w:w="2049" w:type="dxa"/>
            <w:gridSpan w:val="2"/>
            <w:tcBorders>
              <w:top w:val="single" w:sz="2" w:space="0" w:color="auto"/>
              <w:bottom w:val="single" w:sz="2" w:space="0" w:color="auto"/>
            </w:tcBorders>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Product ions (m/z)</w:t>
            </w:r>
          </w:p>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with CE (V)</w:t>
            </w:r>
            <w:r>
              <w:rPr>
                <w:rFonts w:ascii="Times New Roman" w:hAnsi="Times New Roman" w:cs="Times New Roman"/>
                <w:sz w:val="15"/>
                <w:szCs w:val="15"/>
                <w:vertAlign w:val="superscript"/>
              </w:rPr>
              <w:t>a</w:t>
            </w:r>
          </w:p>
        </w:tc>
        <w:tc>
          <w:tcPr>
            <w:tcW w:w="811" w:type="dxa"/>
            <w:vMerge w:val="restart"/>
            <w:tcBorders>
              <w:top w:val="single" w:sz="2" w:space="0" w:color="auto"/>
              <w:bottom w:val="single" w:sz="2" w:space="0" w:color="auto"/>
            </w:tcBorders>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 xml:space="preserve"> DP (V)</w:t>
            </w:r>
          </w:p>
        </w:tc>
        <w:tc>
          <w:tcPr>
            <w:tcW w:w="714" w:type="dxa"/>
            <w:vMerge w:val="restart"/>
            <w:tcBorders>
              <w:top w:val="single" w:sz="2" w:space="0" w:color="auto"/>
              <w:bottom w:val="single" w:sz="2" w:space="0" w:color="auto"/>
            </w:tcBorders>
          </w:tcPr>
          <w:p w:rsidR="004F793D" w:rsidRDefault="004F793D" w:rsidP="0037420E">
            <w:pPr>
              <w:spacing w:line="480" w:lineRule="auto"/>
              <w:jc w:val="center"/>
              <w:rPr>
                <w:rFonts w:ascii="Times New Roman" w:hAnsi="Times New Roman" w:cs="Times New Roman"/>
                <w:sz w:val="15"/>
                <w:szCs w:val="15"/>
              </w:rPr>
            </w:pPr>
          </w:p>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LOD</w:t>
            </w:r>
          </w:p>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(mg/kg)</w:t>
            </w:r>
          </w:p>
        </w:tc>
      </w:tr>
      <w:tr w:rsidR="004F793D" w:rsidTr="0037420E">
        <w:trPr>
          <w:trHeight w:val="463"/>
          <w:jc w:val="center"/>
        </w:trPr>
        <w:tc>
          <w:tcPr>
            <w:tcW w:w="1366" w:type="dxa"/>
            <w:vMerge/>
            <w:tcBorders>
              <w:top w:val="single" w:sz="2" w:space="0" w:color="auto"/>
              <w:bottom w:val="single" w:sz="2" w:space="0" w:color="auto"/>
            </w:tcBorders>
            <w:vAlign w:val="center"/>
          </w:tcPr>
          <w:p w:rsidR="004F793D" w:rsidRDefault="004F793D" w:rsidP="0037420E">
            <w:pPr>
              <w:spacing w:line="480" w:lineRule="auto"/>
              <w:jc w:val="center"/>
              <w:rPr>
                <w:rFonts w:ascii="Times New Roman" w:hAnsi="Times New Roman" w:cs="Times New Roman"/>
                <w:sz w:val="15"/>
                <w:szCs w:val="15"/>
              </w:rPr>
            </w:pPr>
          </w:p>
        </w:tc>
        <w:tc>
          <w:tcPr>
            <w:tcW w:w="1037" w:type="dxa"/>
            <w:vMerge/>
            <w:tcBorders>
              <w:top w:val="single" w:sz="2" w:space="0" w:color="auto"/>
              <w:bottom w:val="single" w:sz="2" w:space="0" w:color="auto"/>
            </w:tcBorders>
            <w:vAlign w:val="center"/>
          </w:tcPr>
          <w:p w:rsidR="004F793D" w:rsidRDefault="004F793D" w:rsidP="0037420E">
            <w:pPr>
              <w:spacing w:line="480" w:lineRule="auto"/>
              <w:jc w:val="center"/>
              <w:rPr>
                <w:rFonts w:ascii="Times New Roman" w:hAnsi="Times New Roman" w:cs="Times New Roman"/>
                <w:sz w:val="15"/>
                <w:szCs w:val="15"/>
              </w:rPr>
            </w:pPr>
          </w:p>
        </w:tc>
        <w:tc>
          <w:tcPr>
            <w:tcW w:w="991" w:type="dxa"/>
            <w:tcBorders>
              <w:top w:val="single" w:sz="2" w:space="0" w:color="auto"/>
              <w:bottom w:val="single" w:sz="2" w:space="0" w:color="auto"/>
            </w:tcBorders>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Quantitation</w:t>
            </w:r>
          </w:p>
        </w:tc>
        <w:tc>
          <w:tcPr>
            <w:tcW w:w="1058" w:type="dxa"/>
            <w:tcBorders>
              <w:top w:val="single" w:sz="2" w:space="0" w:color="auto"/>
              <w:bottom w:val="single" w:sz="2" w:space="0" w:color="auto"/>
            </w:tcBorders>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Confirmation</w:t>
            </w:r>
          </w:p>
        </w:tc>
        <w:tc>
          <w:tcPr>
            <w:tcW w:w="811" w:type="dxa"/>
            <w:vMerge/>
            <w:tcBorders>
              <w:top w:val="single" w:sz="2" w:space="0" w:color="auto"/>
              <w:bottom w:val="single" w:sz="2" w:space="0" w:color="auto"/>
            </w:tcBorders>
            <w:vAlign w:val="center"/>
          </w:tcPr>
          <w:p w:rsidR="004F793D" w:rsidRDefault="004F793D" w:rsidP="0037420E">
            <w:pPr>
              <w:spacing w:line="480" w:lineRule="auto"/>
              <w:jc w:val="center"/>
              <w:rPr>
                <w:rFonts w:ascii="Times New Roman" w:hAnsi="Times New Roman" w:cs="Times New Roman"/>
                <w:sz w:val="15"/>
                <w:szCs w:val="15"/>
              </w:rPr>
            </w:pPr>
          </w:p>
        </w:tc>
        <w:tc>
          <w:tcPr>
            <w:tcW w:w="714" w:type="dxa"/>
            <w:vMerge/>
            <w:tcBorders>
              <w:top w:val="single" w:sz="2" w:space="0" w:color="auto"/>
              <w:bottom w:val="single" w:sz="2" w:space="0" w:color="auto"/>
            </w:tcBorders>
          </w:tcPr>
          <w:p w:rsidR="004F793D" w:rsidRDefault="004F793D" w:rsidP="0037420E">
            <w:pPr>
              <w:spacing w:line="480" w:lineRule="auto"/>
              <w:jc w:val="center"/>
              <w:rPr>
                <w:rFonts w:ascii="Times New Roman" w:hAnsi="Times New Roman" w:cs="Times New Roman"/>
                <w:sz w:val="15"/>
                <w:szCs w:val="15"/>
              </w:rPr>
            </w:pPr>
          </w:p>
        </w:tc>
      </w:tr>
      <w:tr w:rsidR="004F793D" w:rsidTr="0037420E">
        <w:trPr>
          <w:trHeight w:val="312"/>
          <w:jc w:val="center"/>
        </w:trPr>
        <w:tc>
          <w:tcPr>
            <w:tcW w:w="1366" w:type="dxa"/>
            <w:tcBorders>
              <w:top w:val="single" w:sz="2" w:space="0" w:color="auto"/>
              <w:bottom w:val="nil"/>
            </w:tcBorders>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Imidacloprid</w:t>
            </w:r>
          </w:p>
        </w:tc>
        <w:tc>
          <w:tcPr>
            <w:tcW w:w="1037" w:type="dxa"/>
            <w:tcBorders>
              <w:top w:val="single" w:sz="2" w:space="0" w:color="auto"/>
              <w:bottom w:val="nil"/>
            </w:tcBorders>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256.1[M+H]</w:t>
            </w:r>
            <w:r>
              <w:rPr>
                <w:rFonts w:ascii="Times New Roman" w:hAnsi="Times New Roman" w:cs="Times New Roman"/>
                <w:sz w:val="15"/>
                <w:szCs w:val="15"/>
                <w:vertAlign w:val="superscript"/>
              </w:rPr>
              <w:t>+</w:t>
            </w:r>
          </w:p>
        </w:tc>
        <w:tc>
          <w:tcPr>
            <w:tcW w:w="991" w:type="dxa"/>
            <w:tcBorders>
              <w:top w:val="single" w:sz="2" w:space="0" w:color="auto"/>
              <w:bottom w:val="nil"/>
            </w:tcBorders>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208.9(19.23)</w:t>
            </w:r>
          </w:p>
        </w:tc>
        <w:tc>
          <w:tcPr>
            <w:tcW w:w="1058" w:type="dxa"/>
            <w:tcBorders>
              <w:top w:val="single" w:sz="2" w:space="0" w:color="auto"/>
              <w:bottom w:val="nil"/>
            </w:tcBorders>
            <w:vAlign w:val="center"/>
          </w:tcPr>
          <w:p w:rsidR="004F793D" w:rsidRDefault="004F793D" w:rsidP="0037420E">
            <w:pPr>
              <w:spacing w:line="480" w:lineRule="auto"/>
              <w:rPr>
                <w:rFonts w:ascii="Times New Roman" w:hAnsi="Times New Roman" w:cs="Times New Roman"/>
                <w:sz w:val="15"/>
                <w:szCs w:val="15"/>
              </w:rPr>
            </w:pPr>
            <w:r>
              <w:rPr>
                <w:rFonts w:ascii="Times New Roman" w:hAnsi="Times New Roman" w:cs="Times New Roman"/>
                <w:sz w:val="15"/>
                <w:szCs w:val="15"/>
              </w:rPr>
              <w:t>175.1(19.87)</w:t>
            </w:r>
          </w:p>
        </w:tc>
        <w:tc>
          <w:tcPr>
            <w:tcW w:w="811" w:type="dxa"/>
            <w:tcBorders>
              <w:top w:val="single" w:sz="2" w:space="0" w:color="auto"/>
              <w:bottom w:val="nil"/>
            </w:tcBorders>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66.17</w:t>
            </w:r>
          </w:p>
        </w:tc>
        <w:tc>
          <w:tcPr>
            <w:tcW w:w="714" w:type="dxa"/>
            <w:tcBorders>
              <w:top w:val="single" w:sz="2" w:space="0" w:color="auto"/>
              <w:bottom w:val="nil"/>
            </w:tcBorders>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0.0005</w:t>
            </w:r>
          </w:p>
        </w:tc>
      </w:tr>
      <w:tr w:rsidR="004F793D" w:rsidTr="0037420E">
        <w:trPr>
          <w:trHeight w:val="312"/>
          <w:jc w:val="center"/>
        </w:trPr>
        <w:tc>
          <w:tcPr>
            <w:tcW w:w="1366" w:type="dxa"/>
            <w:tcBorders>
              <w:top w:val="nil"/>
            </w:tcBorders>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Cyromazine</w:t>
            </w:r>
          </w:p>
        </w:tc>
        <w:tc>
          <w:tcPr>
            <w:tcW w:w="1037" w:type="dxa"/>
            <w:tcBorders>
              <w:top w:val="nil"/>
            </w:tcBorders>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167.0[M+H]</w:t>
            </w:r>
            <w:r>
              <w:rPr>
                <w:rFonts w:ascii="Times New Roman" w:hAnsi="Times New Roman" w:cs="Times New Roman"/>
                <w:sz w:val="15"/>
                <w:szCs w:val="15"/>
                <w:vertAlign w:val="superscript"/>
              </w:rPr>
              <w:t>+</w:t>
            </w:r>
          </w:p>
        </w:tc>
        <w:tc>
          <w:tcPr>
            <w:tcW w:w="991" w:type="dxa"/>
            <w:tcBorders>
              <w:top w:val="nil"/>
            </w:tcBorders>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108.0(29.48)</w:t>
            </w:r>
          </w:p>
        </w:tc>
        <w:tc>
          <w:tcPr>
            <w:tcW w:w="1058" w:type="dxa"/>
            <w:tcBorders>
              <w:top w:val="nil"/>
            </w:tcBorders>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125.0(23.36)</w:t>
            </w:r>
          </w:p>
        </w:tc>
        <w:tc>
          <w:tcPr>
            <w:tcW w:w="811" w:type="dxa"/>
            <w:tcBorders>
              <w:top w:val="nil"/>
            </w:tcBorders>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159.86</w:t>
            </w:r>
          </w:p>
        </w:tc>
        <w:tc>
          <w:tcPr>
            <w:tcW w:w="714" w:type="dxa"/>
            <w:tcBorders>
              <w:top w:val="nil"/>
            </w:tcBorders>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0.002</w:t>
            </w:r>
          </w:p>
        </w:tc>
      </w:tr>
      <w:tr w:rsidR="004F793D" w:rsidTr="0037420E">
        <w:trPr>
          <w:trHeight w:val="312"/>
          <w:jc w:val="center"/>
        </w:trPr>
        <w:tc>
          <w:tcPr>
            <w:tcW w:w="1366"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Buprofezin</w:t>
            </w:r>
          </w:p>
        </w:tc>
        <w:tc>
          <w:tcPr>
            <w:tcW w:w="1037"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306.1[M+H]</w:t>
            </w:r>
            <w:r>
              <w:rPr>
                <w:rFonts w:ascii="Times New Roman" w:hAnsi="Times New Roman" w:cs="Times New Roman"/>
                <w:sz w:val="15"/>
                <w:szCs w:val="15"/>
                <w:vertAlign w:val="superscript"/>
              </w:rPr>
              <w:t>+</w:t>
            </w:r>
          </w:p>
        </w:tc>
        <w:tc>
          <w:tcPr>
            <w:tcW w:w="99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200.8(16.43)</w:t>
            </w:r>
          </w:p>
        </w:tc>
        <w:tc>
          <w:tcPr>
            <w:tcW w:w="1058"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116.0(23.04)</w:t>
            </w:r>
          </w:p>
        </w:tc>
        <w:tc>
          <w:tcPr>
            <w:tcW w:w="81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123.40</w:t>
            </w:r>
          </w:p>
        </w:tc>
        <w:tc>
          <w:tcPr>
            <w:tcW w:w="714" w:type="dxa"/>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0.003</w:t>
            </w:r>
          </w:p>
        </w:tc>
      </w:tr>
      <w:tr w:rsidR="004F793D" w:rsidTr="0037420E">
        <w:trPr>
          <w:trHeight w:val="312"/>
          <w:jc w:val="center"/>
        </w:trPr>
        <w:tc>
          <w:tcPr>
            <w:tcW w:w="1366"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Pymetrozine</w:t>
            </w:r>
          </w:p>
        </w:tc>
        <w:tc>
          <w:tcPr>
            <w:tcW w:w="1037"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218.1[M+H]</w:t>
            </w:r>
            <w:r>
              <w:rPr>
                <w:rFonts w:ascii="Times New Roman" w:hAnsi="Times New Roman" w:cs="Times New Roman"/>
                <w:sz w:val="15"/>
                <w:szCs w:val="15"/>
                <w:vertAlign w:val="superscript"/>
              </w:rPr>
              <w:t>+</w:t>
            </w:r>
          </w:p>
        </w:tc>
        <w:tc>
          <w:tcPr>
            <w:tcW w:w="99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105.0(27.10)</w:t>
            </w:r>
          </w:p>
        </w:tc>
        <w:tc>
          <w:tcPr>
            <w:tcW w:w="1058"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78.9(52.90)</w:t>
            </w:r>
          </w:p>
        </w:tc>
        <w:tc>
          <w:tcPr>
            <w:tcW w:w="81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88.85</w:t>
            </w:r>
          </w:p>
        </w:tc>
        <w:tc>
          <w:tcPr>
            <w:tcW w:w="714" w:type="dxa"/>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0.015</w:t>
            </w:r>
          </w:p>
        </w:tc>
      </w:tr>
      <w:tr w:rsidR="004F793D" w:rsidTr="0037420E">
        <w:trPr>
          <w:trHeight w:val="312"/>
          <w:jc w:val="center"/>
        </w:trPr>
        <w:tc>
          <w:tcPr>
            <w:tcW w:w="1366"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Chlorantraniliprole</w:t>
            </w:r>
          </w:p>
        </w:tc>
        <w:tc>
          <w:tcPr>
            <w:tcW w:w="1037"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484.0[M+H]</w:t>
            </w:r>
            <w:r>
              <w:rPr>
                <w:rFonts w:ascii="Times New Roman" w:hAnsi="Times New Roman" w:cs="Times New Roman"/>
                <w:sz w:val="15"/>
                <w:szCs w:val="15"/>
                <w:vertAlign w:val="superscript"/>
              </w:rPr>
              <w:t>+</w:t>
            </w:r>
          </w:p>
        </w:tc>
        <w:tc>
          <w:tcPr>
            <w:tcW w:w="99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285.8(17.96)</w:t>
            </w:r>
          </w:p>
        </w:tc>
        <w:tc>
          <w:tcPr>
            <w:tcW w:w="1058"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452.6(20.32)</w:t>
            </w:r>
          </w:p>
        </w:tc>
        <w:tc>
          <w:tcPr>
            <w:tcW w:w="81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113.85</w:t>
            </w:r>
          </w:p>
        </w:tc>
        <w:tc>
          <w:tcPr>
            <w:tcW w:w="714" w:type="dxa"/>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0.004</w:t>
            </w:r>
          </w:p>
        </w:tc>
      </w:tr>
      <w:tr w:rsidR="004F793D" w:rsidTr="0037420E">
        <w:trPr>
          <w:trHeight w:val="312"/>
          <w:jc w:val="center"/>
        </w:trPr>
        <w:tc>
          <w:tcPr>
            <w:tcW w:w="1366"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Carbendazim</w:t>
            </w:r>
          </w:p>
        </w:tc>
        <w:tc>
          <w:tcPr>
            <w:tcW w:w="1037"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192.1[M+H]</w:t>
            </w:r>
            <w:r>
              <w:rPr>
                <w:rFonts w:ascii="Times New Roman" w:hAnsi="Times New Roman" w:cs="Times New Roman"/>
                <w:sz w:val="15"/>
                <w:szCs w:val="15"/>
                <w:vertAlign w:val="superscript"/>
              </w:rPr>
              <w:t>+</w:t>
            </w:r>
          </w:p>
        </w:tc>
        <w:tc>
          <w:tcPr>
            <w:tcW w:w="99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160.0(23.84)</w:t>
            </w:r>
          </w:p>
        </w:tc>
        <w:tc>
          <w:tcPr>
            <w:tcW w:w="1058"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132.1(41.74)</w:t>
            </w:r>
          </w:p>
        </w:tc>
        <w:tc>
          <w:tcPr>
            <w:tcW w:w="81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140.63</w:t>
            </w:r>
          </w:p>
        </w:tc>
        <w:tc>
          <w:tcPr>
            <w:tcW w:w="714" w:type="dxa"/>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0.0004</w:t>
            </w:r>
          </w:p>
        </w:tc>
      </w:tr>
      <w:tr w:rsidR="004F793D" w:rsidTr="0037420E">
        <w:trPr>
          <w:trHeight w:val="312"/>
          <w:jc w:val="center"/>
        </w:trPr>
        <w:tc>
          <w:tcPr>
            <w:tcW w:w="1366"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Iprodione</w:t>
            </w:r>
          </w:p>
        </w:tc>
        <w:tc>
          <w:tcPr>
            <w:tcW w:w="1037"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330.2[M+H]</w:t>
            </w:r>
            <w:r>
              <w:rPr>
                <w:rFonts w:ascii="Times New Roman" w:hAnsi="Times New Roman" w:cs="Times New Roman"/>
                <w:sz w:val="15"/>
                <w:szCs w:val="15"/>
                <w:vertAlign w:val="superscript"/>
              </w:rPr>
              <w:t>+</w:t>
            </w:r>
          </w:p>
        </w:tc>
        <w:tc>
          <w:tcPr>
            <w:tcW w:w="99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245.0(19.18)</w:t>
            </w:r>
          </w:p>
        </w:tc>
        <w:tc>
          <w:tcPr>
            <w:tcW w:w="1058"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288.1(16.84)</w:t>
            </w:r>
          </w:p>
        </w:tc>
        <w:tc>
          <w:tcPr>
            <w:tcW w:w="81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83.90</w:t>
            </w:r>
          </w:p>
        </w:tc>
        <w:tc>
          <w:tcPr>
            <w:tcW w:w="714" w:type="dxa"/>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&lt;0.0003</w:t>
            </w:r>
          </w:p>
        </w:tc>
      </w:tr>
      <w:tr w:rsidR="004F793D" w:rsidTr="0037420E">
        <w:trPr>
          <w:trHeight w:val="312"/>
          <w:jc w:val="center"/>
        </w:trPr>
        <w:tc>
          <w:tcPr>
            <w:tcW w:w="1366"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Tebuconazole</w:t>
            </w:r>
          </w:p>
        </w:tc>
        <w:tc>
          <w:tcPr>
            <w:tcW w:w="1037"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308.2[M+H]</w:t>
            </w:r>
            <w:r>
              <w:rPr>
                <w:rFonts w:ascii="Times New Roman" w:hAnsi="Times New Roman" w:cs="Times New Roman"/>
                <w:sz w:val="15"/>
                <w:szCs w:val="15"/>
                <w:vertAlign w:val="superscript"/>
              </w:rPr>
              <w:t>+</w:t>
            </w:r>
          </w:p>
        </w:tc>
        <w:tc>
          <w:tcPr>
            <w:tcW w:w="99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70.0(38.90)</w:t>
            </w:r>
          </w:p>
        </w:tc>
        <w:tc>
          <w:tcPr>
            <w:tcW w:w="1058"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125.0(25.0)</w:t>
            </w:r>
          </w:p>
        </w:tc>
        <w:tc>
          <w:tcPr>
            <w:tcW w:w="81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119.51</w:t>
            </w:r>
          </w:p>
        </w:tc>
        <w:tc>
          <w:tcPr>
            <w:tcW w:w="714" w:type="dxa"/>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&lt;0.005</w:t>
            </w:r>
          </w:p>
        </w:tc>
      </w:tr>
      <w:tr w:rsidR="004F793D" w:rsidTr="0037420E">
        <w:trPr>
          <w:trHeight w:val="312"/>
          <w:jc w:val="center"/>
        </w:trPr>
        <w:tc>
          <w:tcPr>
            <w:tcW w:w="1366"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Prochloraz</w:t>
            </w:r>
          </w:p>
        </w:tc>
        <w:tc>
          <w:tcPr>
            <w:tcW w:w="1037"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376.1[M+H]</w:t>
            </w:r>
            <w:r>
              <w:rPr>
                <w:rFonts w:ascii="Times New Roman" w:hAnsi="Times New Roman" w:cs="Times New Roman"/>
                <w:sz w:val="15"/>
                <w:szCs w:val="15"/>
                <w:vertAlign w:val="superscript"/>
              </w:rPr>
              <w:t>+</w:t>
            </w:r>
          </w:p>
        </w:tc>
        <w:tc>
          <w:tcPr>
            <w:tcW w:w="99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308.0(15.84)</w:t>
            </w:r>
          </w:p>
        </w:tc>
        <w:tc>
          <w:tcPr>
            <w:tcW w:w="1058"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266.0(22.90)</w:t>
            </w:r>
          </w:p>
        </w:tc>
        <w:tc>
          <w:tcPr>
            <w:tcW w:w="81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98.31</w:t>
            </w:r>
          </w:p>
        </w:tc>
        <w:tc>
          <w:tcPr>
            <w:tcW w:w="714" w:type="dxa"/>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0.0015</w:t>
            </w:r>
          </w:p>
        </w:tc>
      </w:tr>
      <w:tr w:rsidR="004F793D" w:rsidTr="0037420E">
        <w:trPr>
          <w:trHeight w:val="312"/>
          <w:jc w:val="center"/>
        </w:trPr>
        <w:tc>
          <w:tcPr>
            <w:tcW w:w="1366"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 xml:space="preserve">Hymexazol </w:t>
            </w:r>
          </w:p>
        </w:tc>
        <w:tc>
          <w:tcPr>
            <w:tcW w:w="1037"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100.1[M+H]</w:t>
            </w:r>
            <w:r>
              <w:rPr>
                <w:rFonts w:ascii="Times New Roman" w:hAnsi="Times New Roman" w:cs="Times New Roman"/>
                <w:sz w:val="15"/>
                <w:szCs w:val="15"/>
                <w:vertAlign w:val="superscript"/>
              </w:rPr>
              <w:t>+</w:t>
            </w:r>
          </w:p>
        </w:tc>
        <w:tc>
          <w:tcPr>
            <w:tcW w:w="99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54.1(20.7)</w:t>
            </w:r>
          </w:p>
        </w:tc>
        <w:tc>
          <w:tcPr>
            <w:tcW w:w="1058"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44.1(30.9)</w:t>
            </w:r>
          </w:p>
        </w:tc>
        <w:tc>
          <w:tcPr>
            <w:tcW w:w="81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62.87</w:t>
            </w:r>
          </w:p>
        </w:tc>
        <w:tc>
          <w:tcPr>
            <w:tcW w:w="714" w:type="dxa"/>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0.002</w:t>
            </w:r>
          </w:p>
        </w:tc>
      </w:tr>
      <w:tr w:rsidR="004F793D" w:rsidTr="0037420E">
        <w:trPr>
          <w:trHeight w:val="312"/>
          <w:jc w:val="center"/>
        </w:trPr>
        <w:tc>
          <w:tcPr>
            <w:tcW w:w="1366"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Diethofencarb</w:t>
            </w:r>
          </w:p>
        </w:tc>
        <w:tc>
          <w:tcPr>
            <w:tcW w:w="1037"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268.1[M+H]</w:t>
            </w:r>
            <w:r>
              <w:rPr>
                <w:rFonts w:ascii="Times New Roman" w:hAnsi="Times New Roman" w:cs="Times New Roman"/>
                <w:sz w:val="15"/>
                <w:szCs w:val="15"/>
                <w:vertAlign w:val="superscript"/>
              </w:rPr>
              <w:t>+</w:t>
            </w:r>
          </w:p>
        </w:tc>
        <w:tc>
          <w:tcPr>
            <w:tcW w:w="99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226.0(14.06)</w:t>
            </w:r>
          </w:p>
        </w:tc>
        <w:tc>
          <w:tcPr>
            <w:tcW w:w="1058"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180.0(25.61)</w:t>
            </w:r>
          </w:p>
        </w:tc>
        <w:tc>
          <w:tcPr>
            <w:tcW w:w="81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75.96</w:t>
            </w:r>
          </w:p>
        </w:tc>
        <w:tc>
          <w:tcPr>
            <w:tcW w:w="714" w:type="dxa"/>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0.0002</w:t>
            </w:r>
          </w:p>
        </w:tc>
      </w:tr>
      <w:tr w:rsidR="004F793D" w:rsidTr="0037420E">
        <w:trPr>
          <w:trHeight w:val="312"/>
          <w:jc w:val="center"/>
        </w:trPr>
        <w:tc>
          <w:tcPr>
            <w:tcW w:w="1366"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Tetramethirn</w:t>
            </w:r>
          </w:p>
        </w:tc>
        <w:tc>
          <w:tcPr>
            <w:tcW w:w="1037"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332.2[M+H]</w:t>
            </w:r>
            <w:r>
              <w:rPr>
                <w:rFonts w:ascii="Times New Roman" w:hAnsi="Times New Roman" w:cs="Times New Roman"/>
                <w:sz w:val="15"/>
                <w:szCs w:val="15"/>
                <w:vertAlign w:val="superscript"/>
              </w:rPr>
              <w:t>+</w:t>
            </w:r>
          </w:p>
        </w:tc>
        <w:tc>
          <w:tcPr>
            <w:tcW w:w="99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164.0(30.2)</w:t>
            </w:r>
          </w:p>
        </w:tc>
        <w:tc>
          <w:tcPr>
            <w:tcW w:w="1058"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135.0(23.15)</w:t>
            </w:r>
          </w:p>
        </w:tc>
        <w:tc>
          <w:tcPr>
            <w:tcW w:w="81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81.93</w:t>
            </w:r>
          </w:p>
        </w:tc>
        <w:tc>
          <w:tcPr>
            <w:tcW w:w="714" w:type="dxa"/>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&lt;0.02</w:t>
            </w:r>
          </w:p>
        </w:tc>
      </w:tr>
      <w:tr w:rsidR="004F793D" w:rsidTr="0037420E">
        <w:trPr>
          <w:trHeight w:val="312"/>
          <w:jc w:val="center"/>
        </w:trPr>
        <w:tc>
          <w:tcPr>
            <w:tcW w:w="1366"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Pyraclostrobin</w:t>
            </w:r>
          </w:p>
        </w:tc>
        <w:tc>
          <w:tcPr>
            <w:tcW w:w="1037"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388.0[M+H]</w:t>
            </w:r>
            <w:r>
              <w:rPr>
                <w:rFonts w:ascii="Times New Roman" w:hAnsi="Times New Roman" w:cs="Times New Roman"/>
                <w:sz w:val="15"/>
                <w:szCs w:val="15"/>
                <w:vertAlign w:val="superscript"/>
              </w:rPr>
              <w:t>+</w:t>
            </w:r>
          </w:p>
        </w:tc>
        <w:tc>
          <w:tcPr>
            <w:tcW w:w="99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194.0(17.01)</w:t>
            </w:r>
          </w:p>
        </w:tc>
        <w:tc>
          <w:tcPr>
            <w:tcW w:w="1058"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164.0(24.20)</w:t>
            </w:r>
          </w:p>
        </w:tc>
        <w:tc>
          <w:tcPr>
            <w:tcW w:w="81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105.93</w:t>
            </w:r>
          </w:p>
        </w:tc>
        <w:tc>
          <w:tcPr>
            <w:tcW w:w="714" w:type="dxa"/>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0.0002</w:t>
            </w:r>
          </w:p>
        </w:tc>
      </w:tr>
      <w:tr w:rsidR="004F793D" w:rsidTr="0037420E">
        <w:trPr>
          <w:trHeight w:val="312"/>
          <w:jc w:val="center"/>
        </w:trPr>
        <w:tc>
          <w:tcPr>
            <w:tcW w:w="1366"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Kresoxim-methyl</w:t>
            </w:r>
          </w:p>
        </w:tc>
        <w:tc>
          <w:tcPr>
            <w:tcW w:w="1037"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314.1[M+H]</w:t>
            </w:r>
            <w:r>
              <w:rPr>
                <w:rFonts w:ascii="Times New Roman" w:hAnsi="Times New Roman" w:cs="Times New Roman"/>
                <w:sz w:val="15"/>
                <w:szCs w:val="15"/>
                <w:vertAlign w:val="superscript"/>
              </w:rPr>
              <w:t>+</w:t>
            </w:r>
          </w:p>
        </w:tc>
        <w:tc>
          <w:tcPr>
            <w:tcW w:w="99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206.0(9.19)</w:t>
            </w:r>
          </w:p>
        </w:tc>
        <w:tc>
          <w:tcPr>
            <w:tcW w:w="1058"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267.0(10.20)</w:t>
            </w:r>
          </w:p>
        </w:tc>
        <w:tc>
          <w:tcPr>
            <w:tcW w:w="811" w:type="dxa"/>
            <w:vAlign w:val="center"/>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sz w:val="15"/>
                <w:szCs w:val="15"/>
              </w:rPr>
              <w:t>102.19</w:t>
            </w:r>
          </w:p>
        </w:tc>
        <w:tc>
          <w:tcPr>
            <w:tcW w:w="714" w:type="dxa"/>
          </w:tcPr>
          <w:p w:rsidR="004F793D" w:rsidRDefault="004F793D" w:rsidP="0037420E">
            <w:pPr>
              <w:spacing w:line="480" w:lineRule="auto"/>
              <w:jc w:val="center"/>
              <w:rPr>
                <w:rFonts w:ascii="Times New Roman" w:hAnsi="Times New Roman" w:cs="Times New Roman"/>
                <w:sz w:val="15"/>
                <w:szCs w:val="15"/>
              </w:rPr>
            </w:pPr>
            <w:r>
              <w:rPr>
                <w:rFonts w:ascii="Times New Roman" w:hAnsi="Times New Roman" w:cs="Times New Roman" w:hint="eastAsia"/>
                <w:sz w:val="15"/>
                <w:szCs w:val="15"/>
              </w:rPr>
              <w:t>0.006</w:t>
            </w:r>
          </w:p>
        </w:tc>
      </w:tr>
    </w:tbl>
    <w:p w:rsidR="004F793D" w:rsidRDefault="004F793D" w:rsidP="004F793D">
      <w:pPr>
        <w:autoSpaceDE w:val="0"/>
        <w:autoSpaceDN w:val="0"/>
        <w:adjustRightInd w:val="0"/>
        <w:spacing w:line="480" w:lineRule="auto"/>
        <w:ind w:left="241" w:hangingChars="100" w:hanging="241"/>
        <w:jc w:val="left"/>
        <w:rPr>
          <w:rFonts w:ascii="TimesNewRoman,Bold" w:hAnsi="TimesNewRoman,Bold" w:cs="TimesNewRoman,Bold"/>
          <w:b/>
          <w:bCs/>
          <w:kern w:val="0"/>
          <w:sz w:val="24"/>
          <w:szCs w:val="24"/>
        </w:rPr>
      </w:pPr>
      <w:r>
        <w:rPr>
          <w:rFonts w:ascii="TimesNewRoman,Bold" w:hAnsi="TimesNewRoman,Bold" w:cs="TimesNewRoman,Bold" w:hint="eastAsia"/>
          <w:b/>
          <w:bCs/>
          <w:kern w:val="0"/>
          <w:sz w:val="24"/>
          <w:szCs w:val="24"/>
        </w:rPr>
        <w:t xml:space="preserve">            </w:t>
      </w:r>
      <w:r>
        <w:rPr>
          <w:rFonts w:ascii="Times New Roman" w:hAnsi="Times New Roman" w:cs="Times New Roman"/>
          <w:sz w:val="15"/>
          <w:szCs w:val="15"/>
        </w:rPr>
        <w:t>a) C</w:t>
      </w:r>
      <w:r>
        <w:rPr>
          <w:rFonts w:ascii="Times New Roman" w:hAnsi="Times New Roman" w:cs="Times New Roman" w:hint="eastAsia"/>
          <w:sz w:val="15"/>
          <w:szCs w:val="15"/>
        </w:rPr>
        <w:t xml:space="preserve">E is in the </w:t>
      </w:r>
      <w:r>
        <w:rPr>
          <w:rFonts w:ascii="Times New Roman" w:hAnsi="Times New Roman" w:cs="Times New Roman"/>
          <w:sz w:val="15"/>
          <w:szCs w:val="15"/>
        </w:rPr>
        <w:t>brackets</w:t>
      </w:r>
      <w:r>
        <w:rPr>
          <w:rFonts w:ascii="Times New Roman" w:hAnsi="Times New Roman" w:cs="Times New Roman" w:hint="eastAsia"/>
          <w:sz w:val="15"/>
          <w:szCs w:val="15"/>
        </w:rPr>
        <w:t>.</w:t>
      </w:r>
    </w:p>
    <w:p w:rsidR="0001486C" w:rsidRDefault="0001486C" w:rsidP="004F793D">
      <w:pPr>
        <w:rPr>
          <w:rFonts w:ascii="Times New Roman" w:hAnsi="Times New Roman" w:cs="Times New Roman"/>
          <w:sz w:val="28"/>
          <w:szCs w:val="28"/>
        </w:rPr>
      </w:pPr>
    </w:p>
    <w:p w:rsidR="004F793D" w:rsidRPr="00C71276" w:rsidRDefault="004F793D" w:rsidP="004F793D">
      <w:pPr>
        <w:autoSpaceDE w:val="0"/>
        <w:autoSpaceDN w:val="0"/>
        <w:adjustRightInd w:val="0"/>
        <w:spacing w:line="480" w:lineRule="auto"/>
        <w:jc w:val="center"/>
        <w:rPr>
          <w:rFonts w:ascii="Times New Roman" w:eastAsia="SimSun" w:hAnsi="Times New Roman" w:cs="Times New Roman"/>
          <w:kern w:val="0"/>
          <w:szCs w:val="21"/>
        </w:rPr>
      </w:pPr>
      <w:r w:rsidRPr="00C71276">
        <w:rPr>
          <w:noProof/>
        </w:rPr>
        <w:lastRenderedPageBreak/>
        <w:drawing>
          <wp:inline distT="0" distB="0" distL="0" distR="0" wp14:anchorId="7002D9B9" wp14:editId="3867911C">
            <wp:extent cx="3095625" cy="7172325"/>
            <wp:effectExtent l="0" t="0" r="9525" b="9525"/>
            <wp:docPr id="1" name="图片 1" descr="D:\F\文章\文章3\SCI\图标\ljk\ljk\ion\zuh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文章\文章3\SCI\图标\ljk\ljk\ion\zuh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625" cy="7172325"/>
                    </a:xfrm>
                    <a:prstGeom prst="rect">
                      <a:avLst/>
                    </a:prstGeom>
                    <a:noFill/>
                    <a:ln>
                      <a:noFill/>
                    </a:ln>
                  </pic:spPr>
                </pic:pic>
              </a:graphicData>
            </a:graphic>
          </wp:inline>
        </w:drawing>
      </w:r>
    </w:p>
    <w:p w:rsidR="004F793D" w:rsidRDefault="004F793D" w:rsidP="004F793D">
      <w:pPr>
        <w:spacing w:line="480" w:lineRule="auto"/>
        <w:jc w:val="center"/>
        <w:rPr>
          <w:rFonts w:ascii="Times New Roman" w:hAnsi="Times New Roman" w:cs="Times New Roman"/>
          <w:sz w:val="18"/>
          <w:szCs w:val="18"/>
        </w:rPr>
      </w:pPr>
      <w:r w:rsidRPr="00066A26">
        <w:rPr>
          <w:rFonts w:ascii="Times New Roman" w:hAnsi="Times New Roman" w:hint="eastAsia"/>
          <w:sz w:val="28"/>
          <w:szCs w:val="28"/>
          <w:lang w:val="en-GB"/>
        </w:rPr>
        <w:t>S2</w:t>
      </w:r>
      <w:r w:rsidRPr="00C71276">
        <w:rPr>
          <w:rFonts w:ascii="Times New Roman" w:hAnsi="Times New Roman" w:cs="Times New Roman" w:hint="eastAsia"/>
          <w:sz w:val="18"/>
          <w:szCs w:val="18"/>
        </w:rPr>
        <w:t xml:space="preserve"> C</w:t>
      </w:r>
      <w:r w:rsidRPr="00C71276">
        <w:rPr>
          <w:rFonts w:ascii="Times New Roman" w:hAnsi="Times New Roman" w:cs="Times New Roman"/>
          <w:sz w:val="18"/>
          <w:szCs w:val="18"/>
        </w:rPr>
        <w:t>hromatogram</w:t>
      </w:r>
      <w:r w:rsidRPr="00C71276">
        <w:rPr>
          <w:rFonts w:ascii="Times New Roman" w:hAnsi="Times New Roman" w:cs="Times New Roman" w:hint="eastAsia"/>
          <w:sz w:val="18"/>
          <w:szCs w:val="18"/>
        </w:rPr>
        <w:t xml:space="preserve"> of q</w:t>
      </w:r>
      <w:r w:rsidRPr="00C71276">
        <w:rPr>
          <w:rFonts w:ascii="Times New Roman" w:hAnsi="Times New Roman" w:cs="Times New Roman"/>
          <w:sz w:val="18"/>
          <w:szCs w:val="18"/>
        </w:rPr>
        <w:t>uantitative ion</w:t>
      </w:r>
      <w:r w:rsidRPr="00C71276">
        <w:rPr>
          <w:rFonts w:ascii="Times New Roman" w:hAnsi="Times New Roman" w:cs="Times New Roman" w:hint="eastAsia"/>
          <w:sz w:val="18"/>
          <w:szCs w:val="18"/>
        </w:rPr>
        <w:t xml:space="preserve">s of the pesticides, the </w:t>
      </w:r>
      <w:r w:rsidRPr="00C71276">
        <w:rPr>
          <w:rFonts w:ascii="Times New Roman" w:hAnsi="Times New Roman" w:cs="Times New Roman"/>
          <w:sz w:val="18"/>
          <w:szCs w:val="18"/>
        </w:rPr>
        <w:t>molecular weight</w:t>
      </w:r>
      <w:r w:rsidRPr="00C71276">
        <w:rPr>
          <w:rFonts w:ascii="Times New Roman" w:hAnsi="Times New Roman" w:cs="Times New Roman" w:hint="eastAsia"/>
          <w:sz w:val="18"/>
          <w:szCs w:val="18"/>
        </w:rPr>
        <w:t xml:space="preserve"> in the figure was corresponding to the pesticides in </w:t>
      </w:r>
      <w:r>
        <w:rPr>
          <w:rFonts w:ascii="Times New Roman" w:hAnsi="Times New Roman" w:cs="Times New Roman" w:hint="eastAsia"/>
          <w:sz w:val="18"/>
          <w:szCs w:val="18"/>
        </w:rPr>
        <w:t>S</w:t>
      </w:r>
      <w:r w:rsidRPr="00C71276">
        <w:rPr>
          <w:rFonts w:ascii="Times New Roman" w:hAnsi="Times New Roman" w:cs="Times New Roman" w:hint="eastAsia"/>
          <w:sz w:val="18"/>
          <w:szCs w:val="18"/>
        </w:rPr>
        <w:t>1.</w:t>
      </w:r>
    </w:p>
    <w:p w:rsidR="005B1EC3" w:rsidRPr="00C71276" w:rsidRDefault="005B1EC3" w:rsidP="004F793D">
      <w:pPr>
        <w:spacing w:line="480" w:lineRule="auto"/>
        <w:jc w:val="center"/>
        <w:rPr>
          <w:rFonts w:ascii="Times New Roman" w:hAnsi="Times New Roman" w:cs="Times New Roman"/>
          <w:sz w:val="18"/>
          <w:szCs w:val="18"/>
        </w:rPr>
      </w:pPr>
    </w:p>
    <w:p w:rsidR="00066A26" w:rsidRDefault="00066A26" w:rsidP="005B1EC3">
      <w:pPr>
        <w:rPr>
          <w:rFonts w:ascii="Times New Roman" w:hAnsi="Times New Roman" w:cs="Times New Roman"/>
          <w:sz w:val="28"/>
          <w:szCs w:val="28"/>
        </w:rPr>
      </w:pPr>
    </w:p>
    <w:p w:rsidR="004B57F6" w:rsidRPr="00466306" w:rsidRDefault="005B1EC3" w:rsidP="00466306">
      <w:pPr>
        <w:jc w:val="center"/>
        <w:rPr>
          <w:rFonts w:ascii="Times New Roman" w:hAnsi="Times New Roman" w:cs="Times New Roman"/>
          <w:sz w:val="18"/>
          <w:szCs w:val="18"/>
        </w:rPr>
      </w:pPr>
      <w:r>
        <w:rPr>
          <w:rFonts w:ascii="Times New Roman" w:hAnsi="Times New Roman" w:cs="Times New Roman" w:hint="eastAsia"/>
          <w:sz w:val="28"/>
          <w:szCs w:val="28"/>
        </w:rPr>
        <w:lastRenderedPageBreak/>
        <w:t>S</w:t>
      </w:r>
      <w:r w:rsidR="00066A26">
        <w:rPr>
          <w:rFonts w:ascii="Times New Roman" w:hAnsi="Times New Roman" w:cs="Times New Roman" w:hint="eastAsia"/>
          <w:sz w:val="28"/>
          <w:szCs w:val="28"/>
        </w:rPr>
        <w:t>3</w:t>
      </w:r>
      <w:r>
        <w:rPr>
          <w:rFonts w:ascii="Times New Roman" w:hAnsi="Times New Roman" w:cs="Times New Roman" w:hint="eastAsia"/>
          <w:sz w:val="28"/>
          <w:szCs w:val="28"/>
        </w:rPr>
        <w:t>.</w:t>
      </w:r>
      <w:r w:rsidR="00466306">
        <w:rPr>
          <w:rFonts w:ascii="Times New Roman" w:hAnsi="Times New Roman" w:cs="Times New Roman" w:hint="eastAsia"/>
          <w:sz w:val="28"/>
          <w:szCs w:val="28"/>
        </w:rPr>
        <w:t xml:space="preserve"> </w:t>
      </w:r>
      <w:r w:rsidR="00466306" w:rsidRPr="00466306">
        <w:rPr>
          <w:rFonts w:ascii="Times New Roman" w:hAnsi="Times New Roman" w:cs="Times New Roman" w:hint="eastAsia"/>
          <w:sz w:val="18"/>
          <w:szCs w:val="18"/>
        </w:rPr>
        <w:t xml:space="preserve">Pesticides </w:t>
      </w:r>
      <w:r w:rsidR="00466306">
        <w:rPr>
          <w:rFonts w:ascii="Times New Roman" w:hAnsi="Times New Roman" w:cs="Times New Roman" w:hint="eastAsia"/>
          <w:sz w:val="18"/>
          <w:szCs w:val="18"/>
        </w:rPr>
        <w:t>r</w:t>
      </w:r>
      <w:r w:rsidR="00466306" w:rsidRPr="00466306">
        <w:rPr>
          <w:rFonts w:ascii="Times New Roman" w:hAnsi="Times New Roman" w:cs="Times New Roman" w:hint="eastAsia"/>
          <w:sz w:val="18"/>
          <w:szCs w:val="18"/>
        </w:rPr>
        <w:t xml:space="preserve">ecoveries </w:t>
      </w:r>
      <w:r w:rsidR="00466306">
        <w:rPr>
          <w:rFonts w:ascii="Times New Roman" w:hAnsi="Times New Roman" w:cs="Times New Roman" w:hint="eastAsia"/>
          <w:sz w:val="18"/>
          <w:szCs w:val="18"/>
        </w:rPr>
        <w:t xml:space="preserve">from </w:t>
      </w:r>
      <w:r w:rsidR="008F021A" w:rsidRPr="00466306">
        <w:rPr>
          <w:rFonts w:ascii="Times New Roman" w:hAnsi="Times New Roman" w:cs="Times New Roman" w:hint="eastAsia"/>
          <w:sz w:val="18"/>
          <w:szCs w:val="18"/>
        </w:rPr>
        <w:t xml:space="preserve">the </w:t>
      </w:r>
      <w:r w:rsidR="008F021A" w:rsidRPr="00466306">
        <w:rPr>
          <w:rFonts w:ascii="Times New Roman" w:hAnsi="Times New Roman" w:cs="Times New Roman"/>
          <w:sz w:val="18"/>
          <w:szCs w:val="18"/>
        </w:rPr>
        <w:t>homogenous</w:t>
      </w:r>
      <w:r w:rsidR="00466306" w:rsidRPr="00466306">
        <w:rPr>
          <w:rFonts w:ascii="Times New Roman" w:hAnsi="Times New Roman" w:cs="Times New Roman" w:hint="eastAsia"/>
          <w:sz w:val="18"/>
          <w:szCs w:val="18"/>
        </w:rPr>
        <w:t xml:space="preserve"> vegetables samples</w:t>
      </w:r>
      <w:r w:rsidR="00C93F7D">
        <w:rPr>
          <w:rFonts w:ascii="Times New Roman" w:hAnsi="Times New Roman" w:cs="Times New Roman" w:hint="eastAsia"/>
          <w:sz w:val="18"/>
          <w:szCs w:val="18"/>
        </w:rPr>
        <w:t xml:space="preserve"> (n=8)</w:t>
      </w:r>
    </w:p>
    <w:tbl>
      <w:tblPr>
        <w:tblStyle w:val="TableGrid"/>
        <w:tblpPr w:leftFromText="180" w:rightFromText="180" w:vertAnchor="text" w:horzAnchor="margin" w:tblpXSpec="center" w:tblpY="105"/>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74"/>
        <w:gridCol w:w="222"/>
        <w:gridCol w:w="629"/>
        <w:gridCol w:w="554"/>
        <w:gridCol w:w="554"/>
        <w:gridCol w:w="222"/>
        <w:gridCol w:w="222"/>
      </w:tblGrid>
      <w:tr w:rsidR="008F021A" w:rsidRPr="00466306" w:rsidTr="008F021A">
        <w:trPr>
          <w:trHeight w:val="136"/>
        </w:trPr>
        <w:tc>
          <w:tcPr>
            <w:tcW w:w="0" w:type="auto"/>
            <w:vMerge w:val="restart"/>
            <w:hideMark/>
          </w:tcPr>
          <w:p w:rsidR="004B57F6" w:rsidRPr="00466306" w:rsidRDefault="004B57F6" w:rsidP="005150B7">
            <w:pPr>
              <w:jc w:val="center"/>
              <w:rPr>
                <w:rFonts w:eastAsiaTheme="minorEastAsia"/>
                <w:kern w:val="2"/>
                <w:sz w:val="15"/>
                <w:szCs w:val="15"/>
              </w:rPr>
            </w:pPr>
          </w:p>
          <w:p w:rsidR="004B57F6" w:rsidRPr="00466306" w:rsidRDefault="004B57F6" w:rsidP="005150B7">
            <w:pPr>
              <w:jc w:val="center"/>
              <w:rPr>
                <w:rFonts w:eastAsiaTheme="minorEastAsia"/>
                <w:kern w:val="2"/>
                <w:sz w:val="15"/>
                <w:szCs w:val="15"/>
              </w:rPr>
            </w:pPr>
            <w:r w:rsidRPr="00466306">
              <w:rPr>
                <w:rFonts w:eastAsiaTheme="minorEastAsia"/>
                <w:kern w:val="2"/>
                <w:sz w:val="15"/>
                <w:szCs w:val="15"/>
              </w:rPr>
              <w:t>Pesticides</w:t>
            </w:r>
          </w:p>
        </w:tc>
        <w:tc>
          <w:tcPr>
            <w:tcW w:w="0" w:type="auto"/>
            <w:gridSpan w:val="6"/>
          </w:tcPr>
          <w:p w:rsidR="004B57F6" w:rsidRPr="00466306" w:rsidRDefault="004B57F6" w:rsidP="005150B7">
            <w:pPr>
              <w:jc w:val="center"/>
              <w:rPr>
                <w:rFonts w:eastAsiaTheme="minorEastAsia"/>
                <w:kern w:val="2"/>
                <w:sz w:val="15"/>
                <w:szCs w:val="15"/>
              </w:rPr>
            </w:pPr>
            <w:r w:rsidRPr="00466306">
              <w:rPr>
                <w:rFonts w:eastAsiaTheme="minorEastAsia"/>
                <w:kern w:val="2"/>
                <w:sz w:val="15"/>
                <w:szCs w:val="15"/>
              </w:rPr>
              <w:t>Recoveries (%); RSD (%)</w:t>
            </w:r>
          </w:p>
        </w:tc>
      </w:tr>
      <w:tr w:rsidR="00466306" w:rsidRPr="00466306" w:rsidTr="008F021A">
        <w:trPr>
          <w:trHeight w:val="142"/>
        </w:trPr>
        <w:tc>
          <w:tcPr>
            <w:tcW w:w="0" w:type="auto"/>
            <w:vMerge/>
          </w:tcPr>
          <w:p w:rsidR="004B57F6" w:rsidRPr="00466306" w:rsidRDefault="004B57F6" w:rsidP="005150B7">
            <w:pPr>
              <w:jc w:val="center"/>
              <w:rPr>
                <w:rFonts w:eastAsiaTheme="minorEastAsia"/>
                <w:kern w:val="2"/>
                <w:sz w:val="15"/>
                <w:szCs w:val="15"/>
              </w:rPr>
            </w:pPr>
          </w:p>
        </w:tc>
        <w:tc>
          <w:tcPr>
            <w:tcW w:w="0" w:type="auto"/>
            <w:vMerge w:val="restart"/>
          </w:tcPr>
          <w:p w:rsidR="004B57F6" w:rsidRPr="00466306" w:rsidRDefault="004B57F6" w:rsidP="007B2197">
            <w:pPr>
              <w:jc w:val="center"/>
              <w:rPr>
                <w:rFonts w:eastAsiaTheme="minorEastAsia"/>
                <w:kern w:val="2"/>
                <w:sz w:val="15"/>
                <w:szCs w:val="15"/>
              </w:rPr>
            </w:pPr>
          </w:p>
        </w:tc>
        <w:tc>
          <w:tcPr>
            <w:tcW w:w="0" w:type="auto"/>
          </w:tcPr>
          <w:p w:rsidR="004B57F6" w:rsidRPr="00466306" w:rsidRDefault="004B57F6" w:rsidP="005150B7">
            <w:pPr>
              <w:jc w:val="center"/>
              <w:rPr>
                <w:rFonts w:eastAsiaTheme="minorEastAsia"/>
                <w:kern w:val="2"/>
                <w:sz w:val="15"/>
                <w:szCs w:val="15"/>
              </w:rPr>
            </w:pPr>
          </w:p>
        </w:tc>
        <w:tc>
          <w:tcPr>
            <w:tcW w:w="0" w:type="auto"/>
          </w:tcPr>
          <w:p w:rsidR="004B57F6" w:rsidRPr="00466306" w:rsidRDefault="004B57F6" w:rsidP="005150B7">
            <w:pPr>
              <w:jc w:val="center"/>
              <w:rPr>
                <w:rFonts w:eastAsiaTheme="minorEastAsia"/>
                <w:kern w:val="2"/>
                <w:sz w:val="15"/>
                <w:szCs w:val="15"/>
              </w:rPr>
            </w:pPr>
            <w:r w:rsidRPr="00466306">
              <w:rPr>
                <w:rFonts w:eastAsiaTheme="minorEastAsia"/>
                <w:kern w:val="2"/>
                <w:sz w:val="15"/>
                <w:szCs w:val="15"/>
              </w:rPr>
              <w:t>salad</w:t>
            </w:r>
          </w:p>
        </w:tc>
        <w:tc>
          <w:tcPr>
            <w:tcW w:w="0" w:type="auto"/>
          </w:tcPr>
          <w:p w:rsidR="004B57F6" w:rsidRPr="00466306" w:rsidRDefault="004B57F6" w:rsidP="005150B7">
            <w:pPr>
              <w:jc w:val="center"/>
              <w:rPr>
                <w:rFonts w:eastAsiaTheme="minorEastAsia"/>
                <w:kern w:val="2"/>
                <w:sz w:val="15"/>
                <w:szCs w:val="15"/>
              </w:rPr>
            </w:pPr>
          </w:p>
        </w:tc>
        <w:tc>
          <w:tcPr>
            <w:tcW w:w="0" w:type="auto"/>
          </w:tcPr>
          <w:p w:rsidR="004B57F6" w:rsidRPr="00466306" w:rsidRDefault="004B57F6" w:rsidP="005150B7">
            <w:pPr>
              <w:jc w:val="center"/>
              <w:rPr>
                <w:rFonts w:eastAsiaTheme="minorEastAsia"/>
                <w:kern w:val="2"/>
                <w:sz w:val="15"/>
                <w:szCs w:val="15"/>
              </w:rPr>
            </w:pPr>
          </w:p>
        </w:tc>
        <w:tc>
          <w:tcPr>
            <w:tcW w:w="0" w:type="auto"/>
            <w:vMerge w:val="restart"/>
          </w:tcPr>
          <w:p w:rsidR="004B57F6" w:rsidRPr="00466306" w:rsidRDefault="004B57F6" w:rsidP="00026E4D">
            <w:pPr>
              <w:jc w:val="center"/>
              <w:rPr>
                <w:rFonts w:eastAsiaTheme="minorEastAsia"/>
                <w:kern w:val="2"/>
                <w:sz w:val="15"/>
                <w:szCs w:val="15"/>
              </w:rPr>
            </w:pPr>
          </w:p>
        </w:tc>
      </w:tr>
      <w:tr w:rsidR="008F021A" w:rsidRPr="00466306" w:rsidTr="008F021A">
        <w:tc>
          <w:tcPr>
            <w:tcW w:w="0" w:type="auto"/>
            <w:vMerge/>
            <w:tcBorders>
              <w:bottom w:val="single" w:sz="4" w:space="0" w:color="auto"/>
            </w:tcBorders>
            <w:vAlign w:val="center"/>
            <w:hideMark/>
          </w:tcPr>
          <w:p w:rsidR="004B57F6" w:rsidRPr="00466306" w:rsidRDefault="004B57F6" w:rsidP="00466306">
            <w:pPr>
              <w:jc w:val="center"/>
              <w:rPr>
                <w:rFonts w:eastAsiaTheme="minorEastAsia"/>
                <w:kern w:val="2"/>
                <w:sz w:val="15"/>
                <w:szCs w:val="15"/>
              </w:rPr>
            </w:pPr>
          </w:p>
        </w:tc>
        <w:tc>
          <w:tcPr>
            <w:tcW w:w="0" w:type="auto"/>
            <w:vMerge/>
            <w:tcBorders>
              <w:bottom w:val="single" w:sz="4" w:space="0" w:color="auto"/>
            </w:tcBorders>
          </w:tcPr>
          <w:p w:rsidR="004B57F6" w:rsidRPr="00466306" w:rsidRDefault="004B57F6" w:rsidP="007B2197">
            <w:pPr>
              <w:jc w:val="center"/>
              <w:rPr>
                <w:rFonts w:eastAsiaTheme="minorEastAsia"/>
                <w:kern w:val="2"/>
                <w:sz w:val="15"/>
                <w:szCs w:val="15"/>
              </w:rPr>
            </w:pPr>
          </w:p>
        </w:tc>
        <w:tc>
          <w:tcPr>
            <w:tcW w:w="0" w:type="auto"/>
            <w:tcBorders>
              <w:bottom w:val="single" w:sz="4" w:space="0" w:color="auto"/>
            </w:tcBorders>
          </w:tcPr>
          <w:p w:rsidR="004B57F6" w:rsidRPr="00466306" w:rsidRDefault="004B57F6" w:rsidP="005150B7">
            <w:pPr>
              <w:jc w:val="center"/>
              <w:rPr>
                <w:rFonts w:eastAsiaTheme="minorEastAsia"/>
                <w:kern w:val="2"/>
                <w:sz w:val="15"/>
                <w:szCs w:val="15"/>
              </w:rPr>
            </w:pPr>
            <w:r w:rsidRPr="00466306">
              <w:rPr>
                <w:rFonts w:eastAsiaTheme="minorEastAsia"/>
                <w:kern w:val="2"/>
                <w:sz w:val="15"/>
                <w:szCs w:val="15"/>
              </w:rPr>
              <w:t>0.005</w:t>
            </w:r>
          </w:p>
        </w:tc>
        <w:tc>
          <w:tcPr>
            <w:tcW w:w="0" w:type="auto"/>
            <w:tcBorders>
              <w:bottom w:val="single" w:sz="4" w:space="0" w:color="auto"/>
            </w:tcBorders>
          </w:tcPr>
          <w:p w:rsidR="004B57F6" w:rsidRPr="00466306" w:rsidRDefault="004B57F6" w:rsidP="005150B7">
            <w:pPr>
              <w:jc w:val="center"/>
              <w:rPr>
                <w:rFonts w:eastAsiaTheme="minorEastAsia"/>
                <w:kern w:val="2"/>
                <w:sz w:val="15"/>
                <w:szCs w:val="15"/>
              </w:rPr>
            </w:pPr>
            <w:r w:rsidRPr="00466306">
              <w:rPr>
                <w:rFonts w:eastAsiaTheme="minorEastAsia"/>
                <w:kern w:val="2"/>
                <w:sz w:val="15"/>
                <w:szCs w:val="15"/>
              </w:rPr>
              <w:t>0.05</w:t>
            </w:r>
          </w:p>
        </w:tc>
        <w:tc>
          <w:tcPr>
            <w:tcW w:w="0" w:type="auto"/>
            <w:tcBorders>
              <w:bottom w:val="single" w:sz="4" w:space="0" w:color="auto"/>
            </w:tcBorders>
          </w:tcPr>
          <w:p w:rsidR="004B57F6" w:rsidRPr="00466306" w:rsidRDefault="004B57F6" w:rsidP="005150B7">
            <w:pPr>
              <w:jc w:val="center"/>
              <w:rPr>
                <w:rFonts w:eastAsiaTheme="minorEastAsia"/>
                <w:kern w:val="2"/>
                <w:sz w:val="15"/>
                <w:szCs w:val="15"/>
              </w:rPr>
            </w:pPr>
            <w:r w:rsidRPr="00466306">
              <w:rPr>
                <w:rFonts w:eastAsiaTheme="minorEastAsia"/>
                <w:kern w:val="2"/>
                <w:sz w:val="15"/>
                <w:szCs w:val="15"/>
              </w:rPr>
              <w:t>0.5</w:t>
            </w:r>
          </w:p>
        </w:tc>
        <w:tc>
          <w:tcPr>
            <w:tcW w:w="0" w:type="auto"/>
            <w:tcBorders>
              <w:bottom w:val="single" w:sz="4" w:space="0" w:color="auto"/>
            </w:tcBorders>
          </w:tcPr>
          <w:p w:rsidR="004B57F6" w:rsidRPr="00466306" w:rsidRDefault="004B57F6" w:rsidP="005150B7">
            <w:pPr>
              <w:jc w:val="center"/>
              <w:rPr>
                <w:rFonts w:eastAsiaTheme="minorEastAsia"/>
                <w:kern w:val="2"/>
                <w:sz w:val="15"/>
                <w:szCs w:val="15"/>
              </w:rPr>
            </w:pPr>
          </w:p>
        </w:tc>
        <w:tc>
          <w:tcPr>
            <w:tcW w:w="0" w:type="auto"/>
            <w:vMerge/>
          </w:tcPr>
          <w:p w:rsidR="004B57F6" w:rsidRPr="00466306" w:rsidRDefault="004B57F6" w:rsidP="00026E4D">
            <w:pPr>
              <w:jc w:val="center"/>
              <w:rPr>
                <w:rFonts w:eastAsiaTheme="minorEastAsia"/>
                <w:kern w:val="2"/>
                <w:sz w:val="15"/>
                <w:szCs w:val="15"/>
              </w:rPr>
            </w:pPr>
          </w:p>
        </w:tc>
      </w:tr>
      <w:tr w:rsidR="008F021A" w:rsidRPr="00466306" w:rsidTr="008F021A">
        <w:tc>
          <w:tcPr>
            <w:tcW w:w="0" w:type="auto"/>
            <w:tcBorders>
              <w:bottom w:val="nil"/>
            </w:tcBorders>
            <w:vAlign w:val="center"/>
          </w:tcPr>
          <w:p w:rsidR="004B57F6" w:rsidRPr="00466306" w:rsidRDefault="004B57F6" w:rsidP="005150B7">
            <w:pPr>
              <w:jc w:val="center"/>
              <w:rPr>
                <w:rFonts w:eastAsiaTheme="minorEastAsia"/>
                <w:kern w:val="2"/>
                <w:sz w:val="15"/>
                <w:szCs w:val="15"/>
              </w:rPr>
            </w:pPr>
            <w:bookmarkStart w:id="6" w:name="_Hlk18183101"/>
            <w:bookmarkStart w:id="7" w:name="OLE_LINK176"/>
            <w:bookmarkStart w:id="8" w:name="OLE_LINK177"/>
            <w:bookmarkStart w:id="9" w:name="OLE_LINK178"/>
            <w:bookmarkStart w:id="10" w:name="OLE_LINK179"/>
            <w:r w:rsidRPr="00466306">
              <w:rPr>
                <w:rFonts w:eastAsiaTheme="minorEastAsia"/>
                <w:kern w:val="2"/>
                <w:sz w:val="15"/>
                <w:szCs w:val="15"/>
              </w:rPr>
              <w:t>Imidacloprid</w:t>
            </w:r>
          </w:p>
        </w:tc>
        <w:tc>
          <w:tcPr>
            <w:tcW w:w="0" w:type="auto"/>
            <w:vMerge/>
            <w:tcBorders>
              <w:bottom w:val="nil"/>
            </w:tcBorders>
            <w:vAlign w:val="bottom"/>
          </w:tcPr>
          <w:p w:rsidR="004B57F6" w:rsidRPr="00466306" w:rsidRDefault="004B57F6" w:rsidP="007B2197">
            <w:pPr>
              <w:jc w:val="center"/>
              <w:rPr>
                <w:rFonts w:eastAsiaTheme="minorEastAsia"/>
                <w:kern w:val="2"/>
                <w:sz w:val="15"/>
                <w:szCs w:val="15"/>
              </w:rPr>
            </w:pPr>
          </w:p>
        </w:tc>
        <w:tc>
          <w:tcPr>
            <w:tcW w:w="0" w:type="auto"/>
            <w:tcBorders>
              <w:bottom w:val="nil"/>
            </w:tcBorders>
            <w:vAlign w:val="bottom"/>
          </w:tcPr>
          <w:p w:rsidR="008F021A" w:rsidRPr="00466306" w:rsidRDefault="008F021A" w:rsidP="008F021A">
            <w:pPr>
              <w:jc w:val="center"/>
              <w:rPr>
                <w:rFonts w:eastAsiaTheme="minorEastAsia"/>
                <w:kern w:val="2"/>
                <w:sz w:val="15"/>
                <w:szCs w:val="15"/>
              </w:rPr>
            </w:pPr>
            <w:r w:rsidRPr="00466306">
              <w:rPr>
                <w:rFonts w:eastAsiaTheme="minorEastAsia"/>
                <w:kern w:val="2"/>
                <w:sz w:val="15"/>
                <w:szCs w:val="15"/>
              </w:rPr>
              <w:t>101.45</w:t>
            </w:r>
          </w:p>
          <w:p w:rsidR="004B57F6" w:rsidRPr="00466306" w:rsidRDefault="008F021A" w:rsidP="008F021A">
            <w:pPr>
              <w:jc w:val="center"/>
              <w:rPr>
                <w:rFonts w:eastAsiaTheme="minorEastAsia"/>
                <w:kern w:val="2"/>
                <w:sz w:val="15"/>
                <w:szCs w:val="15"/>
              </w:rPr>
            </w:pPr>
            <w:r w:rsidRPr="00466306">
              <w:rPr>
                <w:rFonts w:eastAsiaTheme="minorEastAsia"/>
                <w:kern w:val="2"/>
                <w:sz w:val="15"/>
                <w:szCs w:val="15"/>
              </w:rPr>
              <w:t>6.47</w:t>
            </w:r>
          </w:p>
        </w:tc>
        <w:tc>
          <w:tcPr>
            <w:tcW w:w="0" w:type="auto"/>
            <w:tcBorders>
              <w:bottom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91.07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7.47</w:t>
            </w:r>
          </w:p>
        </w:tc>
        <w:tc>
          <w:tcPr>
            <w:tcW w:w="0" w:type="auto"/>
            <w:tcBorders>
              <w:bottom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85.07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4.92</w:t>
            </w:r>
          </w:p>
        </w:tc>
        <w:tc>
          <w:tcPr>
            <w:tcW w:w="0" w:type="auto"/>
            <w:tcBorders>
              <w:bottom w:val="nil"/>
            </w:tcBorders>
            <w:vAlign w:val="bottom"/>
          </w:tcPr>
          <w:p w:rsidR="004B57F6" w:rsidRPr="00466306" w:rsidRDefault="004B57F6" w:rsidP="005150B7">
            <w:pPr>
              <w:jc w:val="center"/>
              <w:rPr>
                <w:rFonts w:eastAsiaTheme="minorEastAsia"/>
                <w:kern w:val="2"/>
                <w:sz w:val="15"/>
                <w:szCs w:val="15"/>
              </w:rPr>
            </w:pPr>
          </w:p>
        </w:tc>
        <w:tc>
          <w:tcPr>
            <w:tcW w:w="0" w:type="auto"/>
            <w:vMerge/>
            <w:vAlign w:val="bottom"/>
          </w:tcPr>
          <w:p w:rsidR="004B57F6" w:rsidRPr="00466306" w:rsidRDefault="004B57F6" w:rsidP="00026E4D">
            <w:pPr>
              <w:jc w:val="center"/>
              <w:rPr>
                <w:rFonts w:eastAsiaTheme="minorEastAsia"/>
                <w:kern w:val="2"/>
                <w:sz w:val="15"/>
                <w:szCs w:val="15"/>
              </w:rPr>
            </w:pPr>
          </w:p>
        </w:tc>
      </w:tr>
      <w:tr w:rsidR="008F021A" w:rsidRPr="00466306" w:rsidTr="008F021A">
        <w:tc>
          <w:tcPr>
            <w:tcW w:w="0" w:type="auto"/>
            <w:tcBorders>
              <w:top w:val="nil"/>
              <w:bottom w:val="nil"/>
            </w:tcBorders>
            <w:vAlign w:val="center"/>
          </w:tcPr>
          <w:p w:rsidR="004B57F6" w:rsidRPr="00466306" w:rsidRDefault="004B57F6" w:rsidP="005150B7">
            <w:pPr>
              <w:jc w:val="center"/>
              <w:rPr>
                <w:rFonts w:eastAsiaTheme="minorEastAsia"/>
                <w:kern w:val="2"/>
                <w:sz w:val="15"/>
                <w:szCs w:val="15"/>
              </w:rPr>
            </w:pPr>
            <w:bookmarkStart w:id="11" w:name="OLE_LINK150"/>
            <w:bookmarkStart w:id="12" w:name="OLE_LINK151"/>
            <w:bookmarkStart w:id="13" w:name="OLE_LINK152"/>
            <w:r w:rsidRPr="00466306">
              <w:rPr>
                <w:rFonts w:eastAsiaTheme="minorEastAsia"/>
                <w:kern w:val="2"/>
                <w:sz w:val="15"/>
                <w:szCs w:val="15"/>
              </w:rPr>
              <w:t>Cyromazine</w:t>
            </w:r>
            <w:bookmarkEnd w:id="11"/>
            <w:bookmarkEnd w:id="12"/>
            <w:bookmarkEnd w:id="13"/>
          </w:p>
        </w:tc>
        <w:tc>
          <w:tcPr>
            <w:tcW w:w="0" w:type="auto"/>
            <w:vMerge/>
            <w:tcBorders>
              <w:top w:val="nil"/>
              <w:bottom w:val="nil"/>
            </w:tcBorders>
            <w:vAlign w:val="bottom"/>
          </w:tcPr>
          <w:p w:rsidR="004B57F6" w:rsidRPr="00466306" w:rsidRDefault="004B57F6" w:rsidP="007B2197">
            <w:pPr>
              <w:jc w:val="center"/>
              <w:rPr>
                <w:rFonts w:eastAsiaTheme="minorEastAsia"/>
                <w:kern w:val="2"/>
                <w:sz w:val="15"/>
                <w:szCs w:val="15"/>
              </w:rPr>
            </w:pPr>
          </w:p>
        </w:tc>
        <w:tc>
          <w:tcPr>
            <w:tcW w:w="0" w:type="auto"/>
            <w:tcBorders>
              <w:top w:val="nil"/>
              <w:bottom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101.46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8.87</w:t>
            </w:r>
          </w:p>
        </w:tc>
        <w:tc>
          <w:tcPr>
            <w:tcW w:w="0" w:type="auto"/>
            <w:tcBorders>
              <w:top w:val="nil"/>
              <w:bottom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98.66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7.52</w:t>
            </w:r>
          </w:p>
        </w:tc>
        <w:tc>
          <w:tcPr>
            <w:tcW w:w="0" w:type="auto"/>
            <w:tcBorders>
              <w:top w:val="nil"/>
              <w:bottom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86.71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5.40</w:t>
            </w:r>
          </w:p>
        </w:tc>
        <w:tc>
          <w:tcPr>
            <w:tcW w:w="0" w:type="auto"/>
            <w:tcBorders>
              <w:top w:val="nil"/>
              <w:bottom w:val="nil"/>
            </w:tcBorders>
            <w:vAlign w:val="bottom"/>
          </w:tcPr>
          <w:p w:rsidR="004B57F6" w:rsidRPr="00466306" w:rsidRDefault="004B57F6" w:rsidP="005150B7">
            <w:pPr>
              <w:jc w:val="center"/>
              <w:rPr>
                <w:rFonts w:eastAsiaTheme="minorEastAsia"/>
                <w:kern w:val="2"/>
                <w:sz w:val="15"/>
                <w:szCs w:val="15"/>
              </w:rPr>
            </w:pPr>
          </w:p>
        </w:tc>
        <w:tc>
          <w:tcPr>
            <w:tcW w:w="0" w:type="auto"/>
            <w:vMerge/>
            <w:vAlign w:val="bottom"/>
          </w:tcPr>
          <w:p w:rsidR="004B57F6" w:rsidRPr="00466306" w:rsidRDefault="004B57F6" w:rsidP="00026E4D">
            <w:pPr>
              <w:jc w:val="center"/>
              <w:rPr>
                <w:rFonts w:eastAsiaTheme="minorEastAsia"/>
                <w:kern w:val="2"/>
                <w:sz w:val="15"/>
                <w:szCs w:val="15"/>
              </w:rPr>
            </w:pPr>
          </w:p>
        </w:tc>
      </w:tr>
      <w:tr w:rsidR="008F021A" w:rsidRPr="00466306" w:rsidTr="008F021A">
        <w:tc>
          <w:tcPr>
            <w:tcW w:w="0" w:type="auto"/>
            <w:tcBorders>
              <w:top w:val="nil"/>
              <w:bottom w:val="nil"/>
            </w:tcBorders>
            <w:vAlign w:val="center"/>
          </w:tcPr>
          <w:p w:rsidR="004B57F6" w:rsidRPr="00466306" w:rsidRDefault="004B57F6" w:rsidP="005150B7">
            <w:pPr>
              <w:jc w:val="center"/>
              <w:rPr>
                <w:rFonts w:eastAsiaTheme="minorEastAsia"/>
                <w:kern w:val="2"/>
                <w:sz w:val="15"/>
                <w:szCs w:val="15"/>
              </w:rPr>
            </w:pPr>
            <w:r w:rsidRPr="00466306">
              <w:rPr>
                <w:rFonts w:eastAsiaTheme="minorEastAsia"/>
                <w:kern w:val="2"/>
                <w:sz w:val="15"/>
                <w:szCs w:val="15"/>
              </w:rPr>
              <w:t>Iprodione</w:t>
            </w:r>
          </w:p>
        </w:tc>
        <w:tc>
          <w:tcPr>
            <w:tcW w:w="0" w:type="auto"/>
            <w:vMerge/>
            <w:tcBorders>
              <w:top w:val="nil"/>
              <w:bottom w:val="nil"/>
            </w:tcBorders>
            <w:vAlign w:val="bottom"/>
          </w:tcPr>
          <w:p w:rsidR="004B57F6" w:rsidRPr="00466306" w:rsidRDefault="004B57F6" w:rsidP="007B2197">
            <w:pPr>
              <w:jc w:val="center"/>
              <w:rPr>
                <w:rFonts w:eastAsiaTheme="minorEastAsia"/>
                <w:kern w:val="2"/>
                <w:sz w:val="15"/>
                <w:szCs w:val="15"/>
              </w:rPr>
            </w:pPr>
          </w:p>
        </w:tc>
        <w:tc>
          <w:tcPr>
            <w:tcW w:w="0" w:type="auto"/>
            <w:tcBorders>
              <w:top w:val="nil"/>
              <w:bottom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102.20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8.23</w:t>
            </w:r>
          </w:p>
        </w:tc>
        <w:tc>
          <w:tcPr>
            <w:tcW w:w="0" w:type="auto"/>
            <w:tcBorders>
              <w:top w:val="nil"/>
              <w:bottom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91.67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7.05</w:t>
            </w:r>
          </w:p>
        </w:tc>
        <w:tc>
          <w:tcPr>
            <w:tcW w:w="0" w:type="auto"/>
            <w:tcBorders>
              <w:top w:val="nil"/>
              <w:bottom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93.67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7.79</w:t>
            </w:r>
          </w:p>
        </w:tc>
        <w:tc>
          <w:tcPr>
            <w:tcW w:w="0" w:type="auto"/>
            <w:tcBorders>
              <w:top w:val="nil"/>
              <w:bottom w:val="nil"/>
            </w:tcBorders>
            <w:vAlign w:val="bottom"/>
          </w:tcPr>
          <w:p w:rsidR="004B57F6" w:rsidRPr="00466306" w:rsidRDefault="004B57F6" w:rsidP="005150B7">
            <w:pPr>
              <w:jc w:val="center"/>
              <w:rPr>
                <w:rFonts w:eastAsiaTheme="minorEastAsia"/>
                <w:kern w:val="2"/>
                <w:sz w:val="15"/>
                <w:szCs w:val="15"/>
              </w:rPr>
            </w:pPr>
          </w:p>
        </w:tc>
        <w:tc>
          <w:tcPr>
            <w:tcW w:w="0" w:type="auto"/>
            <w:vMerge/>
            <w:vAlign w:val="bottom"/>
          </w:tcPr>
          <w:p w:rsidR="004B57F6" w:rsidRPr="00466306" w:rsidRDefault="004B57F6" w:rsidP="00026E4D">
            <w:pPr>
              <w:jc w:val="center"/>
              <w:rPr>
                <w:rFonts w:eastAsiaTheme="minorEastAsia"/>
                <w:kern w:val="2"/>
                <w:sz w:val="15"/>
                <w:szCs w:val="15"/>
              </w:rPr>
            </w:pPr>
          </w:p>
        </w:tc>
      </w:tr>
      <w:tr w:rsidR="008F021A" w:rsidRPr="00466306" w:rsidTr="008F021A">
        <w:tc>
          <w:tcPr>
            <w:tcW w:w="0" w:type="auto"/>
            <w:tcBorders>
              <w:top w:val="nil"/>
              <w:bottom w:val="nil"/>
            </w:tcBorders>
            <w:vAlign w:val="center"/>
          </w:tcPr>
          <w:p w:rsidR="004B57F6" w:rsidRPr="00466306" w:rsidRDefault="004B57F6" w:rsidP="005150B7">
            <w:pPr>
              <w:jc w:val="center"/>
              <w:rPr>
                <w:rFonts w:eastAsiaTheme="minorEastAsia"/>
                <w:kern w:val="2"/>
                <w:sz w:val="15"/>
                <w:szCs w:val="15"/>
              </w:rPr>
            </w:pPr>
            <w:r w:rsidRPr="00466306">
              <w:rPr>
                <w:rFonts w:eastAsiaTheme="minorEastAsia"/>
                <w:kern w:val="2"/>
                <w:sz w:val="15"/>
                <w:szCs w:val="15"/>
              </w:rPr>
              <w:t>Tebuconazole</w:t>
            </w:r>
          </w:p>
        </w:tc>
        <w:tc>
          <w:tcPr>
            <w:tcW w:w="0" w:type="auto"/>
            <w:vMerge/>
            <w:tcBorders>
              <w:top w:val="nil"/>
              <w:bottom w:val="nil"/>
            </w:tcBorders>
            <w:vAlign w:val="bottom"/>
          </w:tcPr>
          <w:p w:rsidR="004B57F6" w:rsidRPr="00466306" w:rsidRDefault="004B57F6" w:rsidP="007B2197">
            <w:pPr>
              <w:jc w:val="center"/>
              <w:rPr>
                <w:rFonts w:eastAsiaTheme="minorEastAsia"/>
                <w:kern w:val="2"/>
                <w:sz w:val="15"/>
                <w:szCs w:val="15"/>
              </w:rPr>
            </w:pPr>
          </w:p>
        </w:tc>
        <w:tc>
          <w:tcPr>
            <w:tcW w:w="0" w:type="auto"/>
            <w:tcBorders>
              <w:top w:val="nil"/>
              <w:bottom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93.03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7.76</w:t>
            </w:r>
          </w:p>
        </w:tc>
        <w:tc>
          <w:tcPr>
            <w:tcW w:w="0" w:type="auto"/>
            <w:tcBorders>
              <w:top w:val="nil"/>
              <w:bottom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93.42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9.34</w:t>
            </w:r>
          </w:p>
        </w:tc>
        <w:tc>
          <w:tcPr>
            <w:tcW w:w="0" w:type="auto"/>
            <w:tcBorders>
              <w:top w:val="nil"/>
              <w:bottom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82.74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2.41</w:t>
            </w:r>
          </w:p>
        </w:tc>
        <w:tc>
          <w:tcPr>
            <w:tcW w:w="0" w:type="auto"/>
            <w:tcBorders>
              <w:top w:val="nil"/>
              <w:bottom w:val="nil"/>
            </w:tcBorders>
            <w:vAlign w:val="bottom"/>
          </w:tcPr>
          <w:p w:rsidR="004B57F6" w:rsidRPr="00466306" w:rsidRDefault="004B57F6" w:rsidP="005150B7">
            <w:pPr>
              <w:jc w:val="center"/>
              <w:rPr>
                <w:rFonts w:eastAsiaTheme="minorEastAsia"/>
                <w:kern w:val="2"/>
                <w:sz w:val="15"/>
                <w:szCs w:val="15"/>
              </w:rPr>
            </w:pPr>
          </w:p>
        </w:tc>
        <w:tc>
          <w:tcPr>
            <w:tcW w:w="0" w:type="auto"/>
            <w:vMerge/>
            <w:vAlign w:val="bottom"/>
          </w:tcPr>
          <w:p w:rsidR="004B57F6" w:rsidRPr="00466306" w:rsidRDefault="004B57F6" w:rsidP="00026E4D">
            <w:pPr>
              <w:jc w:val="center"/>
              <w:rPr>
                <w:rFonts w:eastAsiaTheme="minorEastAsia"/>
                <w:kern w:val="2"/>
                <w:sz w:val="15"/>
                <w:szCs w:val="15"/>
              </w:rPr>
            </w:pPr>
          </w:p>
        </w:tc>
      </w:tr>
      <w:tr w:rsidR="008F021A" w:rsidRPr="00466306" w:rsidTr="008F021A">
        <w:tc>
          <w:tcPr>
            <w:tcW w:w="0" w:type="auto"/>
            <w:tcBorders>
              <w:top w:val="nil"/>
              <w:bottom w:val="nil"/>
            </w:tcBorders>
            <w:vAlign w:val="center"/>
          </w:tcPr>
          <w:p w:rsidR="004B57F6" w:rsidRPr="00466306" w:rsidRDefault="004B57F6" w:rsidP="005150B7">
            <w:pPr>
              <w:jc w:val="center"/>
              <w:rPr>
                <w:rFonts w:eastAsiaTheme="minorEastAsia"/>
                <w:kern w:val="2"/>
                <w:sz w:val="15"/>
                <w:szCs w:val="15"/>
              </w:rPr>
            </w:pPr>
            <w:r w:rsidRPr="00466306">
              <w:rPr>
                <w:rFonts w:eastAsiaTheme="minorEastAsia"/>
                <w:kern w:val="2"/>
                <w:sz w:val="15"/>
                <w:szCs w:val="15"/>
              </w:rPr>
              <w:t>Prochloraz</w:t>
            </w:r>
          </w:p>
        </w:tc>
        <w:tc>
          <w:tcPr>
            <w:tcW w:w="0" w:type="auto"/>
            <w:vMerge/>
            <w:tcBorders>
              <w:top w:val="nil"/>
              <w:bottom w:val="nil"/>
            </w:tcBorders>
            <w:vAlign w:val="bottom"/>
          </w:tcPr>
          <w:p w:rsidR="004B57F6" w:rsidRPr="00466306" w:rsidRDefault="004B57F6" w:rsidP="007B2197">
            <w:pPr>
              <w:jc w:val="center"/>
              <w:rPr>
                <w:rFonts w:eastAsiaTheme="minorEastAsia"/>
                <w:kern w:val="2"/>
                <w:sz w:val="15"/>
                <w:szCs w:val="15"/>
              </w:rPr>
            </w:pPr>
          </w:p>
        </w:tc>
        <w:tc>
          <w:tcPr>
            <w:tcW w:w="0" w:type="auto"/>
            <w:tcBorders>
              <w:top w:val="nil"/>
              <w:bottom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96.67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4.30</w:t>
            </w:r>
          </w:p>
        </w:tc>
        <w:tc>
          <w:tcPr>
            <w:tcW w:w="0" w:type="auto"/>
            <w:tcBorders>
              <w:top w:val="nil"/>
              <w:bottom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95.17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5.79</w:t>
            </w:r>
          </w:p>
        </w:tc>
        <w:tc>
          <w:tcPr>
            <w:tcW w:w="0" w:type="auto"/>
            <w:tcBorders>
              <w:top w:val="nil"/>
              <w:bottom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94.63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5.99</w:t>
            </w:r>
          </w:p>
        </w:tc>
        <w:tc>
          <w:tcPr>
            <w:tcW w:w="0" w:type="auto"/>
            <w:tcBorders>
              <w:top w:val="nil"/>
              <w:bottom w:val="nil"/>
            </w:tcBorders>
            <w:vAlign w:val="bottom"/>
          </w:tcPr>
          <w:p w:rsidR="004B57F6" w:rsidRPr="00466306" w:rsidRDefault="004B57F6" w:rsidP="005150B7">
            <w:pPr>
              <w:jc w:val="center"/>
              <w:rPr>
                <w:rFonts w:eastAsiaTheme="minorEastAsia"/>
                <w:kern w:val="2"/>
                <w:sz w:val="15"/>
                <w:szCs w:val="15"/>
              </w:rPr>
            </w:pPr>
          </w:p>
        </w:tc>
        <w:tc>
          <w:tcPr>
            <w:tcW w:w="0" w:type="auto"/>
            <w:vMerge/>
            <w:vAlign w:val="bottom"/>
          </w:tcPr>
          <w:p w:rsidR="004B57F6" w:rsidRPr="00466306" w:rsidRDefault="004B57F6" w:rsidP="00026E4D">
            <w:pPr>
              <w:jc w:val="center"/>
              <w:rPr>
                <w:rFonts w:eastAsiaTheme="minorEastAsia"/>
                <w:kern w:val="2"/>
                <w:sz w:val="15"/>
                <w:szCs w:val="15"/>
              </w:rPr>
            </w:pPr>
          </w:p>
        </w:tc>
      </w:tr>
      <w:tr w:rsidR="008F021A" w:rsidRPr="00466306" w:rsidTr="008F021A">
        <w:tc>
          <w:tcPr>
            <w:tcW w:w="0" w:type="auto"/>
            <w:tcBorders>
              <w:top w:val="nil"/>
            </w:tcBorders>
            <w:vAlign w:val="center"/>
          </w:tcPr>
          <w:p w:rsidR="004B57F6" w:rsidRPr="00466306" w:rsidRDefault="004B57F6" w:rsidP="005150B7">
            <w:pPr>
              <w:jc w:val="center"/>
              <w:rPr>
                <w:rFonts w:eastAsiaTheme="minorEastAsia"/>
                <w:kern w:val="2"/>
                <w:sz w:val="15"/>
                <w:szCs w:val="15"/>
              </w:rPr>
            </w:pPr>
            <w:r w:rsidRPr="00466306">
              <w:rPr>
                <w:rFonts w:eastAsiaTheme="minorEastAsia"/>
                <w:kern w:val="2"/>
                <w:sz w:val="15"/>
                <w:szCs w:val="15"/>
              </w:rPr>
              <w:t>Diethofencarb</w:t>
            </w:r>
          </w:p>
        </w:tc>
        <w:tc>
          <w:tcPr>
            <w:tcW w:w="0" w:type="auto"/>
            <w:vMerge/>
            <w:tcBorders>
              <w:top w:val="nil"/>
            </w:tcBorders>
            <w:vAlign w:val="bottom"/>
          </w:tcPr>
          <w:p w:rsidR="004B57F6" w:rsidRPr="00466306" w:rsidRDefault="004B57F6" w:rsidP="007B2197">
            <w:pPr>
              <w:jc w:val="center"/>
              <w:rPr>
                <w:rFonts w:eastAsiaTheme="minorEastAsia"/>
                <w:kern w:val="2"/>
                <w:sz w:val="15"/>
                <w:szCs w:val="15"/>
              </w:rPr>
            </w:pPr>
          </w:p>
        </w:tc>
        <w:tc>
          <w:tcPr>
            <w:tcW w:w="0" w:type="auto"/>
            <w:tcBorders>
              <w:top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82.89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5.30</w:t>
            </w:r>
          </w:p>
        </w:tc>
        <w:tc>
          <w:tcPr>
            <w:tcW w:w="0" w:type="auto"/>
            <w:tcBorders>
              <w:top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87.62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7.49</w:t>
            </w:r>
          </w:p>
        </w:tc>
        <w:tc>
          <w:tcPr>
            <w:tcW w:w="0" w:type="auto"/>
            <w:tcBorders>
              <w:top w:val="nil"/>
            </w:tcBorders>
            <w:vAlign w:val="bottom"/>
          </w:tcPr>
          <w:p w:rsidR="008F021A" w:rsidRPr="00466306" w:rsidRDefault="008F021A" w:rsidP="005150B7">
            <w:pPr>
              <w:jc w:val="center"/>
              <w:rPr>
                <w:rFonts w:eastAsiaTheme="minorEastAsia"/>
                <w:kern w:val="2"/>
                <w:sz w:val="15"/>
                <w:szCs w:val="15"/>
              </w:rPr>
            </w:pPr>
            <w:r w:rsidRPr="00466306">
              <w:rPr>
                <w:rFonts w:eastAsiaTheme="minorEastAsia"/>
                <w:kern w:val="2"/>
                <w:sz w:val="15"/>
                <w:szCs w:val="15"/>
              </w:rPr>
              <w:t xml:space="preserve">88.47 </w:t>
            </w:r>
          </w:p>
          <w:p w:rsidR="004B57F6" w:rsidRPr="00466306" w:rsidRDefault="008F021A" w:rsidP="005150B7">
            <w:pPr>
              <w:jc w:val="center"/>
              <w:rPr>
                <w:rFonts w:eastAsiaTheme="minorEastAsia"/>
                <w:kern w:val="2"/>
                <w:sz w:val="15"/>
                <w:szCs w:val="15"/>
              </w:rPr>
            </w:pPr>
            <w:r w:rsidRPr="00466306">
              <w:rPr>
                <w:rFonts w:eastAsiaTheme="minorEastAsia"/>
                <w:kern w:val="2"/>
                <w:sz w:val="15"/>
                <w:szCs w:val="15"/>
              </w:rPr>
              <w:t>5.04</w:t>
            </w:r>
          </w:p>
        </w:tc>
        <w:tc>
          <w:tcPr>
            <w:tcW w:w="0" w:type="auto"/>
            <w:tcBorders>
              <w:top w:val="nil"/>
            </w:tcBorders>
            <w:vAlign w:val="bottom"/>
          </w:tcPr>
          <w:p w:rsidR="004B57F6" w:rsidRPr="00466306" w:rsidRDefault="004B57F6" w:rsidP="005150B7">
            <w:pPr>
              <w:jc w:val="center"/>
              <w:rPr>
                <w:rFonts w:eastAsiaTheme="minorEastAsia"/>
                <w:kern w:val="2"/>
                <w:sz w:val="15"/>
                <w:szCs w:val="15"/>
              </w:rPr>
            </w:pPr>
          </w:p>
        </w:tc>
        <w:tc>
          <w:tcPr>
            <w:tcW w:w="0" w:type="auto"/>
            <w:vMerge/>
            <w:vAlign w:val="bottom"/>
          </w:tcPr>
          <w:p w:rsidR="004B57F6" w:rsidRPr="00466306" w:rsidRDefault="004B57F6" w:rsidP="00026E4D">
            <w:pPr>
              <w:jc w:val="center"/>
              <w:rPr>
                <w:rFonts w:eastAsiaTheme="minorEastAsia"/>
                <w:kern w:val="2"/>
                <w:sz w:val="15"/>
                <w:szCs w:val="15"/>
              </w:rPr>
            </w:pPr>
          </w:p>
        </w:tc>
      </w:tr>
    </w:tbl>
    <w:bookmarkEnd w:id="6"/>
    <w:bookmarkEnd w:id="7"/>
    <w:bookmarkEnd w:id="8"/>
    <w:bookmarkEnd w:id="9"/>
    <w:bookmarkEnd w:id="10"/>
    <w:p w:rsidR="00066A26" w:rsidRPr="00066A26" w:rsidRDefault="004B57F6" w:rsidP="004B57F6">
      <w:pPr>
        <w:rPr>
          <w:rFonts w:ascii="Times New Roman" w:hAnsi="Times New Roman" w:cs="Times New Roman"/>
          <w:sz w:val="28"/>
          <w:szCs w:val="28"/>
        </w:rPr>
      </w:pPr>
      <w:r w:rsidRPr="00066A26">
        <w:rPr>
          <w:rFonts w:ascii="Times New Roman" w:hAnsi="Times New Roman" w:cs="Times New Roman"/>
          <w:sz w:val="28"/>
          <w:szCs w:val="28"/>
        </w:rPr>
        <w:t xml:space="preserve"> </w:t>
      </w:r>
    </w:p>
    <w:sectPr w:rsidR="00066A26" w:rsidRPr="00066A26" w:rsidSect="004B57F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1F5" w:rsidRDefault="000111F5" w:rsidP="004F793D">
      <w:r>
        <w:separator/>
      </w:r>
    </w:p>
  </w:endnote>
  <w:endnote w:type="continuationSeparator" w:id="0">
    <w:p w:rsidR="000111F5" w:rsidRDefault="000111F5" w:rsidP="004F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Xingkai">
    <w:altName w:val="STXingkai"/>
    <w:charset w:val="86"/>
    <w:family w:val="auto"/>
    <w:pitch w:val="variable"/>
    <w:sig w:usb0="00000001" w:usb1="080F0000" w:usb2="00000010" w:usb3="00000000" w:csb0="00040000" w:csb1="00000000"/>
  </w:font>
  <w:font w:name="TimesNewRoman,Bold">
    <w:altName w:val="Times New Roman"/>
    <w:charset w:val="00"/>
    <w:family w:val="roman"/>
    <w:pitch w:val="default"/>
    <w:sig w:usb0="00000000"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DE" w:rsidRDefault="001D5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DE" w:rsidRDefault="001D5FDE">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66d04a19a685849861743e97"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D5FDE" w:rsidRPr="001D5FDE" w:rsidRDefault="001D5FDE" w:rsidP="001D5FDE">
                          <w:pPr>
                            <w:jc w:val="left"/>
                            <w:rPr>
                              <w:rFonts w:ascii="Rockwell" w:hAnsi="Rockwell"/>
                              <w:color w:val="0078D7"/>
                              <w:sz w:val="18"/>
                            </w:rPr>
                          </w:pPr>
                          <w:r w:rsidRPr="001D5FDE">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6d04a19a685849861743e97"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EOpo7sdAwAANwYAAA4AAAAAAAAA&#10;AAAAAAAALgIAAGRycy9lMm9Eb2MueG1sUEsBAi0AFAAGAAgAAAAhAGARxibeAAAACwEAAA8AAAAA&#10;AAAAAAAAAAAAdwUAAGRycy9kb3ducmV2LnhtbFBLBQYAAAAABAAEAPMAAACCBgAAAAA=&#10;" o:allowincell="f" filled="f" stroked="f" strokeweight=".5pt">
              <v:fill o:detectmouseclick="t"/>
              <v:textbox inset="20pt,0,,0">
                <w:txbxContent>
                  <w:p w:rsidR="001D5FDE" w:rsidRPr="001D5FDE" w:rsidRDefault="001D5FDE" w:rsidP="001D5FDE">
                    <w:pPr>
                      <w:jc w:val="left"/>
                      <w:rPr>
                        <w:rFonts w:ascii="Rockwell" w:hAnsi="Rockwell"/>
                        <w:color w:val="0078D7"/>
                        <w:sz w:val="18"/>
                      </w:rPr>
                    </w:pPr>
                    <w:r w:rsidRPr="001D5FDE">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DE" w:rsidRDefault="001D5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1F5" w:rsidRDefault="000111F5" w:rsidP="004F793D">
      <w:r>
        <w:separator/>
      </w:r>
    </w:p>
  </w:footnote>
  <w:footnote w:type="continuationSeparator" w:id="0">
    <w:p w:rsidR="000111F5" w:rsidRDefault="000111F5" w:rsidP="004F7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DE" w:rsidRDefault="001D5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DE" w:rsidRDefault="001D5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FDE" w:rsidRDefault="001D5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826DF"/>
    <w:multiLevelType w:val="hybridMultilevel"/>
    <w:tmpl w:val="67548002"/>
    <w:lvl w:ilvl="0" w:tplc="5212DC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EC"/>
    <w:rsid w:val="000111F5"/>
    <w:rsid w:val="0001486C"/>
    <w:rsid w:val="00066A26"/>
    <w:rsid w:val="001D5FDE"/>
    <w:rsid w:val="0020406D"/>
    <w:rsid w:val="0037420E"/>
    <w:rsid w:val="003C62EC"/>
    <w:rsid w:val="00466306"/>
    <w:rsid w:val="004B57F6"/>
    <w:rsid w:val="004F793D"/>
    <w:rsid w:val="00530099"/>
    <w:rsid w:val="00575476"/>
    <w:rsid w:val="005B1EC3"/>
    <w:rsid w:val="006A6309"/>
    <w:rsid w:val="0078160C"/>
    <w:rsid w:val="007E234A"/>
    <w:rsid w:val="007E7200"/>
    <w:rsid w:val="008F021A"/>
    <w:rsid w:val="00B8736B"/>
    <w:rsid w:val="00C05717"/>
    <w:rsid w:val="00C93F7D"/>
    <w:rsid w:val="00EE14A8"/>
    <w:rsid w:val="00F46BC3"/>
    <w:rsid w:val="00FC3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1899F3-80DC-43C4-A1E9-4F28DE1C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9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F793D"/>
    <w:rPr>
      <w:sz w:val="18"/>
      <w:szCs w:val="18"/>
    </w:rPr>
  </w:style>
  <w:style w:type="paragraph" w:styleId="Footer">
    <w:name w:val="footer"/>
    <w:basedOn w:val="Normal"/>
    <w:link w:val="FooterChar"/>
    <w:uiPriority w:val="99"/>
    <w:unhideWhenUsed/>
    <w:rsid w:val="004F793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F793D"/>
    <w:rPr>
      <w:sz w:val="18"/>
      <w:szCs w:val="18"/>
    </w:rPr>
  </w:style>
  <w:style w:type="paragraph" w:styleId="ListParagraph">
    <w:name w:val="List Paragraph"/>
    <w:basedOn w:val="Normal"/>
    <w:uiPriority w:val="34"/>
    <w:qFormat/>
    <w:rsid w:val="004F793D"/>
    <w:pPr>
      <w:ind w:firstLineChars="200" w:firstLine="420"/>
    </w:pPr>
  </w:style>
  <w:style w:type="paragraph" w:styleId="BalloonText">
    <w:name w:val="Balloon Text"/>
    <w:basedOn w:val="Normal"/>
    <w:link w:val="BalloonTextChar"/>
    <w:uiPriority w:val="99"/>
    <w:semiHidden/>
    <w:unhideWhenUsed/>
    <w:rsid w:val="004F793D"/>
    <w:rPr>
      <w:sz w:val="18"/>
      <w:szCs w:val="18"/>
    </w:rPr>
  </w:style>
  <w:style w:type="character" w:customStyle="1" w:styleId="BalloonTextChar">
    <w:name w:val="Balloon Text Char"/>
    <w:basedOn w:val="DefaultParagraphFont"/>
    <w:link w:val="BalloonText"/>
    <w:uiPriority w:val="99"/>
    <w:semiHidden/>
    <w:rsid w:val="004F793D"/>
    <w:rPr>
      <w:sz w:val="18"/>
      <w:szCs w:val="18"/>
    </w:rPr>
  </w:style>
  <w:style w:type="table" w:styleId="TableGrid">
    <w:name w:val="Table Grid"/>
    <w:basedOn w:val="TableNormal"/>
    <w:uiPriority w:val="59"/>
    <w:rsid w:val="004B57F6"/>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709">
      <w:bodyDiv w:val="1"/>
      <w:marLeft w:val="0"/>
      <w:marRight w:val="0"/>
      <w:marTop w:val="0"/>
      <w:marBottom w:val="0"/>
      <w:divBdr>
        <w:top w:val="none" w:sz="0" w:space="0" w:color="auto"/>
        <w:left w:val="none" w:sz="0" w:space="0" w:color="auto"/>
        <w:bottom w:val="none" w:sz="0" w:space="0" w:color="auto"/>
        <w:right w:val="none" w:sz="0" w:space="0" w:color="auto"/>
      </w:divBdr>
    </w:div>
    <w:div w:id="83691778">
      <w:bodyDiv w:val="1"/>
      <w:marLeft w:val="0"/>
      <w:marRight w:val="0"/>
      <w:marTop w:val="0"/>
      <w:marBottom w:val="0"/>
      <w:divBdr>
        <w:top w:val="none" w:sz="0" w:space="0" w:color="auto"/>
        <w:left w:val="none" w:sz="0" w:space="0" w:color="auto"/>
        <w:bottom w:val="none" w:sz="0" w:space="0" w:color="auto"/>
        <w:right w:val="none" w:sz="0" w:space="0" w:color="auto"/>
      </w:divBdr>
    </w:div>
    <w:div w:id="104277431">
      <w:bodyDiv w:val="1"/>
      <w:marLeft w:val="0"/>
      <w:marRight w:val="0"/>
      <w:marTop w:val="0"/>
      <w:marBottom w:val="0"/>
      <w:divBdr>
        <w:top w:val="none" w:sz="0" w:space="0" w:color="auto"/>
        <w:left w:val="none" w:sz="0" w:space="0" w:color="auto"/>
        <w:bottom w:val="none" w:sz="0" w:space="0" w:color="auto"/>
        <w:right w:val="none" w:sz="0" w:space="0" w:color="auto"/>
      </w:divBdr>
    </w:div>
    <w:div w:id="112017159">
      <w:bodyDiv w:val="1"/>
      <w:marLeft w:val="0"/>
      <w:marRight w:val="0"/>
      <w:marTop w:val="0"/>
      <w:marBottom w:val="0"/>
      <w:divBdr>
        <w:top w:val="none" w:sz="0" w:space="0" w:color="auto"/>
        <w:left w:val="none" w:sz="0" w:space="0" w:color="auto"/>
        <w:bottom w:val="none" w:sz="0" w:space="0" w:color="auto"/>
        <w:right w:val="none" w:sz="0" w:space="0" w:color="auto"/>
      </w:divBdr>
    </w:div>
    <w:div w:id="195628148">
      <w:bodyDiv w:val="1"/>
      <w:marLeft w:val="0"/>
      <w:marRight w:val="0"/>
      <w:marTop w:val="0"/>
      <w:marBottom w:val="0"/>
      <w:divBdr>
        <w:top w:val="none" w:sz="0" w:space="0" w:color="auto"/>
        <w:left w:val="none" w:sz="0" w:space="0" w:color="auto"/>
        <w:bottom w:val="none" w:sz="0" w:space="0" w:color="auto"/>
        <w:right w:val="none" w:sz="0" w:space="0" w:color="auto"/>
      </w:divBdr>
    </w:div>
    <w:div w:id="232159889">
      <w:bodyDiv w:val="1"/>
      <w:marLeft w:val="0"/>
      <w:marRight w:val="0"/>
      <w:marTop w:val="0"/>
      <w:marBottom w:val="0"/>
      <w:divBdr>
        <w:top w:val="none" w:sz="0" w:space="0" w:color="auto"/>
        <w:left w:val="none" w:sz="0" w:space="0" w:color="auto"/>
        <w:bottom w:val="none" w:sz="0" w:space="0" w:color="auto"/>
        <w:right w:val="none" w:sz="0" w:space="0" w:color="auto"/>
      </w:divBdr>
    </w:div>
    <w:div w:id="261111725">
      <w:bodyDiv w:val="1"/>
      <w:marLeft w:val="0"/>
      <w:marRight w:val="0"/>
      <w:marTop w:val="0"/>
      <w:marBottom w:val="0"/>
      <w:divBdr>
        <w:top w:val="none" w:sz="0" w:space="0" w:color="auto"/>
        <w:left w:val="none" w:sz="0" w:space="0" w:color="auto"/>
        <w:bottom w:val="none" w:sz="0" w:space="0" w:color="auto"/>
        <w:right w:val="none" w:sz="0" w:space="0" w:color="auto"/>
      </w:divBdr>
    </w:div>
    <w:div w:id="266430660">
      <w:bodyDiv w:val="1"/>
      <w:marLeft w:val="0"/>
      <w:marRight w:val="0"/>
      <w:marTop w:val="0"/>
      <w:marBottom w:val="0"/>
      <w:divBdr>
        <w:top w:val="none" w:sz="0" w:space="0" w:color="auto"/>
        <w:left w:val="none" w:sz="0" w:space="0" w:color="auto"/>
        <w:bottom w:val="none" w:sz="0" w:space="0" w:color="auto"/>
        <w:right w:val="none" w:sz="0" w:space="0" w:color="auto"/>
      </w:divBdr>
    </w:div>
    <w:div w:id="310527895">
      <w:bodyDiv w:val="1"/>
      <w:marLeft w:val="0"/>
      <w:marRight w:val="0"/>
      <w:marTop w:val="0"/>
      <w:marBottom w:val="0"/>
      <w:divBdr>
        <w:top w:val="none" w:sz="0" w:space="0" w:color="auto"/>
        <w:left w:val="none" w:sz="0" w:space="0" w:color="auto"/>
        <w:bottom w:val="none" w:sz="0" w:space="0" w:color="auto"/>
        <w:right w:val="none" w:sz="0" w:space="0" w:color="auto"/>
      </w:divBdr>
    </w:div>
    <w:div w:id="417098915">
      <w:bodyDiv w:val="1"/>
      <w:marLeft w:val="0"/>
      <w:marRight w:val="0"/>
      <w:marTop w:val="0"/>
      <w:marBottom w:val="0"/>
      <w:divBdr>
        <w:top w:val="none" w:sz="0" w:space="0" w:color="auto"/>
        <w:left w:val="none" w:sz="0" w:space="0" w:color="auto"/>
        <w:bottom w:val="none" w:sz="0" w:space="0" w:color="auto"/>
        <w:right w:val="none" w:sz="0" w:space="0" w:color="auto"/>
      </w:divBdr>
    </w:div>
    <w:div w:id="574583505">
      <w:bodyDiv w:val="1"/>
      <w:marLeft w:val="0"/>
      <w:marRight w:val="0"/>
      <w:marTop w:val="0"/>
      <w:marBottom w:val="0"/>
      <w:divBdr>
        <w:top w:val="none" w:sz="0" w:space="0" w:color="auto"/>
        <w:left w:val="none" w:sz="0" w:space="0" w:color="auto"/>
        <w:bottom w:val="none" w:sz="0" w:space="0" w:color="auto"/>
        <w:right w:val="none" w:sz="0" w:space="0" w:color="auto"/>
      </w:divBdr>
    </w:div>
    <w:div w:id="618686213">
      <w:bodyDiv w:val="1"/>
      <w:marLeft w:val="0"/>
      <w:marRight w:val="0"/>
      <w:marTop w:val="0"/>
      <w:marBottom w:val="0"/>
      <w:divBdr>
        <w:top w:val="none" w:sz="0" w:space="0" w:color="auto"/>
        <w:left w:val="none" w:sz="0" w:space="0" w:color="auto"/>
        <w:bottom w:val="none" w:sz="0" w:space="0" w:color="auto"/>
        <w:right w:val="none" w:sz="0" w:space="0" w:color="auto"/>
      </w:divBdr>
    </w:div>
    <w:div w:id="811366764">
      <w:bodyDiv w:val="1"/>
      <w:marLeft w:val="0"/>
      <w:marRight w:val="0"/>
      <w:marTop w:val="0"/>
      <w:marBottom w:val="0"/>
      <w:divBdr>
        <w:top w:val="none" w:sz="0" w:space="0" w:color="auto"/>
        <w:left w:val="none" w:sz="0" w:space="0" w:color="auto"/>
        <w:bottom w:val="none" w:sz="0" w:space="0" w:color="auto"/>
        <w:right w:val="none" w:sz="0" w:space="0" w:color="auto"/>
      </w:divBdr>
    </w:div>
    <w:div w:id="831606145">
      <w:bodyDiv w:val="1"/>
      <w:marLeft w:val="0"/>
      <w:marRight w:val="0"/>
      <w:marTop w:val="0"/>
      <w:marBottom w:val="0"/>
      <w:divBdr>
        <w:top w:val="none" w:sz="0" w:space="0" w:color="auto"/>
        <w:left w:val="none" w:sz="0" w:space="0" w:color="auto"/>
        <w:bottom w:val="none" w:sz="0" w:space="0" w:color="auto"/>
        <w:right w:val="none" w:sz="0" w:space="0" w:color="auto"/>
      </w:divBdr>
    </w:div>
    <w:div w:id="1005091490">
      <w:bodyDiv w:val="1"/>
      <w:marLeft w:val="0"/>
      <w:marRight w:val="0"/>
      <w:marTop w:val="0"/>
      <w:marBottom w:val="0"/>
      <w:divBdr>
        <w:top w:val="none" w:sz="0" w:space="0" w:color="auto"/>
        <w:left w:val="none" w:sz="0" w:space="0" w:color="auto"/>
        <w:bottom w:val="none" w:sz="0" w:space="0" w:color="auto"/>
        <w:right w:val="none" w:sz="0" w:space="0" w:color="auto"/>
      </w:divBdr>
    </w:div>
    <w:div w:id="1166018533">
      <w:bodyDiv w:val="1"/>
      <w:marLeft w:val="0"/>
      <w:marRight w:val="0"/>
      <w:marTop w:val="0"/>
      <w:marBottom w:val="0"/>
      <w:divBdr>
        <w:top w:val="none" w:sz="0" w:space="0" w:color="auto"/>
        <w:left w:val="none" w:sz="0" w:space="0" w:color="auto"/>
        <w:bottom w:val="none" w:sz="0" w:space="0" w:color="auto"/>
        <w:right w:val="none" w:sz="0" w:space="0" w:color="auto"/>
      </w:divBdr>
    </w:div>
    <w:div w:id="1197964651">
      <w:bodyDiv w:val="1"/>
      <w:marLeft w:val="0"/>
      <w:marRight w:val="0"/>
      <w:marTop w:val="0"/>
      <w:marBottom w:val="0"/>
      <w:divBdr>
        <w:top w:val="none" w:sz="0" w:space="0" w:color="auto"/>
        <w:left w:val="none" w:sz="0" w:space="0" w:color="auto"/>
        <w:bottom w:val="none" w:sz="0" w:space="0" w:color="auto"/>
        <w:right w:val="none" w:sz="0" w:space="0" w:color="auto"/>
      </w:divBdr>
    </w:div>
    <w:div w:id="1282032702">
      <w:bodyDiv w:val="1"/>
      <w:marLeft w:val="0"/>
      <w:marRight w:val="0"/>
      <w:marTop w:val="0"/>
      <w:marBottom w:val="0"/>
      <w:divBdr>
        <w:top w:val="none" w:sz="0" w:space="0" w:color="auto"/>
        <w:left w:val="none" w:sz="0" w:space="0" w:color="auto"/>
        <w:bottom w:val="none" w:sz="0" w:space="0" w:color="auto"/>
        <w:right w:val="none" w:sz="0" w:space="0" w:color="auto"/>
      </w:divBdr>
    </w:div>
    <w:div w:id="1543134071">
      <w:bodyDiv w:val="1"/>
      <w:marLeft w:val="0"/>
      <w:marRight w:val="0"/>
      <w:marTop w:val="0"/>
      <w:marBottom w:val="0"/>
      <w:divBdr>
        <w:top w:val="none" w:sz="0" w:space="0" w:color="auto"/>
        <w:left w:val="none" w:sz="0" w:space="0" w:color="auto"/>
        <w:bottom w:val="none" w:sz="0" w:space="0" w:color="auto"/>
        <w:right w:val="none" w:sz="0" w:space="0" w:color="auto"/>
      </w:divBdr>
    </w:div>
    <w:div w:id="1645232894">
      <w:bodyDiv w:val="1"/>
      <w:marLeft w:val="0"/>
      <w:marRight w:val="0"/>
      <w:marTop w:val="0"/>
      <w:marBottom w:val="0"/>
      <w:divBdr>
        <w:top w:val="none" w:sz="0" w:space="0" w:color="auto"/>
        <w:left w:val="none" w:sz="0" w:space="0" w:color="auto"/>
        <w:bottom w:val="none" w:sz="0" w:space="0" w:color="auto"/>
        <w:right w:val="none" w:sz="0" w:space="0" w:color="auto"/>
      </w:divBdr>
    </w:div>
    <w:div w:id="211597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Zito, Michelle</cp:lastModifiedBy>
  <cp:revision>2</cp:revision>
  <dcterms:created xsi:type="dcterms:W3CDTF">2019-10-22T19:37:00Z</dcterms:created>
  <dcterms:modified xsi:type="dcterms:W3CDTF">2019-10-22T19:37:00Z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Michelle.zito@informa.com</vt:lpwstr>
  </property>
  <property fmtid="{D5CDD505-2E9C-101B-9397-08002B2CF9AE}" pid="5" name="MSIP_Label_181c070e-054b-4d1c-ba4c-fc70b099192e_SetDate">
    <vt:lpwstr>2019-10-22T19:36:59.5694829Z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2540ae83-414b-4572-9660-6008097b0ac0</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Michelle.zito@informa.com</vt:lpwstr>
  </property>
  <property fmtid="{D5CDD505-2E9C-101B-9397-08002B2CF9AE}" pid="13" name="MSIP_Label_2bbab825-a111-45e4-86a1-18cee0005896_SetDate">
    <vt:lpwstr>2019-10-22T19:36:59.5694829Z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2540ae83-414b-4572-9660-6008097b0ac0</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