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A44A88" w14:textId="77777777" w:rsidR="00E95C46" w:rsidRPr="00885C69" w:rsidRDefault="00E95C46" w:rsidP="00E95C46">
      <w:pPr>
        <w:spacing w:line="480" w:lineRule="auto"/>
        <w:rPr>
          <w:b/>
          <w:lang w:val="en-US"/>
        </w:rPr>
      </w:pPr>
      <w:r w:rsidRPr="00885C69">
        <w:rPr>
          <w:b/>
          <w:lang w:val="en-US"/>
        </w:rPr>
        <w:t xml:space="preserve">Supplementary Material </w:t>
      </w:r>
    </w:p>
    <w:p w14:paraId="3DCC1441" w14:textId="77777777" w:rsidR="00E95C46" w:rsidRPr="008C5CC6" w:rsidRDefault="00E95C46" w:rsidP="00E95C46">
      <w:pPr>
        <w:spacing w:line="480" w:lineRule="auto"/>
        <w:rPr>
          <w:i/>
          <w:lang w:val="en-US"/>
        </w:rPr>
      </w:pPr>
      <w:r w:rsidRPr="00885C69">
        <w:rPr>
          <w:i/>
          <w:lang w:val="en-US"/>
        </w:rPr>
        <w:t>Validation of the Stimuli</w:t>
      </w:r>
    </w:p>
    <w:p w14:paraId="5931DB14" w14:textId="77777777" w:rsidR="00E95C46" w:rsidRPr="00CC4AE0" w:rsidRDefault="00E95C46" w:rsidP="00E95C46">
      <w:pPr>
        <w:spacing w:line="480" w:lineRule="auto"/>
        <w:ind w:firstLine="720"/>
        <w:rPr>
          <w:lang w:val="en-US"/>
        </w:rPr>
      </w:pPr>
      <w:r w:rsidRPr="00885C69">
        <w:rPr>
          <w:lang w:val="en-US"/>
        </w:rPr>
        <w:t>The</w:t>
      </w:r>
      <w:r>
        <w:rPr>
          <w:lang w:val="en-US"/>
        </w:rPr>
        <w:t xml:space="preserve"> </w:t>
      </w:r>
      <w:r w:rsidRPr="00885C69">
        <w:rPr>
          <w:lang w:val="en-US"/>
        </w:rPr>
        <w:t>stimuli</w:t>
      </w:r>
      <w:r>
        <w:rPr>
          <w:lang w:val="en-US"/>
        </w:rPr>
        <w:t xml:space="preserve"> used in this study was </w:t>
      </w:r>
      <w:r w:rsidRPr="00885C69">
        <w:rPr>
          <w:lang w:val="en-US"/>
        </w:rPr>
        <w:t xml:space="preserve">validated in a pretest </w:t>
      </w:r>
      <w:r>
        <w:rPr>
          <w:lang w:val="en-US"/>
        </w:rPr>
        <w:t xml:space="preserve">(N=16) </w:t>
      </w:r>
      <w:r w:rsidRPr="00885C69">
        <w:rPr>
          <w:lang w:val="en-US"/>
        </w:rPr>
        <w:t xml:space="preserve">in which a separate set of participants </w:t>
      </w:r>
      <w:r>
        <w:rPr>
          <w:lang w:val="en-US"/>
        </w:rPr>
        <w:t>were</w:t>
      </w:r>
      <w:r w:rsidRPr="00885C69">
        <w:rPr>
          <w:lang w:val="en-US"/>
        </w:rPr>
        <w:t xml:space="preserve"> asked to evaluate the valence, arousal and congruency</w:t>
      </w:r>
      <w:r>
        <w:rPr>
          <w:lang w:val="en-US"/>
        </w:rPr>
        <w:t xml:space="preserve">. Each image and audio was rated on two separate </w:t>
      </w:r>
      <w:r w:rsidRPr="00CC4AE0">
        <w:rPr>
          <w:lang w:val="en-US"/>
        </w:rPr>
        <w:t xml:space="preserve">dimensions: pleasantness and arousal. The scale ranged from 0 ‘not at all’ to 100 ‘extremely’. To examine whether there were any differences in arousal and pleasantness between our pleasant and unpleasant stimuli, each of the four stimuli per condition (pleasant: applause, party, baby laughing, seagulls; and unpleasant: attack, dentist drill, baby crying, bees) were averaged, yielding a total score of pleasantness and arousal for the following categories: pleasant audio, unpleasant audio, pleasant image, unpleasant image. </w:t>
      </w:r>
    </w:p>
    <w:p w14:paraId="68AE6375" w14:textId="77777777" w:rsidR="00E95C46" w:rsidRPr="00CC4AE0" w:rsidRDefault="00E95C46" w:rsidP="00E95C46">
      <w:pPr>
        <w:spacing w:line="480" w:lineRule="auto"/>
        <w:rPr>
          <w:lang w:val="en-US"/>
        </w:rPr>
      </w:pPr>
      <w:r w:rsidRPr="00CC4AE0">
        <w:rPr>
          <w:lang w:val="en-US"/>
        </w:rPr>
        <w:tab/>
      </w:r>
      <w:r w:rsidRPr="00CC4AE0">
        <w:rPr>
          <w:color w:val="000000"/>
          <w:lang w:val="en-US"/>
        </w:rPr>
        <w:t xml:space="preserve"> As expected, participants rated as more pleasant the pleasant vs. unpleasant pictures (</w:t>
      </w:r>
      <w:r w:rsidRPr="00CC4AE0">
        <w:rPr>
          <w:i/>
          <w:color w:val="000000"/>
          <w:lang w:val="en-US"/>
        </w:rPr>
        <w:t>M=</w:t>
      </w:r>
      <w:r w:rsidRPr="00CC4AE0">
        <w:rPr>
          <w:color w:val="000000"/>
          <w:lang w:val="en-US"/>
        </w:rPr>
        <w:t xml:space="preserve">73.98, </w:t>
      </w:r>
      <w:r w:rsidRPr="00CC4AE0">
        <w:rPr>
          <w:i/>
          <w:color w:val="000000"/>
          <w:lang w:val="en-US"/>
        </w:rPr>
        <w:t>SD=</w:t>
      </w:r>
      <w:r w:rsidRPr="00CC4AE0">
        <w:rPr>
          <w:color w:val="000000"/>
          <w:lang w:val="en-US"/>
        </w:rPr>
        <w:t xml:space="preserve">12.87; </w:t>
      </w:r>
      <w:r w:rsidRPr="00CC4AE0">
        <w:rPr>
          <w:i/>
          <w:color w:val="000000"/>
          <w:lang w:val="en-US"/>
        </w:rPr>
        <w:t>M=</w:t>
      </w:r>
      <w:r w:rsidRPr="00CC4AE0">
        <w:rPr>
          <w:color w:val="000000"/>
          <w:lang w:val="en-US"/>
        </w:rPr>
        <w:t xml:space="preserve">25.43 </w:t>
      </w:r>
      <w:r w:rsidRPr="00CC4AE0">
        <w:rPr>
          <w:i/>
          <w:color w:val="000000"/>
          <w:lang w:val="en-US"/>
        </w:rPr>
        <w:t>SD=</w:t>
      </w:r>
      <w:r w:rsidRPr="00CC4AE0">
        <w:rPr>
          <w:color w:val="000000"/>
          <w:lang w:val="en-US"/>
        </w:rPr>
        <w:t>10.61, p&lt;.001) and sounds (</w:t>
      </w:r>
      <w:r w:rsidRPr="00CC4AE0">
        <w:rPr>
          <w:i/>
          <w:color w:val="000000"/>
          <w:lang w:val="en-US"/>
        </w:rPr>
        <w:t>M=</w:t>
      </w:r>
      <w:r w:rsidRPr="00CC4AE0">
        <w:rPr>
          <w:color w:val="000000"/>
          <w:lang w:val="en-US"/>
        </w:rPr>
        <w:t xml:space="preserve">72.73, </w:t>
      </w:r>
      <w:r w:rsidRPr="00CC4AE0">
        <w:rPr>
          <w:i/>
          <w:color w:val="000000"/>
          <w:lang w:val="en-US"/>
        </w:rPr>
        <w:t>SD</w:t>
      </w:r>
      <w:r w:rsidRPr="00CC4AE0">
        <w:rPr>
          <w:color w:val="000000"/>
          <w:lang w:val="en-US"/>
        </w:rPr>
        <w:t xml:space="preserve">=15.43; </w:t>
      </w:r>
      <w:r w:rsidRPr="00CC4AE0">
        <w:rPr>
          <w:i/>
          <w:color w:val="000000"/>
          <w:lang w:val="en-US"/>
        </w:rPr>
        <w:t>M=</w:t>
      </w:r>
      <w:r w:rsidRPr="00CC4AE0">
        <w:rPr>
          <w:color w:val="000000"/>
          <w:lang w:val="en-US"/>
        </w:rPr>
        <w:t xml:space="preserve">12.06, </w:t>
      </w:r>
      <w:r w:rsidRPr="00CC4AE0">
        <w:rPr>
          <w:i/>
          <w:color w:val="000000"/>
          <w:lang w:val="en-US"/>
        </w:rPr>
        <w:t>SD=</w:t>
      </w:r>
      <w:r w:rsidRPr="00CC4AE0">
        <w:rPr>
          <w:color w:val="000000"/>
          <w:lang w:val="en-US"/>
        </w:rPr>
        <w:t xml:space="preserve">8.23, </w:t>
      </w:r>
      <w:r w:rsidRPr="00CC4AE0">
        <w:rPr>
          <w:i/>
          <w:color w:val="000000"/>
          <w:lang w:val="en-US"/>
        </w:rPr>
        <w:t>p&lt;.</w:t>
      </w:r>
      <w:r w:rsidRPr="00CC4AE0">
        <w:rPr>
          <w:color w:val="000000"/>
          <w:lang w:val="en-US"/>
        </w:rPr>
        <w:t>001). Moreover there was no difference in arousal between the pleasant and unpleasant pictures (</w:t>
      </w:r>
      <w:r w:rsidRPr="00CC4AE0">
        <w:rPr>
          <w:i/>
          <w:color w:val="000000"/>
          <w:lang w:val="en-US"/>
        </w:rPr>
        <w:t>M=</w:t>
      </w:r>
      <w:r w:rsidRPr="00CC4AE0">
        <w:rPr>
          <w:color w:val="000000"/>
          <w:lang w:val="en-US"/>
        </w:rPr>
        <w:t xml:space="preserve">46.56, </w:t>
      </w:r>
      <w:r w:rsidRPr="00CC4AE0">
        <w:rPr>
          <w:i/>
          <w:color w:val="000000"/>
          <w:lang w:val="en-US"/>
        </w:rPr>
        <w:t>SD=</w:t>
      </w:r>
      <w:r w:rsidRPr="00CC4AE0">
        <w:rPr>
          <w:color w:val="000000"/>
          <w:lang w:val="en-US"/>
        </w:rPr>
        <w:t xml:space="preserve">31.71; </w:t>
      </w:r>
      <w:r w:rsidRPr="00CC4AE0">
        <w:rPr>
          <w:i/>
          <w:color w:val="000000"/>
          <w:lang w:val="en-US"/>
        </w:rPr>
        <w:t>M=</w:t>
      </w:r>
      <w:r w:rsidRPr="00CC4AE0">
        <w:rPr>
          <w:color w:val="000000"/>
          <w:lang w:val="en-US"/>
        </w:rPr>
        <w:t xml:space="preserve">31.41, </w:t>
      </w:r>
      <w:r w:rsidRPr="00CC4AE0">
        <w:rPr>
          <w:i/>
          <w:color w:val="000000"/>
          <w:lang w:val="en-US"/>
        </w:rPr>
        <w:t>SD=</w:t>
      </w:r>
      <w:r w:rsidRPr="00CC4AE0">
        <w:rPr>
          <w:color w:val="000000"/>
          <w:lang w:val="en-US"/>
        </w:rPr>
        <w:t>23.07, p=.056) or sounds (</w:t>
      </w:r>
      <w:r w:rsidRPr="00CC4AE0">
        <w:rPr>
          <w:i/>
          <w:color w:val="000000"/>
          <w:lang w:val="en-US"/>
        </w:rPr>
        <w:t>M=</w:t>
      </w:r>
      <w:r w:rsidRPr="00CC4AE0">
        <w:rPr>
          <w:color w:val="000000"/>
          <w:lang w:val="en-US"/>
        </w:rPr>
        <w:t xml:space="preserve">43.90, </w:t>
      </w:r>
      <w:r w:rsidRPr="00CC4AE0">
        <w:rPr>
          <w:i/>
          <w:color w:val="000000"/>
          <w:lang w:val="en-US"/>
        </w:rPr>
        <w:t>SD=</w:t>
      </w:r>
      <w:r w:rsidRPr="00CC4AE0">
        <w:rPr>
          <w:color w:val="000000"/>
          <w:lang w:val="en-US"/>
        </w:rPr>
        <w:t xml:space="preserve">28.19; </w:t>
      </w:r>
      <w:r w:rsidRPr="00CC4AE0">
        <w:rPr>
          <w:i/>
          <w:color w:val="000000"/>
          <w:lang w:val="en-US"/>
        </w:rPr>
        <w:t>M=</w:t>
      </w:r>
      <w:r w:rsidRPr="00CC4AE0">
        <w:rPr>
          <w:color w:val="000000"/>
          <w:lang w:val="en-US"/>
        </w:rPr>
        <w:t xml:space="preserve">30.16, </w:t>
      </w:r>
      <w:r w:rsidRPr="00CC4AE0">
        <w:rPr>
          <w:i/>
          <w:color w:val="000000"/>
          <w:lang w:val="en-US"/>
        </w:rPr>
        <w:t>SD=</w:t>
      </w:r>
      <w:r w:rsidRPr="00CC4AE0">
        <w:rPr>
          <w:color w:val="000000"/>
          <w:lang w:val="en-US"/>
        </w:rPr>
        <w:t xml:space="preserve">24.77, </w:t>
      </w:r>
      <w:r w:rsidRPr="00CC4AE0">
        <w:rPr>
          <w:i/>
          <w:color w:val="000000"/>
          <w:lang w:val="en-US"/>
        </w:rPr>
        <w:t>p=.</w:t>
      </w:r>
      <w:r w:rsidRPr="00CC4AE0">
        <w:rPr>
          <w:color w:val="000000"/>
          <w:lang w:val="en-US"/>
        </w:rPr>
        <w:t>106).</w:t>
      </w:r>
    </w:p>
    <w:p w14:paraId="052A6D81" w14:textId="77777777" w:rsidR="00E95C46" w:rsidRPr="00CC4AE0" w:rsidRDefault="00E95C46" w:rsidP="00E95C46">
      <w:pPr>
        <w:spacing w:line="480" w:lineRule="auto"/>
        <w:rPr>
          <w:lang w:val="en-US"/>
        </w:rPr>
      </w:pPr>
      <w:r w:rsidRPr="00CC4AE0">
        <w:rPr>
          <w:lang w:val="en-US"/>
        </w:rPr>
        <w:tab/>
        <w:t xml:space="preserve">Finally, participants were presented simultaneously each paired image and sound for 3 seconds. After each trial, participants were asked to rate the congruency between each sound and the image (i.e., “how well does the image depict the sound?’) using a scale ranging from 0 ‘not at all’ to 10 ‘extremely’. Across participants, these ratings ranged from 8 to 10 indicating a good congruency between the audio-visual stimuli (see Figure below). </w:t>
      </w:r>
    </w:p>
    <w:p w14:paraId="47B793DA" w14:textId="77777777" w:rsidR="00E95C46" w:rsidRPr="00CC4AE0" w:rsidRDefault="00E95C46" w:rsidP="00E95C46">
      <w:pPr>
        <w:spacing w:line="480" w:lineRule="auto"/>
        <w:rPr>
          <w:b/>
          <w:lang w:val="en-US"/>
        </w:rPr>
      </w:pPr>
      <w:r w:rsidRPr="00CC4AE0">
        <w:rPr>
          <w:noProof/>
          <w:lang w:eastAsia="en-GB"/>
        </w:rPr>
        <w:lastRenderedPageBreak/>
        <w:drawing>
          <wp:inline distT="0" distB="0" distL="0" distR="0" wp14:anchorId="75132B76" wp14:editId="637DB712">
            <wp:extent cx="6116955" cy="2025650"/>
            <wp:effectExtent l="0" t="0" r="4445" b="0"/>
            <wp:docPr id="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inline>
        </w:drawing>
      </w:r>
    </w:p>
    <w:p w14:paraId="68AFEF8E" w14:textId="77777777" w:rsidR="00E95C46" w:rsidRPr="00CC4AE0" w:rsidRDefault="00E95C46" w:rsidP="00E95C46">
      <w:pPr>
        <w:spacing w:line="480" w:lineRule="auto"/>
        <w:rPr>
          <w:i/>
          <w:lang w:val="en-US"/>
        </w:rPr>
      </w:pPr>
      <w:r w:rsidRPr="00CC4AE0">
        <w:rPr>
          <w:i/>
          <w:lang w:val="en-US"/>
        </w:rPr>
        <w:t>Baseline ratings collected from the Behavioral Experiment</w:t>
      </w:r>
    </w:p>
    <w:p w14:paraId="408600DD" w14:textId="37405CA1" w:rsidR="00E95C46" w:rsidRPr="00CD51A7" w:rsidRDefault="00E95C46" w:rsidP="00E95C46">
      <w:pPr>
        <w:spacing w:line="480" w:lineRule="auto"/>
        <w:ind w:firstLine="720"/>
        <w:rPr>
          <w:color w:val="000000"/>
          <w:lang w:val="en-US"/>
        </w:rPr>
      </w:pPr>
      <w:r w:rsidRPr="00CC4AE0">
        <w:rPr>
          <w:color w:val="000000"/>
          <w:lang w:val="en-US"/>
        </w:rPr>
        <w:t>Similar to the validation of the stimuli described above, we also collected baseline pleasantness and arousal ratings from the participants that completed the AV-EEB task in the lab.</w:t>
      </w:r>
      <w:bookmarkStart w:id="0" w:name="OLE_LINK1"/>
      <w:r w:rsidRPr="00CC4AE0">
        <w:rPr>
          <w:color w:val="000000"/>
          <w:lang w:val="en-US"/>
        </w:rPr>
        <w:t xml:space="preserve"> As expected and similar to the results presented above, participants rated as more pleasant the pleasant vs. unpleasant pictures (</w:t>
      </w:r>
      <w:r w:rsidRPr="00CC4AE0">
        <w:rPr>
          <w:i/>
          <w:color w:val="000000"/>
          <w:lang w:val="en-US"/>
        </w:rPr>
        <w:t>M=</w:t>
      </w:r>
      <w:r w:rsidRPr="00CC4AE0">
        <w:rPr>
          <w:color w:val="000000"/>
          <w:lang w:val="en-US"/>
        </w:rPr>
        <w:t xml:space="preserve">73.63, </w:t>
      </w:r>
      <w:r w:rsidRPr="00CC4AE0">
        <w:rPr>
          <w:i/>
          <w:color w:val="000000"/>
          <w:lang w:val="en-US"/>
        </w:rPr>
        <w:t>SD=</w:t>
      </w:r>
      <w:r w:rsidRPr="00CC4AE0">
        <w:rPr>
          <w:color w:val="000000"/>
          <w:lang w:val="en-US"/>
        </w:rPr>
        <w:t xml:space="preserve">15.52; </w:t>
      </w:r>
      <w:r w:rsidRPr="00CC4AE0">
        <w:rPr>
          <w:i/>
          <w:color w:val="000000"/>
          <w:lang w:val="en-US"/>
        </w:rPr>
        <w:t>M=</w:t>
      </w:r>
      <w:r w:rsidRPr="00CC4AE0">
        <w:rPr>
          <w:color w:val="000000"/>
          <w:lang w:val="en-US"/>
        </w:rPr>
        <w:t xml:space="preserve">25.43, </w:t>
      </w:r>
      <w:r w:rsidRPr="00CC4AE0">
        <w:rPr>
          <w:i/>
          <w:color w:val="000000"/>
          <w:lang w:val="en-US"/>
        </w:rPr>
        <w:t>SD=</w:t>
      </w:r>
      <w:r w:rsidRPr="00CC4AE0">
        <w:rPr>
          <w:color w:val="000000"/>
          <w:lang w:val="en-US"/>
        </w:rPr>
        <w:t>12.57, p&lt;.001) and sounds (</w:t>
      </w:r>
      <w:r w:rsidRPr="00CC4AE0">
        <w:rPr>
          <w:i/>
          <w:color w:val="000000"/>
          <w:lang w:val="en-US"/>
        </w:rPr>
        <w:t>M=</w:t>
      </w:r>
      <w:r w:rsidRPr="00CC4AE0">
        <w:rPr>
          <w:color w:val="000000"/>
          <w:lang w:val="en-US"/>
        </w:rPr>
        <w:t xml:space="preserve">73.60, </w:t>
      </w:r>
      <w:r w:rsidRPr="00CC4AE0">
        <w:rPr>
          <w:i/>
          <w:color w:val="000000"/>
          <w:lang w:val="en-US"/>
        </w:rPr>
        <w:t>SD</w:t>
      </w:r>
      <w:r w:rsidRPr="00CC4AE0">
        <w:rPr>
          <w:color w:val="000000"/>
          <w:lang w:val="en-US"/>
        </w:rPr>
        <w:t xml:space="preserve">=15.08; </w:t>
      </w:r>
      <w:r w:rsidRPr="00CC4AE0">
        <w:rPr>
          <w:i/>
          <w:color w:val="000000"/>
          <w:lang w:val="en-US"/>
        </w:rPr>
        <w:t>M=</w:t>
      </w:r>
      <w:r w:rsidRPr="00CC4AE0">
        <w:rPr>
          <w:color w:val="000000"/>
          <w:lang w:val="en-US"/>
        </w:rPr>
        <w:t xml:space="preserve">17.64, </w:t>
      </w:r>
      <w:r w:rsidRPr="00CC4AE0">
        <w:rPr>
          <w:i/>
          <w:color w:val="000000"/>
          <w:lang w:val="en-US"/>
        </w:rPr>
        <w:t>SD=</w:t>
      </w:r>
      <w:r w:rsidRPr="00CC4AE0">
        <w:rPr>
          <w:color w:val="000000"/>
          <w:lang w:val="en-US"/>
        </w:rPr>
        <w:t xml:space="preserve">10.19, </w:t>
      </w:r>
      <w:r w:rsidRPr="00CC4AE0">
        <w:rPr>
          <w:i/>
          <w:color w:val="000000"/>
          <w:lang w:val="en-US"/>
        </w:rPr>
        <w:t>p&lt;.</w:t>
      </w:r>
      <w:r w:rsidRPr="00CC4AE0">
        <w:rPr>
          <w:color w:val="000000"/>
          <w:lang w:val="en-US"/>
        </w:rPr>
        <w:t>001). Moreover there was no difference in arousal between the pleasant and unpleasant pictures (</w:t>
      </w:r>
      <w:r w:rsidRPr="00CC4AE0">
        <w:rPr>
          <w:i/>
          <w:color w:val="000000"/>
          <w:lang w:val="en-US"/>
        </w:rPr>
        <w:t>M=</w:t>
      </w:r>
      <w:r w:rsidRPr="00CC4AE0">
        <w:rPr>
          <w:color w:val="000000"/>
          <w:lang w:val="en-US"/>
        </w:rPr>
        <w:t xml:space="preserve">47.06, </w:t>
      </w:r>
      <w:r w:rsidRPr="00CC4AE0">
        <w:rPr>
          <w:i/>
          <w:color w:val="000000"/>
          <w:lang w:val="en-US"/>
        </w:rPr>
        <w:t>SD=</w:t>
      </w:r>
      <w:r w:rsidRPr="00CC4AE0">
        <w:rPr>
          <w:color w:val="000000"/>
          <w:lang w:val="en-US"/>
        </w:rPr>
        <w:t xml:space="preserve">23.48; </w:t>
      </w:r>
      <w:r w:rsidRPr="00CC4AE0">
        <w:rPr>
          <w:i/>
          <w:color w:val="000000"/>
          <w:lang w:val="en-US"/>
        </w:rPr>
        <w:t>M=</w:t>
      </w:r>
      <w:r w:rsidRPr="00CC4AE0">
        <w:rPr>
          <w:color w:val="000000"/>
          <w:lang w:val="en-US"/>
        </w:rPr>
        <w:t xml:space="preserve">34.25 </w:t>
      </w:r>
      <w:r w:rsidRPr="00CC4AE0">
        <w:rPr>
          <w:i/>
          <w:color w:val="000000"/>
          <w:lang w:val="en-US"/>
        </w:rPr>
        <w:t>SD=</w:t>
      </w:r>
      <w:r w:rsidRPr="00CC4AE0">
        <w:rPr>
          <w:color w:val="000000"/>
          <w:lang w:val="en-US"/>
        </w:rPr>
        <w:t xml:space="preserve">27.36, </w:t>
      </w:r>
      <w:r w:rsidRPr="00CC4AE0">
        <w:rPr>
          <w:i/>
          <w:color w:val="000000"/>
          <w:lang w:val="en-US"/>
        </w:rPr>
        <w:t>p=.</w:t>
      </w:r>
      <w:r w:rsidRPr="00CC4AE0">
        <w:rPr>
          <w:color w:val="000000"/>
          <w:lang w:val="en-US"/>
        </w:rPr>
        <w:t>67) or sounds (</w:t>
      </w:r>
      <w:r w:rsidRPr="00CC4AE0">
        <w:rPr>
          <w:i/>
          <w:color w:val="000000"/>
          <w:lang w:val="en-US"/>
        </w:rPr>
        <w:t>M=</w:t>
      </w:r>
      <w:r w:rsidRPr="00CC4AE0">
        <w:rPr>
          <w:color w:val="000000"/>
          <w:lang w:val="en-US"/>
        </w:rPr>
        <w:t xml:space="preserve">51.50, </w:t>
      </w:r>
      <w:r w:rsidRPr="00CC4AE0">
        <w:rPr>
          <w:i/>
          <w:color w:val="000000"/>
          <w:lang w:val="en-US"/>
        </w:rPr>
        <w:t>SD=</w:t>
      </w:r>
      <w:r w:rsidRPr="00CC4AE0">
        <w:rPr>
          <w:color w:val="000000"/>
          <w:lang w:val="en-US"/>
        </w:rPr>
        <w:t xml:space="preserve">22.97; </w:t>
      </w:r>
      <w:r w:rsidRPr="00CC4AE0">
        <w:rPr>
          <w:i/>
          <w:color w:val="000000"/>
          <w:lang w:val="en-US"/>
        </w:rPr>
        <w:t>M=</w:t>
      </w:r>
      <w:r w:rsidRPr="00CC4AE0">
        <w:rPr>
          <w:color w:val="000000"/>
          <w:lang w:val="en-US"/>
        </w:rPr>
        <w:t xml:space="preserve">48.19, </w:t>
      </w:r>
      <w:r w:rsidRPr="00CD51A7">
        <w:rPr>
          <w:i/>
          <w:color w:val="000000"/>
          <w:lang w:val="en-US"/>
        </w:rPr>
        <w:t>SD=</w:t>
      </w:r>
      <w:r w:rsidRPr="00CD51A7">
        <w:rPr>
          <w:color w:val="000000"/>
          <w:lang w:val="en-US"/>
        </w:rPr>
        <w:t xml:space="preserve">28.08, </w:t>
      </w:r>
      <w:r w:rsidRPr="00CD51A7">
        <w:rPr>
          <w:i/>
          <w:color w:val="000000"/>
          <w:lang w:val="en-US"/>
        </w:rPr>
        <w:t>p=.</w:t>
      </w:r>
      <w:r w:rsidRPr="00CD51A7">
        <w:rPr>
          <w:color w:val="000000"/>
          <w:lang w:val="en-US"/>
        </w:rPr>
        <w:t xml:space="preserve">56). </w:t>
      </w:r>
      <w:bookmarkEnd w:id="0"/>
    </w:p>
    <w:p w14:paraId="6471CE80" w14:textId="5DED136B" w:rsidR="00203DD7" w:rsidRPr="00CD51A7" w:rsidRDefault="00203DD7" w:rsidP="00203DD7">
      <w:pPr>
        <w:spacing w:line="480" w:lineRule="auto"/>
        <w:rPr>
          <w:i/>
          <w:lang w:val="en-US"/>
        </w:rPr>
      </w:pPr>
      <w:r w:rsidRPr="00CD51A7">
        <w:rPr>
          <w:i/>
          <w:lang w:val="en-US"/>
        </w:rPr>
        <w:t xml:space="preserve">Non-parametric tests on the presence of EEB </w:t>
      </w:r>
    </w:p>
    <w:p w14:paraId="39190766" w14:textId="06DED964" w:rsidR="000A2A6A" w:rsidRPr="00CD51A7" w:rsidRDefault="000653B3" w:rsidP="000A2A6A">
      <w:pPr>
        <w:spacing w:line="480" w:lineRule="auto"/>
        <w:ind w:firstLine="720"/>
        <w:rPr>
          <w:color w:val="000000"/>
          <w:lang w:val="en-US"/>
        </w:rPr>
      </w:pPr>
      <w:r w:rsidRPr="00CD51A7">
        <w:rPr>
          <w:lang w:val="en-US"/>
        </w:rPr>
        <w:t>W</w:t>
      </w:r>
      <w:r w:rsidR="00203DD7" w:rsidRPr="00CD51A7">
        <w:rPr>
          <w:lang w:val="en-US"/>
        </w:rPr>
        <w:t xml:space="preserve">e also conducted non-parametric tests (i.e., Wilcoxon Signed Rank) on the emotional judgements </w:t>
      </w:r>
      <w:r w:rsidR="000A2A6A" w:rsidRPr="00CD51A7">
        <w:rPr>
          <w:lang w:val="en-US"/>
        </w:rPr>
        <w:t xml:space="preserve">to assess the robustness of </w:t>
      </w:r>
      <w:r w:rsidR="00027284" w:rsidRPr="00CD51A7">
        <w:rPr>
          <w:lang w:val="en-US"/>
        </w:rPr>
        <w:t>the</w:t>
      </w:r>
      <w:r w:rsidR="000A2A6A" w:rsidRPr="00CD51A7">
        <w:rPr>
          <w:lang w:val="en-US"/>
        </w:rPr>
        <w:t xml:space="preserve"> EEB effect on our data</w:t>
      </w:r>
      <w:r w:rsidR="00137B66" w:rsidRPr="00CD51A7">
        <w:rPr>
          <w:lang w:val="en-US"/>
        </w:rPr>
        <w:t>. Similar to our analyses using parametric tests</w:t>
      </w:r>
      <w:r w:rsidR="00203DD7" w:rsidRPr="00CD51A7">
        <w:rPr>
          <w:lang w:val="en-US"/>
        </w:rPr>
        <w:t xml:space="preserve">, we found a larger difference between incongruent and congruent other-related judgements </w:t>
      </w:r>
      <w:r w:rsidR="00203DD7" w:rsidRPr="00CD51A7">
        <w:rPr>
          <w:color w:val="000000"/>
          <w:lang w:val="en-US"/>
        </w:rPr>
        <w:t>than for self-related judgements</w:t>
      </w:r>
      <w:r w:rsidR="000A2A6A" w:rsidRPr="00CD51A7">
        <w:rPr>
          <w:color w:val="000000"/>
          <w:lang w:val="en-US"/>
        </w:rPr>
        <w:t xml:space="preserve"> </w:t>
      </w:r>
      <w:r w:rsidRPr="00CD51A7">
        <w:rPr>
          <w:color w:val="000000"/>
          <w:lang w:val="en-US"/>
        </w:rPr>
        <w:t>in all three experiments</w:t>
      </w:r>
      <w:r w:rsidR="000A2A6A" w:rsidRPr="00CD51A7">
        <w:rPr>
          <w:color w:val="000000"/>
          <w:lang w:val="en-US"/>
        </w:rPr>
        <w:t xml:space="preserve">, </w:t>
      </w:r>
      <w:r w:rsidR="000A2A6A" w:rsidRPr="00CD51A7">
        <w:rPr>
          <w:i/>
          <w:color w:val="000000"/>
          <w:lang w:val="en-US"/>
        </w:rPr>
        <w:t>p</w:t>
      </w:r>
      <w:r w:rsidR="000A2A6A" w:rsidRPr="00CD51A7">
        <w:rPr>
          <w:color w:val="000000"/>
          <w:lang w:val="en-US"/>
        </w:rPr>
        <w:t>’s&lt;.012</w:t>
      </w:r>
      <w:r w:rsidR="00203DD7" w:rsidRPr="00CD51A7">
        <w:rPr>
          <w:color w:val="000000"/>
          <w:lang w:val="en-US"/>
        </w:rPr>
        <w:t>.</w:t>
      </w:r>
      <w:r w:rsidR="00137B66" w:rsidRPr="00CD51A7">
        <w:rPr>
          <w:color w:val="000000"/>
          <w:lang w:val="en-US"/>
        </w:rPr>
        <w:t xml:space="preserve"> </w:t>
      </w:r>
      <w:r w:rsidR="000A2A6A" w:rsidRPr="00CD51A7">
        <w:rPr>
          <w:color w:val="000000"/>
          <w:lang w:val="en-US"/>
        </w:rPr>
        <w:t xml:space="preserve">Given the same pattern of results as that observed with parametric tests, this further highlights the robustness of this </w:t>
      </w:r>
      <w:r w:rsidR="008A4527" w:rsidRPr="00CD51A7">
        <w:rPr>
          <w:color w:val="000000"/>
          <w:lang w:val="en-US"/>
        </w:rPr>
        <w:t xml:space="preserve">EEB </w:t>
      </w:r>
      <w:r w:rsidR="000A2A6A" w:rsidRPr="00CD51A7">
        <w:rPr>
          <w:color w:val="000000"/>
          <w:lang w:val="en-US"/>
        </w:rPr>
        <w:t xml:space="preserve">effect. </w:t>
      </w:r>
      <w:bookmarkStart w:id="1" w:name="_GoBack"/>
      <w:bookmarkEnd w:id="1"/>
    </w:p>
    <w:p w14:paraId="6FDBF5CC" w14:textId="77777777" w:rsidR="00E95C46" w:rsidRPr="00CC4AE0" w:rsidRDefault="00E95C46" w:rsidP="00E95C46">
      <w:pPr>
        <w:spacing w:line="480" w:lineRule="auto"/>
        <w:rPr>
          <w:i/>
          <w:color w:val="000000"/>
          <w:lang w:val="en-US"/>
        </w:rPr>
      </w:pPr>
      <w:r w:rsidRPr="00CD51A7">
        <w:rPr>
          <w:i/>
          <w:color w:val="000000"/>
          <w:lang w:val="en-US"/>
        </w:rPr>
        <w:t>Is there a difference in the computed EEB scores</w:t>
      </w:r>
      <w:r w:rsidRPr="00CC4AE0">
        <w:rPr>
          <w:i/>
          <w:color w:val="000000"/>
          <w:lang w:val="en-US"/>
        </w:rPr>
        <w:t xml:space="preserve"> across the behavioral and online experiments? </w:t>
      </w:r>
    </w:p>
    <w:p w14:paraId="6471994E" w14:textId="61F6884A" w:rsidR="00E95C46" w:rsidRPr="00CC4AE0" w:rsidRDefault="00E95C46" w:rsidP="00E95C46">
      <w:pPr>
        <w:spacing w:line="480" w:lineRule="auto"/>
        <w:rPr>
          <w:color w:val="000000"/>
          <w:lang w:val="en-US"/>
        </w:rPr>
      </w:pPr>
      <w:r w:rsidRPr="00CC4AE0">
        <w:rPr>
          <w:i/>
          <w:color w:val="000000"/>
          <w:lang w:val="en-US"/>
        </w:rPr>
        <w:lastRenderedPageBreak/>
        <w:tab/>
      </w:r>
      <w:r w:rsidRPr="00CC4AE0">
        <w:rPr>
          <w:color w:val="000000"/>
          <w:lang w:val="en-US"/>
        </w:rPr>
        <w:t xml:space="preserve">To examine whether there is a difference between the computed EEB scores across our three studies, we conducted independent sample t-tests. The difference in EEB between the behavioral lab-based study (M= 2.82, SD = 4.63) and the first online study (M=1.30, SD = 3.26) was not statistically significant, p=0.157. Similarly, there was no difference in EEB between the first and second online study (M= .84, SD =2.05), p=0.376. However, we observed higher EEB scores in the behavioral lab-based study vs. the second online study, p=.002. </w:t>
      </w:r>
    </w:p>
    <w:p w14:paraId="1CCA866F" w14:textId="77777777" w:rsidR="00291E60" w:rsidRPr="00CC4AE0" w:rsidRDefault="00291E60" w:rsidP="00E95C46">
      <w:pPr>
        <w:spacing w:line="480" w:lineRule="auto"/>
        <w:rPr>
          <w:i/>
          <w:color w:val="000000"/>
          <w:lang w:val="en-US"/>
        </w:rPr>
      </w:pPr>
    </w:p>
    <w:p w14:paraId="49D76F0D" w14:textId="702FAA48" w:rsidR="00291E60" w:rsidRPr="00CC4AE0" w:rsidRDefault="00B259D8" w:rsidP="00E95C46">
      <w:pPr>
        <w:spacing w:line="480" w:lineRule="auto"/>
        <w:rPr>
          <w:i/>
          <w:color w:val="000000"/>
          <w:lang w:val="en-US"/>
        </w:rPr>
      </w:pPr>
      <w:r w:rsidRPr="00CC4AE0">
        <w:rPr>
          <w:i/>
          <w:color w:val="000000"/>
          <w:lang w:val="en-US"/>
        </w:rPr>
        <w:t xml:space="preserve">Relationship between EEB and </w:t>
      </w:r>
      <w:proofErr w:type="spellStart"/>
      <w:r w:rsidRPr="00CC4AE0">
        <w:rPr>
          <w:i/>
          <w:color w:val="000000"/>
          <w:lang w:val="en-US"/>
        </w:rPr>
        <w:t>Alexythimia</w:t>
      </w:r>
      <w:proofErr w:type="spellEnd"/>
      <w:r w:rsidR="00291E60" w:rsidRPr="00CC4AE0">
        <w:rPr>
          <w:i/>
          <w:color w:val="000000"/>
          <w:lang w:val="en-US"/>
        </w:rPr>
        <w:t xml:space="preserve"> subscales </w:t>
      </w:r>
    </w:p>
    <w:p w14:paraId="28315263" w14:textId="72886210" w:rsidR="00291E60" w:rsidRPr="00CC4AE0" w:rsidRDefault="00B259D8" w:rsidP="00E95C46">
      <w:pPr>
        <w:spacing w:line="480" w:lineRule="auto"/>
        <w:rPr>
          <w:color w:val="000000"/>
          <w:lang w:val="en-US"/>
        </w:rPr>
      </w:pPr>
      <w:r w:rsidRPr="00CC4AE0">
        <w:rPr>
          <w:color w:val="000000"/>
          <w:lang w:val="en-US"/>
        </w:rPr>
        <w:tab/>
      </w:r>
      <w:r w:rsidR="000821B7" w:rsidRPr="00CC4AE0">
        <w:rPr>
          <w:color w:val="000000"/>
          <w:lang w:val="en-US"/>
        </w:rPr>
        <w:t xml:space="preserve">Even though alexithymia subscales correlated with each other (all p’s&lt;.004), no association was observed between EEB scores and DDF, </w:t>
      </w:r>
      <w:r w:rsidR="000821B7" w:rsidRPr="00CC4AE0">
        <w:rPr>
          <w:i/>
          <w:lang w:val="en-US"/>
        </w:rPr>
        <w:t>r</w:t>
      </w:r>
      <w:r w:rsidR="000821B7" w:rsidRPr="00CC4AE0">
        <w:rPr>
          <w:lang w:val="en-US"/>
        </w:rPr>
        <w:t>(90)=.05, p=.608</w:t>
      </w:r>
      <w:r w:rsidR="000821B7" w:rsidRPr="00CC4AE0">
        <w:rPr>
          <w:color w:val="000000"/>
          <w:lang w:val="en-US"/>
        </w:rPr>
        <w:t xml:space="preserve">, DIF, </w:t>
      </w:r>
      <w:r w:rsidR="000821B7" w:rsidRPr="00CC4AE0">
        <w:rPr>
          <w:i/>
          <w:lang w:val="en-US"/>
        </w:rPr>
        <w:t>r</w:t>
      </w:r>
      <w:r w:rsidR="000821B7" w:rsidRPr="00CC4AE0">
        <w:rPr>
          <w:lang w:val="en-US"/>
        </w:rPr>
        <w:t>(90)=.00, p=.980</w:t>
      </w:r>
      <w:r w:rsidR="000821B7" w:rsidRPr="00CC4AE0">
        <w:rPr>
          <w:color w:val="000000"/>
          <w:lang w:val="en-US"/>
        </w:rPr>
        <w:t xml:space="preserve">, and EOT, </w:t>
      </w:r>
      <w:r w:rsidR="000821B7" w:rsidRPr="00CC4AE0">
        <w:rPr>
          <w:i/>
          <w:lang w:val="en-US"/>
        </w:rPr>
        <w:t>r</w:t>
      </w:r>
      <w:r w:rsidR="000821B7" w:rsidRPr="00CC4AE0">
        <w:rPr>
          <w:lang w:val="en-US"/>
        </w:rPr>
        <w:t>(90)=.04, p=.718</w:t>
      </w:r>
      <w:r w:rsidR="000821B7" w:rsidRPr="00CC4AE0">
        <w:rPr>
          <w:color w:val="000000"/>
          <w:lang w:val="en-US"/>
        </w:rPr>
        <w:t xml:space="preserve">. </w:t>
      </w:r>
    </w:p>
    <w:p w14:paraId="38FF68EE" w14:textId="39693E4A" w:rsidR="008E3D2D" w:rsidRPr="00CC4AE0" w:rsidRDefault="008E3D2D" w:rsidP="00E95C46">
      <w:pPr>
        <w:spacing w:line="480" w:lineRule="auto"/>
        <w:rPr>
          <w:color w:val="000000"/>
          <w:lang w:val="en-US"/>
        </w:rPr>
      </w:pPr>
    </w:p>
    <w:p w14:paraId="15876FD5" w14:textId="320494BE" w:rsidR="008E3D2D" w:rsidRPr="00CC4AE0" w:rsidRDefault="008E3D2D" w:rsidP="00E95C46">
      <w:pPr>
        <w:spacing w:line="480" w:lineRule="auto"/>
        <w:rPr>
          <w:i/>
          <w:color w:val="000000"/>
          <w:lang w:val="en-US"/>
        </w:rPr>
      </w:pPr>
      <w:r w:rsidRPr="00CC4AE0">
        <w:rPr>
          <w:i/>
          <w:color w:val="000000"/>
          <w:lang w:val="en-US"/>
        </w:rPr>
        <w:t>Multiple Linear Regression on the EEB scores with the SRQ subscales as predictors</w:t>
      </w:r>
    </w:p>
    <w:p w14:paraId="6D92D0E7" w14:textId="349C6551" w:rsidR="00291E60" w:rsidRPr="00CC4AE0" w:rsidRDefault="008E3D2D" w:rsidP="008E3D2D">
      <w:pPr>
        <w:spacing w:line="480" w:lineRule="auto"/>
        <w:ind w:firstLine="720"/>
        <w:rPr>
          <w:color w:val="000000"/>
        </w:rPr>
      </w:pPr>
      <w:r w:rsidRPr="00CC4AE0">
        <w:rPr>
          <w:color w:val="000000"/>
        </w:rPr>
        <w:t>As shown in the figure below, social negative potency remains a significant predictor of EEB, b=.62, SE=.26, P=.017, when including all the other subscales of the SRQ in our model (F(6,84)=1.33, p=.251, R</w:t>
      </w:r>
      <w:r w:rsidRPr="00CC4AE0">
        <w:rPr>
          <w:color w:val="000000"/>
          <w:vertAlign w:val="superscript"/>
        </w:rPr>
        <w:t>2</w:t>
      </w:r>
      <w:r w:rsidRPr="00CC4AE0">
        <w:rPr>
          <w:color w:val="000000"/>
        </w:rPr>
        <w:t xml:space="preserve">=.087). All other predictors (admiration, passivity, prosocial interactions, sexual relationships, sociability) were </w:t>
      </w:r>
      <w:proofErr w:type="spellStart"/>
      <w:r w:rsidRPr="00CC4AE0">
        <w:rPr>
          <w:color w:val="000000"/>
        </w:rPr>
        <w:t>n.s</w:t>
      </w:r>
      <w:proofErr w:type="spellEnd"/>
      <w:r w:rsidRPr="00CC4AE0">
        <w:rPr>
          <w:color w:val="000000"/>
        </w:rPr>
        <w:t>.</w:t>
      </w:r>
    </w:p>
    <w:p w14:paraId="54119FFA" w14:textId="478FBF85" w:rsidR="00291E60" w:rsidRPr="00CC4AE0" w:rsidRDefault="008E3D2D" w:rsidP="000B65B5">
      <w:pPr>
        <w:spacing w:line="480" w:lineRule="auto"/>
        <w:ind w:firstLine="720"/>
        <w:rPr>
          <w:i/>
          <w:color w:val="000000"/>
          <w:lang w:val="en-US"/>
        </w:rPr>
      </w:pPr>
      <w:r w:rsidRPr="00CC4AE0">
        <w:rPr>
          <w:noProof/>
          <w:color w:val="000000"/>
        </w:rPr>
        <w:lastRenderedPageBreak/>
        <w:drawing>
          <wp:inline distT="0" distB="0" distL="0" distR="0" wp14:anchorId="288849EB" wp14:editId="2E65D36B">
            <wp:extent cx="5727700" cy="40309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4030980"/>
                    </a:xfrm>
                    <a:prstGeom prst="rect">
                      <a:avLst/>
                    </a:prstGeom>
                  </pic:spPr>
                </pic:pic>
              </a:graphicData>
            </a:graphic>
          </wp:inline>
        </w:drawing>
      </w:r>
    </w:p>
    <w:p w14:paraId="618543CE" w14:textId="70B33E7C" w:rsidR="007B0C03" w:rsidRPr="00CC4AE0" w:rsidRDefault="0093723D">
      <w:pPr>
        <w:rPr>
          <w:i/>
          <w:lang w:val="en-US"/>
        </w:rPr>
      </w:pPr>
      <w:r w:rsidRPr="00CC4AE0">
        <w:rPr>
          <w:i/>
          <w:lang w:val="en-US"/>
        </w:rPr>
        <w:t>Relationship between Alexithymia and emotional judgements</w:t>
      </w:r>
    </w:p>
    <w:p w14:paraId="27710DD7" w14:textId="77777777" w:rsidR="000B65B5" w:rsidRPr="00CC4AE0" w:rsidRDefault="000B65B5">
      <w:pPr>
        <w:rPr>
          <w:i/>
          <w:lang w:val="en-US"/>
        </w:rPr>
      </w:pPr>
    </w:p>
    <w:p w14:paraId="1272E8F1" w14:textId="56590EB2" w:rsidR="0093723D" w:rsidRPr="00CC4AE0" w:rsidRDefault="0093723D" w:rsidP="000B65B5">
      <w:pPr>
        <w:spacing w:line="480" w:lineRule="auto"/>
        <w:ind w:firstLine="720"/>
        <w:rPr>
          <w:color w:val="000000"/>
        </w:rPr>
      </w:pPr>
      <w:r w:rsidRPr="00CC4AE0">
        <w:rPr>
          <w:lang w:val="en-US"/>
        </w:rPr>
        <w:t xml:space="preserve">To examine the relationship between alexithymia and judged emotional intensity, beyond EEB, we calculated the scores for emotional judgements in response to unpleasant and pleasant conditions, as well as their average, and examined these in relation to </w:t>
      </w:r>
      <w:proofErr w:type="spellStart"/>
      <w:r w:rsidRPr="00CC4AE0">
        <w:rPr>
          <w:lang w:val="en-US"/>
        </w:rPr>
        <w:t>alexythimia</w:t>
      </w:r>
      <w:proofErr w:type="spellEnd"/>
      <w:r w:rsidRPr="00CC4AE0">
        <w:rPr>
          <w:lang w:val="en-US"/>
        </w:rPr>
        <w:t xml:space="preserve"> (TAS total score). </w:t>
      </w:r>
      <w:r w:rsidRPr="00CC4AE0">
        <w:rPr>
          <w:color w:val="000000"/>
        </w:rPr>
        <w:t>Averaging across target, we found that the higher the alexithymia the less the “emotional intensity” reported by the participants. This was the case for both (A) unpleasant, r(</w:t>
      </w:r>
      <w:r w:rsidR="007B0C03" w:rsidRPr="00CC4AE0">
        <w:rPr>
          <w:color w:val="000000"/>
        </w:rPr>
        <w:t xml:space="preserve">90)=.21, </w:t>
      </w:r>
      <w:r w:rsidRPr="00CC4AE0">
        <w:rPr>
          <w:color w:val="000000"/>
        </w:rPr>
        <w:t xml:space="preserve">p=.046, and (B) pleasant stimuli, </w:t>
      </w:r>
      <w:r w:rsidR="007B0C03" w:rsidRPr="00CC4AE0">
        <w:rPr>
          <w:color w:val="000000"/>
        </w:rPr>
        <w:t xml:space="preserve">r(90)=-.22, </w:t>
      </w:r>
      <w:r w:rsidRPr="00CC4AE0">
        <w:rPr>
          <w:color w:val="000000"/>
        </w:rPr>
        <w:t>p=.037, as well as their (C) average,</w:t>
      </w:r>
      <w:r w:rsidR="007B0C03" w:rsidRPr="00CC4AE0">
        <w:rPr>
          <w:color w:val="000000"/>
        </w:rPr>
        <w:t xml:space="preserve"> r(90)=-.26,</w:t>
      </w:r>
      <w:r w:rsidRPr="00CC4AE0">
        <w:rPr>
          <w:color w:val="000000"/>
        </w:rPr>
        <w:t xml:space="preserve"> p</w:t>
      </w:r>
      <w:r w:rsidR="007B0C03" w:rsidRPr="00CC4AE0">
        <w:rPr>
          <w:color w:val="000000"/>
        </w:rPr>
        <w:t>=.013</w:t>
      </w:r>
      <w:r w:rsidRPr="00CC4AE0">
        <w:rPr>
          <w:color w:val="000000"/>
        </w:rPr>
        <w:t xml:space="preserve"> (note that unpleasant ratings were inverted for the latter).</w:t>
      </w:r>
    </w:p>
    <w:p w14:paraId="319595C3" w14:textId="529F1E2C" w:rsidR="007B0C03" w:rsidRPr="00CC4AE0" w:rsidRDefault="007B0C03" w:rsidP="000B65B5">
      <w:pPr>
        <w:spacing w:line="480" w:lineRule="auto"/>
        <w:rPr>
          <w:lang w:val="en-US"/>
        </w:rPr>
      </w:pPr>
    </w:p>
    <w:p w14:paraId="3D557100" w14:textId="357211D7" w:rsidR="007B0C03" w:rsidRPr="00CC4AE0" w:rsidRDefault="007B0C03" w:rsidP="000B65B5">
      <w:pPr>
        <w:spacing w:line="480" w:lineRule="auto"/>
        <w:rPr>
          <w:lang w:val="en-US"/>
        </w:rPr>
      </w:pPr>
      <w:r w:rsidRPr="00CC4AE0">
        <w:rPr>
          <w:noProof/>
        </w:rPr>
        <w:lastRenderedPageBreak/>
        <w:drawing>
          <wp:inline distT="0" distB="0" distL="0" distR="0" wp14:anchorId="1219A432" wp14:editId="7CBCDE83">
            <wp:extent cx="3513762" cy="4381812"/>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541571" cy="4416492"/>
                    </a:xfrm>
                    <a:prstGeom prst="rect">
                      <a:avLst/>
                    </a:prstGeom>
                  </pic:spPr>
                </pic:pic>
              </a:graphicData>
            </a:graphic>
          </wp:inline>
        </w:drawing>
      </w:r>
    </w:p>
    <w:p w14:paraId="78EB8725" w14:textId="7EACA0C1" w:rsidR="00766602" w:rsidRPr="00CC4AE0" w:rsidRDefault="00766602" w:rsidP="000B65B5">
      <w:pPr>
        <w:spacing w:line="480" w:lineRule="auto"/>
        <w:rPr>
          <w:lang w:val="en-US"/>
        </w:rPr>
      </w:pPr>
    </w:p>
    <w:p w14:paraId="77D94CBF" w14:textId="148843BD" w:rsidR="00766602" w:rsidRPr="00CC4AE0" w:rsidRDefault="00766602" w:rsidP="000B65B5">
      <w:pPr>
        <w:spacing w:line="480" w:lineRule="auto"/>
        <w:rPr>
          <w:i/>
          <w:lang w:val="en-US"/>
        </w:rPr>
      </w:pPr>
      <w:r w:rsidRPr="00CC4AE0">
        <w:rPr>
          <w:i/>
          <w:lang w:val="en-US"/>
        </w:rPr>
        <w:t xml:space="preserve">Meta-analyses across EEB paradigms </w:t>
      </w:r>
    </w:p>
    <w:p w14:paraId="5FFCB3F7" w14:textId="3EE45A4D" w:rsidR="00766602" w:rsidRPr="00CC4AE0" w:rsidRDefault="00766602" w:rsidP="000B65B5">
      <w:pPr>
        <w:spacing w:line="480" w:lineRule="auto"/>
        <w:ind w:firstLine="720"/>
        <w:rPr>
          <w:color w:val="000000"/>
          <w:lang w:val="en-US"/>
        </w:rPr>
      </w:pPr>
      <w:r w:rsidRPr="00CC4AE0">
        <w:rPr>
          <w:color w:val="000000"/>
          <w:lang w:val="en-US"/>
        </w:rPr>
        <w:t>To determine the overall evidence that the Behavioral AV-EEB, visuo-tactile classic EEB (</w:t>
      </w:r>
      <w:proofErr w:type="spellStart"/>
      <w:r w:rsidRPr="00CC4AE0">
        <w:rPr>
          <w:color w:val="000000"/>
          <w:lang w:val="en-US"/>
        </w:rPr>
        <w:t>Silani</w:t>
      </w:r>
      <w:proofErr w:type="spellEnd"/>
      <w:r w:rsidRPr="00CC4AE0">
        <w:rPr>
          <w:color w:val="000000"/>
          <w:lang w:val="en-US"/>
        </w:rPr>
        <w:t xml:space="preserve"> et al., 2013) and </w:t>
      </w:r>
      <w:proofErr w:type="spellStart"/>
      <w:r w:rsidRPr="00CC4AE0">
        <w:rPr>
          <w:color w:val="000000"/>
          <w:lang w:val="en-US"/>
        </w:rPr>
        <w:t>visuogustatory</w:t>
      </w:r>
      <w:proofErr w:type="spellEnd"/>
      <w:r w:rsidRPr="00CC4AE0">
        <w:rPr>
          <w:color w:val="000000"/>
          <w:lang w:val="en-US"/>
        </w:rPr>
        <w:t xml:space="preserve"> EEB (Hoffman et al.., 2015)we conducted a fixed-effects meta-analysis using the metaphor package (</w:t>
      </w:r>
      <w:proofErr w:type="spellStart"/>
      <w:r w:rsidRPr="00CC4AE0">
        <w:rPr>
          <w:color w:val="000000"/>
          <w:lang w:val="en-US"/>
        </w:rPr>
        <w:t>Viechtbauer</w:t>
      </w:r>
      <w:proofErr w:type="spellEnd"/>
      <w:r w:rsidRPr="00CC4AE0">
        <w:rPr>
          <w:color w:val="000000"/>
          <w:lang w:val="en-US"/>
        </w:rPr>
        <w:t xml:space="preserve">, 2010) for R software. Across the three experiments, we calculated the overall effect size (beta coefficient) for the Congruency x Target interaction reported in the respective ANOVAs (we further calculated the standard error of each effect size by extracting their 95% CIs, and their SD using the following formula: ((CI/2)/TINV(0.05,n-1)*SQRT(n)). A forest plot presenting the result of this analysis is shown below. Across the three experiments, we found evidence for the effect of EEB, with a mean estimated effect size of 0.14, </w:t>
      </w:r>
      <w:r w:rsidRPr="00CC4AE0">
        <w:rPr>
          <w:i/>
          <w:color w:val="000000"/>
          <w:lang w:val="en-US"/>
        </w:rPr>
        <w:t xml:space="preserve">CI: [0.06– 0.23], z = 3.46, p &lt; 0.001.The Q statistic was calculated to examine whether effect sizes across experiments were </w:t>
      </w:r>
      <w:r w:rsidRPr="00CC4AE0">
        <w:rPr>
          <w:i/>
          <w:color w:val="000000"/>
          <w:lang w:val="en-US"/>
        </w:rPr>
        <w:lastRenderedPageBreak/>
        <w:t xml:space="preserve">homogenous (i.e., whether both studies produced a statistically equitable effect size for the comparison of the effect of EEB) and heterogeneity was detected: Q(2) = </w:t>
      </w:r>
      <w:r w:rsidR="000B65B5" w:rsidRPr="00CC4AE0">
        <w:rPr>
          <w:i/>
          <w:color w:val="000000"/>
          <w:lang w:val="en-US"/>
        </w:rPr>
        <w:t>7.57</w:t>
      </w:r>
      <w:r w:rsidRPr="00CC4AE0">
        <w:rPr>
          <w:i/>
          <w:color w:val="000000"/>
          <w:lang w:val="en-US"/>
        </w:rPr>
        <w:t>, p = 0.</w:t>
      </w:r>
      <w:r w:rsidR="000B65B5" w:rsidRPr="00CC4AE0">
        <w:rPr>
          <w:i/>
          <w:color w:val="000000"/>
          <w:lang w:val="en-US"/>
        </w:rPr>
        <w:t>023</w:t>
      </w:r>
      <w:r w:rsidRPr="00CC4AE0">
        <w:rPr>
          <w:i/>
          <w:color w:val="000000"/>
          <w:lang w:val="en-US"/>
        </w:rPr>
        <w:t>, indicating that the difference between experiments was larger than would be expected from a sampling error, i.e. chance alone.”</w:t>
      </w:r>
    </w:p>
    <w:p w14:paraId="7BBF02D2" w14:textId="69DC3423" w:rsidR="00766602" w:rsidRPr="00CC4AE0" w:rsidRDefault="00766602">
      <w:pPr>
        <w:rPr>
          <w:i/>
          <w:color w:val="000000"/>
          <w:lang w:val="en-US"/>
        </w:rPr>
      </w:pPr>
    </w:p>
    <w:p w14:paraId="3FC91AAD" w14:textId="7EFA4237" w:rsidR="00766602" w:rsidRPr="00766602" w:rsidRDefault="00766602">
      <w:pPr>
        <w:rPr>
          <w:i/>
          <w:color w:val="000000"/>
          <w:highlight w:val="yellow"/>
          <w:lang w:val="en-US"/>
        </w:rPr>
      </w:pPr>
      <w:r w:rsidRPr="00766602">
        <w:rPr>
          <w:i/>
          <w:noProof/>
          <w:color w:val="000000"/>
          <w:lang w:val="en-US"/>
        </w:rPr>
        <w:drawing>
          <wp:inline distT="0" distB="0" distL="0" distR="0" wp14:anchorId="61CB2453" wp14:editId="493D772B">
            <wp:extent cx="4813300" cy="241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13300" cy="2413000"/>
                    </a:xfrm>
                    <a:prstGeom prst="rect">
                      <a:avLst/>
                    </a:prstGeom>
                  </pic:spPr>
                </pic:pic>
              </a:graphicData>
            </a:graphic>
          </wp:inline>
        </w:drawing>
      </w:r>
    </w:p>
    <w:sectPr w:rsidR="00766602" w:rsidRPr="00766602" w:rsidSect="00B955FF">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C46"/>
    <w:rsid w:val="00027284"/>
    <w:rsid w:val="000653B3"/>
    <w:rsid w:val="000821B7"/>
    <w:rsid w:val="000A2A6A"/>
    <w:rsid w:val="000B65B5"/>
    <w:rsid w:val="00137B66"/>
    <w:rsid w:val="00170010"/>
    <w:rsid w:val="00203DD7"/>
    <w:rsid w:val="00222114"/>
    <w:rsid w:val="00291E60"/>
    <w:rsid w:val="00766602"/>
    <w:rsid w:val="007B0C03"/>
    <w:rsid w:val="008A4527"/>
    <w:rsid w:val="008E3D2D"/>
    <w:rsid w:val="0093723D"/>
    <w:rsid w:val="00B259D8"/>
    <w:rsid w:val="00B955FF"/>
    <w:rsid w:val="00C92A09"/>
    <w:rsid w:val="00CC4AE0"/>
    <w:rsid w:val="00CD51A7"/>
    <w:rsid w:val="00E95C46"/>
    <w:rsid w:val="00F876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5AB57"/>
  <w15:chartTrackingRefBased/>
  <w15:docId w15:val="{238B66D9-F835-5547-BF08-9BB409AEA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95C4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chart" Target="charts/chart1.xml"/><Relationship Id="rId9"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marianavonmohr/Downloads/PILOT16stimul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en-GB" sz="1200">
                <a:latin typeface="Times New Roman" panose="02020603050405020304" pitchFamily="18" charset="0"/>
                <a:cs typeface="Times New Roman" panose="02020603050405020304" pitchFamily="18" charset="0"/>
              </a:rPr>
              <a:t>How</a:t>
            </a:r>
            <a:r>
              <a:rPr lang="en-GB" sz="1200" baseline="0">
                <a:latin typeface="Times New Roman" panose="02020603050405020304" pitchFamily="18" charset="0"/>
                <a:cs typeface="Times New Roman" panose="02020603050405020304" pitchFamily="18" charset="0"/>
              </a:rPr>
              <a:t> well does the image depict the sound?</a:t>
            </a:r>
            <a:endParaRPr lang="en-GB" sz="1200">
              <a:latin typeface="Times New Roman" panose="02020603050405020304" pitchFamily="18" charset="0"/>
              <a:cs typeface="Times New Roman" panose="02020603050405020304" pitchFamily="18" charset="0"/>
            </a:endParaRPr>
          </a:p>
        </c:rich>
      </c:tx>
      <c:layout>
        <c:manualLayout>
          <c:xMode val="edge"/>
          <c:yMode val="edge"/>
          <c:x val="0.27276587572375999"/>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01204189123479"/>
          <c:y val="0.134599612333413"/>
          <c:w val="0.873761643472308"/>
          <c:h val="0.64126013807235605"/>
        </c:manualLayout>
      </c:layout>
      <c:barChart>
        <c:barDir val="col"/>
        <c:grouping val="clustered"/>
        <c:varyColors val="0"/>
        <c:ser>
          <c:idx val="0"/>
          <c:order val="0"/>
          <c:spPr>
            <a:solidFill>
              <a:srgbClr val="E7E6E6">
                <a:lumMod val="50000"/>
              </a:srgbClr>
            </a:solidFill>
            <a:ln w="12700">
              <a:solidFill>
                <a:sysClr val="windowText" lastClr="000000"/>
              </a:solidFill>
            </a:ln>
            <a:effectLst/>
          </c:spPr>
          <c:invertIfNegative val="0"/>
          <c:errBars>
            <c:errBarType val="both"/>
            <c:errValType val="cust"/>
            <c:noEndCap val="0"/>
            <c:plus>
              <c:numRef>
                <c:f>congruency!$B$26:$J$26</c:f>
                <c:numCache>
                  <c:formatCode>General</c:formatCode>
                  <c:ptCount val="9"/>
                  <c:pt idx="0">
                    <c:v>0.22846838336584399</c:v>
                  </c:pt>
                  <c:pt idx="1">
                    <c:v>0.301096895798248</c:v>
                  </c:pt>
                  <c:pt idx="2">
                    <c:v>0.31666184688832599</c:v>
                  </c:pt>
                  <c:pt idx="3">
                    <c:v>0.37293386857413502</c:v>
                  </c:pt>
                  <c:pt idx="5">
                    <c:v>0.23513498578149</c:v>
                  </c:pt>
                  <c:pt idx="6">
                    <c:v>0.38560997775609301</c:v>
                  </c:pt>
                  <c:pt idx="7">
                    <c:v>0.232195682916016</c:v>
                  </c:pt>
                  <c:pt idx="8">
                    <c:v>0.372473171834246</c:v>
                  </c:pt>
                </c:numCache>
              </c:numRef>
            </c:plus>
            <c:minus>
              <c:numRef>
                <c:f>congruency!$B$26:$J$26</c:f>
                <c:numCache>
                  <c:formatCode>General</c:formatCode>
                  <c:ptCount val="9"/>
                  <c:pt idx="0">
                    <c:v>0.22846838336584399</c:v>
                  </c:pt>
                  <c:pt idx="1">
                    <c:v>0.301096895798248</c:v>
                  </c:pt>
                  <c:pt idx="2">
                    <c:v>0.31666184688832599</c:v>
                  </c:pt>
                  <c:pt idx="3">
                    <c:v>0.37293386857413502</c:v>
                  </c:pt>
                  <c:pt idx="5">
                    <c:v>0.23513498578149</c:v>
                  </c:pt>
                  <c:pt idx="6">
                    <c:v>0.38560997775609301</c:v>
                  </c:pt>
                  <c:pt idx="7">
                    <c:v>0.232195682916016</c:v>
                  </c:pt>
                  <c:pt idx="8">
                    <c:v>0.372473171834246</c:v>
                  </c:pt>
                </c:numCache>
              </c:numRef>
            </c:minus>
            <c:spPr>
              <a:noFill/>
              <a:ln w="9525" cap="flat" cmpd="sng" algn="ctr">
                <a:solidFill>
                  <a:schemeClr val="tx1">
                    <a:lumMod val="65000"/>
                    <a:lumOff val="35000"/>
                  </a:schemeClr>
                </a:solidFill>
                <a:round/>
              </a:ln>
              <a:effectLst/>
            </c:spPr>
          </c:errBars>
          <c:cat>
            <c:multiLvlStrRef>
              <c:f>congruency!$B$23:$J$24</c:f>
              <c:multiLvlStrCache>
                <c:ptCount val="9"/>
                <c:lvl>
                  <c:pt idx="0">
                    <c:v>applause</c:v>
                  </c:pt>
                  <c:pt idx="1">
                    <c:v>baby laugh</c:v>
                  </c:pt>
                  <c:pt idx="2">
                    <c:v>seagulls </c:v>
                  </c:pt>
                  <c:pt idx="3">
                    <c:v>party</c:v>
                  </c:pt>
                  <c:pt idx="5">
                    <c:v>bees </c:v>
                  </c:pt>
                  <c:pt idx="6">
                    <c:v>attack</c:v>
                  </c:pt>
                  <c:pt idx="7">
                    <c:v>dentist</c:v>
                  </c:pt>
                  <c:pt idx="8">
                    <c:v>baby cry</c:v>
                  </c:pt>
                </c:lvl>
                <c:lvl>
                  <c:pt idx="0">
                    <c:v>Pleasant</c:v>
                  </c:pt>
                  <c:pt idx="5">
                    <c:v>Unpleasant</c:v>
                  </c:pt>
                </c:lvl>
              </c:multiLvlStrCache>
            </c:multiLvlStrRef>
          </c:cat>
          <c:val>
            <c:numRef>
              <c:f>congruency!$B$25:$J$25</c:f>
              <c:numCache>
                <c:formatCode>General</c:formatCode>
                <c:ptCount val="9"/>
                <c:pt idx="0">
                  <c:v>9.2857142857142865</c:v>
                </c:pt>
                <c:pt idx="1">
                  <c:v>9.2857142857142865</c:v>
                </c:pt>
                <c:pt idx="2">
                  <c:v>8.7142857142857135</c:v>
                </c:pt>
                <c:pt idx="3">
                  <c:v>8.0714285714285712</c:v>
                </c:pt>
                <c:pt idx="5">
                  <c:v>9.5</c:v>
                </c:pt>
                <c:pt idx="6">
                  <c:v>8.9285714285714182</c:v>
                </c:pt>
                <c:pt idx="7">
                  <c:v>9.3571428571428594</c:v>
                </c:pt>
                <c:pt idx="8">
                  <c:v>8.7142857142857135</c:v>
                </c:pt>
              </c:numCache>
            </c:numRef>
          </c:val>
          <c:extLst>
            <c:ext xmlns:c16="http://schemas.microsoft.com/office/drawing/2014/chart" uri="{C3380CC4-5D6E-409C-BE32-E72D297353CC}">
              <c16:uniqueId val="{00000000-90E1-6047-9571-FFBC467546CA}"/>
            </c:ext>
          </c:extLst>
        </c:ser>
        <c:dLbls>
          <c:showLegendKey val="0"/>
          <c:showVal val="0"/>
          <c:showCatName val="0"/>
          <c:showSerName val="0"/>
          <c:showPercent val="0"/>
          <c:showBubbleSize val="0"/>
        </c:dLbls>
        <c:gapWidth val="219"/>
        <c:overlap val="-27"/>
        <c:axId val="-2074351872"/>
        <c:axId val="-2097647056"/>
      </c:barChart>
      <c:catAx>
        <c:axId val="-2074351872"/>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97647056"/>
        <c:crosses val="autoZero"/>
        <c:auto val="1"/>
        <c:lblAlgn val="ctr"/>
        <c:lblOffset val="100"/>
        <c:noMultiLvlLbl val="0"/>
      </c:catAx>
      <c:valAx>
        <c:axId val="-2097647056"/>
        <c:scaling>
          <c:orientation val="minMax"/>
          <c:max val="1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solidFill>
                      <a:schemeClr val="tx1"/>
                    </a:solidFill>
                    <a:latin typeface="Times New Roman" panose="02020603050405020304" pitchFamily="18" charset="0"/>
                    <a:cs typeface="Times New Roman" panose="02020603050405020304" pitchFamily="18" charset="0"/>
                  </a:rPr>
                  <a:t>Congruency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435187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60</TotalTime>
  <Pages>6</Pages>
  <Words>906</Words>
  <Characters>5170</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Vonmohr, Mariana</dc:creator>
  <cp:keywords/>
  <dc:description/>
  <cp:lastModifiedBy>Microsoft Office User</cp:lastModifiedBy>
  <cp:revision>14</cp:revision>
  <dcterms:created xsi:type="dcterms:W3CDTF">2019-03-18T15:22:00Z</dcterms:created>
  <dcterms:modified xsi:type="dcterms:W3CDTF">2019-10-18T10:00:00Z</dcterms:modified>
</cp:coreProperties>
</file>