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5B09A" w14:textId="724DE9F4" w:rsidR="00E102AB" w:rsidRPr="00F87C41" w:rsidRDefault="00F87C41" w:rsidP="00F87C41">
      <w:pPr>
        <w:pStyle w:val="NoSpacing"/>
        <w:rPr>
          <w:b/>
          <w:bCs/>
          <w:sz w:val="28"/>
          <w:szCs w:val="28"/>
        </w:rPr>
      </w:pPr>
      <w:bookmarkStart w:id="0" w:name="_GoBack"/>
      <w:bookmarkEnd w:id="0"/>
      <w:r w:rsidRPr="00F87C41">
        <w:rPr>
          <w:b/>
          <w:bCs/>
          <w:sz w:val="28"/>
          <w:szCs w:val="28"/>
        </w:rPr>
        <w:t>Supplementary material</w:t>
      </w:r>
    </w:p>
    <w:p w14:paraId="425E25AA" w14:textId="77777777" w:rsidR="003C5BA1" w:rsidRDefault="003C5BA1" w:rsidP="00F87C41">
      <w:pPr>
        <w:pStyle w:val="NoSpacing"/>
      </w:pPr>
    </w:p>
    <w:p w14:paraId="7328D389" w14:textId="77777777" w:rsidR="00DA27CC" w:rsidRPr="00EC5E96" w:rsidRDefault="00DA27CC" w:rsidP="00F87C41">
      <w:pPr>
        <w:spacing w:after="0" w:line="240" w:lineRule="auto"/>
        <w:jc w:val="both"/>
        <w:rPr>
          <w:rFonts w:asciiTheme="majorBidi" w:hAnsiTheme="majorBidi" w:cstheme="majorBidi"/>
          <w:b/>
          <w:sz w:val="24"/>
          <w:szCs w:val="24"/>
          <w:lang w:val="en-GB"/>
        </w:rPr>
      </w:pPr>
      <w:r w:rsidRPr="00EC5E96">
        <w:rPr>
          <w:rFonts w:asciiTheme="majorBidi" w:hAnsiTheme="majorBidi" w:cstheme="majorBidi"/>
          <w:b/>
          <w:sz w:val="24"/>
          <w:szCs w:val="24"/>
          <w:lang w:val="en-GB"/>
        </w:rPr>
        <w:t>Exploring socio-hydrological determinants of crop yield in under-performing irrigation schemes: Pathways for sustainable intensification</w:t>
      </w:r>
    </w:p>
    <w:p w14:paraId="00481D11" w14:textId="3CBA8933" w:rsidR="00DA27CC" w:rsidRPr="00EC5E96" w:rsidRDefault="00DA27CC" w:rsidP="00F87C41">
      <w:pPr>
        <w:pStyle w:val="NoSpacing"/>
        <w:rPr>
          <w:rFonts w:ascii="Times New Roman" w:hAnsi="Times New Roman" w:cs="Times New Roman"/>
          <w:b/>
          <w:sz w:val="24"/>
          <w:szCs w:val="24"/>
          <w:lang w:val="en-GB"/>
        </w:rPr>
      </w:pPr>
      <w:r w:rsidRPr="00EC5E96">
        <w:rPr>
          <w:rFonts w:ascii="Times New Roman" w:hAnsi="Times New Roman" w:cs="Times New Roman"/>
          <w:b/>
          <w:sz w:val="24"/>
          <w:szCs w:val="24"/>
          <w:lang w:val="en-GB"/>
        </w:rPr>
        <w:t xml:space="preserve">Muhammad Khalifa </w:t>
      </w:r>
      <w:r w:rsidR="00F87C41" w:rsidRPr="00F87C41">
        <w:rPr>
          <w:rFonts w:ascii="Times New Roman" w:hAnsi="Times New Roman" w:cs="Times New Roman"/>
          <w:b/>
          <w:i/>
          <w:iCs/>
          <w:sz w:val="24"/>
          <w:szCs w:val="24"/>
          <w:lang w:val="en-GB"/>
        </w:rPr>
        <w:t>et al.</w:t>
      </w:r>
    </w:p>
    <w:p w14:paraId="6BC7ACF6" w14:textId="6425D370" w:rsidR="00DA27CC" w:rsidRDefault="00DA27CC" w:rsidP="00F87C41">
      <w:pPr>
        <w:pStyle w:val="NoSpacing"/>
        <w:rPr>
          <w:rFonts w:ascii="Times New Roman" w:hAnsi="Times New Roman" w:cs="Times New Roman"/>
          <w:i/>
          <w:sz w:val="20"/>
          <w:szCs w:val="20"/>
          <w:lang w:val="en-GB"/>
        </w:rPr>
      </w:pPr>
      <w:r w:rsidRPr="0004257F">
        <w:rPr>
          <w:rFonts w:ascii="Times New Roman" w:hAnsi="Times New Roman" w:cs="Times New Roman"/>
          <w:i/>
          <w:sz w:val="20"/>
          <w:szCs w:val="20"/>
          <w:lang w:val="en-GB"/>
        </w:rPr>
        <w:t>(e-mail: mkhalifa@smail.uni-koeln.de, msakhalifa@hotmail.com)</w:t>
      </w:r>
    </w:p>
    <w:p w14:paraId="46997A4E" w14:textId="77777777" w:rsidR="001F6C11" w:rsidRDefault="001F6C11" w:rsidP="00F87C41">
      <w:pPr>
        <w:spacing w:after="0" w:line="240" w:lineRule="auto"/>
        <w:jc w:val="both"/>
        <w:rPr>
          <w:rFonts w:ascii="Times New Roman" w:hAnsi="Times New Roman" w:cs="Times New Roman"/>
          <w:i/>
          <w:sz w:val="20"/>
          <w:szCs w:val="20"/>
          <w:lang w:val="en-GB"/>
        </w:rPr>
      </w:pPr>
    </w:p>
    <w:p w14:paraId="64B5495C" w14:textId="1300C6A7" w:rsidR="00B26A94" w:rsidRPr="00B26A94" w:rsidRDefault="00A92C68" w:rsidP="00F87C41">
      <w:pPr>
        <w:spacing w:after="0" w:line="240" w:lineRule="auto"/>
        <w:jc w:val="both"/>
        <w:rPr>
          <w:rFonts w:asciiTheme="majorBidi" w:hAnsiTheme="majorBidi" w:cstheme="majorBidi"/>
          <w:b/>
          <w:sz w:val="24"/>
          <w:szCs w:val="24"/>
          <w:lang w:val="en-GB"/>
        </w:rPr>
      </w:pPr>
      <w:r>
        <w:rPr>
          <w:rFonts w:asciiTheme="majorBidi" w:hAnsiTheme="majorBidi" w:cstheme="majorBidi"/>
          <w:b/>
          <w:sz w:val="24"/>
          <w:szCs w:val="24"/>
          <w:lang w:val="en-GB"/>
        </w:rPr>
        <w:t>S</w:t>
      </w:r>
      <w:r w:rsidR="00B26A94" w:rsidRPr="00B26A94">
        <w:rPr>
          <w:rFonts w:asciiTheme="majorBidi" w:hAnsiTheme="majorBidi" w:cstheme="majorBidi"/>
          <w:b/>
          <w:sz w:val="24"/>
          <w:szCs w:val="24"/>
          <w:lang w:val="en-GB"/>
        </w:rPr>
        <w:t>1 Gezira Irrigation Scheme</w:t>
      </w:r>
    </w:p>
    <w:p w14:paraId="724C78FF" w14:textId="32181C5A" w:rsidR="00B26A94" w:rsidRPr="00B26A94" w:rsidRDefault="00317239" w:rsidP="00F87C41">
      <w:pPr>
        <w:spacing w:after="0" w:line="240" w:lineRule="auto"/>
        <w:jc w:val="both"/>
        <w:rPr>
          <w:rFonts w:asciiTheme="majorBidi" w:hAnsiTheme="majorBidi" w:cstheme="majorBidi"/>
          <w:bCs/>
          <w:color w:val="000000" w:themeColor="text1"/>
          <w:sz w:val="24"/>
          <w:szCs w:val="24"/>
          <w:lang w:val="en-GB"/>
        </w:rPr>
      </w:pPr>
      <w:r w:rsidRPr="0004257F">
        <w:rPr>
          <w:rFonts w:asciiTheme="majorBidi" w:hAnsiTheme="majorBidi" w:cstheme="majorBidi"/>
          <w:sz w:val="24"/>
          <w:szCs w:val="24"/>
          <w:lang w:val="en-GB"/>
        </w:rPr>
        <w:t>The scheme was established after the construction of Sennar Dam in 1925 on the Blue Nile. This was during the era of the British rule in Sudan with a purpose to mainly cultivate cotton for the British textile industry. It has played a major role in the Sudan’s</w:t>
      </w:r>
      <w:r w:rsidRPr="0004257F">
        <w:rPr>
          <w:rFonts w:asciiTheme="majorBidi" w:hAnsiTheme="majorBidi" w:cstheme="majorBidi"/>
          <w:sz w:val="24"/>
          <w:szCs w:val="24"/>
        </w:rPr>
        <w:t xml:space="preserve"> economy, and in fact</w:t>
      </w:r>
      <w:r w:rsidRPr="0004257F">
        <w:rPr>
          <w:rFonts w:asciiTheme="majorBidi" w:hAnsiTheme="majorBidi" w:cstheme="majorBidi"/>
          <w:sz w:val="24"/>
          <w:szCs w:val="24"/>
          <w:lang w:val="en-GB"/>
        </w:rPr>
        <w:t xml:space="preserve"> was considered the central engine for the economy of the country for several decades during the 20</w:t>
      </w:r>
      <w:r w:rsidRPr="0004257F">
        <w:rPr>
          <w:rFonts w:asciiTheme="majorBidi" w:hAnsiTheme="majorBidi" w:cstheme="majorBidi"/>
          <w:sz w:val="24"/>
          <w:szCs w:val="24"/>
          <w:vertAlign w:val="superscript"/>
          <w:lang w:val="en-GB"/>
        </w:rPr>
        <w:t>th</w:t>
      </w:r>
      <w:r w:rsidRPr="0004257F">
        <w:rPr>
          <w:rFonts w:asciiTheme="majorBidi" w:hAnsiTheme="majorBidi" w:cstheme="majorBidi"/>
          <w:sz w:val="24"/>
          <w:szCs w:val="24"/>
          <w:lang w:val="en-GB"/>
        </w:rPr>
        <w:t xml:space="preserve"> century </w:t>
      </w:r>
      <w:r w:rsidRPr="0004257F">
        <w:rPr>
          <w:rFonts w:asciiTheme="majorBidi" w:hAnsiTheme="majorBidi" w:cstheme="majorBidi"/>
          <w:sz w:val="24"/>
          <w:szCs w:val="24"/>
          <w:lang w:val="en-GB"/>
        </w:rPr>
        <w:fldChar w:fldCharType="begin" w:fldLock="1"/>
      </w:r>
      <w:r w:rsidR="00714D22">
        <w:rPr>
          <w:rFonts w:asciiTheme="majorBidi" w:hAnsiTheme="majorBidi" w:cstheme="majorBidi"/>
          <w:sz w:val="24"/>
          <w:szCs w:val="24"/>
          <w:lang w:val="en-GB"/>
        </w:rPr>
        <w:instrText>ADDIN CSL_CITATION {"citationItems":[{"id":"ITEM-1","itemData":{"abstract":"In the first half of the 20th century, colonial rulers, a British firm and Sudanese farmers changed the Gezira Plain in Sudan into a large-scale irrigated cotton scheme. Gezira continues to be in use up to date. Its story shows how the abstract concept 'development' is shaped through the agency of humans and non-humans alike in government offices and muddy fields. Gezira provides a well-suited starting point for moving into the networks of development without any pre-suggested division in terms of levels, contexts or relations. Hierarchies, arenas and institutions do exist. Such power relations are associations between humans and non-humans: relatively stable relations are typically produced when non-human agency is involved, for example through books, roads, and money. The Gezira case shows the potential of actor-network theory in building and understanding of conceptual and empirical links between water, infrastructure and political rule.","author":[{"dropping-particle":"","family":"Ertsen","given":"Maurits","non-dropping-particle":"","parse-names":false,"suffix":""}],"container-title":"Water Alternatives","id":"ITEM-1","issue":"2","issued":{"date-parts":[["2016"]]},"page":"203-221","title":"A Matter of relationships-actor-networks of colonial rule in the Gezira Irrigation System, Sudan","type":"article-journal","volume":"9"},"uris":["http://www.mendeley.com/documents/?uuid=bc51e92e-a9e9-30de-8b67-a52d081f06d3"]},{"id":"ITEM-2","itemData":{"DOI":"10.1080/07900629108722486","ISSN":"1360-0648","author":[{"dropping-particle":"","family":"Ishag","given":"Kheiry","non-dropping-particle":"","parse-names":false,"suffix":""},{"dropping-particle":"","family":"Thornton","given":"Douglas","non-dropping-particle":"","parse-names":false,"suffix":""},{"dropping-particle":"","family":"Tiffen","given":"Mary","non-dropping-particle":"","parse-names":false,"suffix":""},{"dropping-particle":"","family":"Upton","given":"Martin","non-dropping-particle":"","parse-names":false,"suffix":""}],"container-title":"International Journal of Water Resources Development","id":"ITEM-2","issue":"1","issued":{"date-parts":[["2007"]]},"page":"2-15","title":"Farm location and farmers’ performance on the Hamza minor canal","type":"article-journal","volume":"7"},"uris":["http://www.mendeley.com/documents/?uuid=3596af00-5636-3d31-aefa-76bb3e30d36a"]},{"id":"ITEM-3","itemData":{"abstract":"Gezira Scheme (GS) was designed for cotton production. It was designed to serve water to 50% of its gross command area in two consecutive growing seasons (summer and winter). But later, in the 1960s, a crop diversification and intensification policy was implemented in the Scheme. That results to operate the system over its capacity; together with an increment of the actual sedimentation rate from the Blue Nile's catchment, silt to enter the canal system has increased. Consequently, operation and maintenance (O&amp;M) costs have risen to a point that is beyond the capacity of the government. This in turn could affect water distribution. However, it was not clear, where and how the water distribution change in the scheme. This paper investigates the water distribution on a minor canal called Tuweir which is a part of a big project, the Blue Nile programme, implemented to analyse the situations on operation and maintenance (O&amp;M) in depth. Both socioeconomic and bio-physical data were collected through interviewing, field observations, and measurements. Through a wide range of scientific literature and (local) policy documents the research could be designed and field data could be cross-checked. The result implies, though it is difficult to claim that water distribution in the past was well planned and optimal, there was at least relatively formal, predictable and specified water indenting system that roughly corresponding with estimated crop water requirements and the canal capacity. However, currently no scientific approach of crop water calculation takes place nor does the canal capacity feature in the balance at all. Factors like the operation of the FOPs (Field Outlet Pipes) by farmers themselves as well as, their irrigation perceptions negatively affect the water supply security. The interplay of these factors has created unequal, unreliable and unscheduled water distribution between tertiary units (numbers) of the Tuweir minor canal. The impacts of the water distribution changes produce both long term (out migration of farmers, cropping pattern changes and deterioration of the system); and short term effects (yield reduction, conflict between farmers, additional costs for water pumping...) on the water users.","author":[{"dropping-particle":"","family":"Woldegebriel","given":"Ertiban","non-dropping-particle":"","parse-names":false,"suffix":""},{"dropping-particle":"","family":"Smit","given":"Hermen","non-dropping-particle":"","parse-names":false,"suffix":""},{"dropping-particle":"","family":"Alex","given":"Bolding","non-dropping-particle":"","parse-names":false,"suffix":""}],"container-title":"Nile Basin Water Science &amp; Engineering Journal","id":"ITEM-3","issue":"2","issued":{"date-parts":[["2012"]]},"page":"11-22","title":"Water distribution changes in Tuweir minor canal, Gezira Scheme","type":"article-journal","volume":"5"},"uris":["http://www.mendeley.com/documents/?uuid=d6981c26-f5d7-338d-956a-c20c23b7f108"]}],"mendeley":{"formattedCitation":"(Ishag &lt;i&gt;et al.&lt;/i&gt; 2007, Woldegebriel &lt;i&gt;et al.&lt;/i&gt; 2012, Ertsen 2016)","manualFormatting":"(Ishag et al. 2007, Woldegebriel et al. 2012, Ertsen 2016)","plainTextFormattedCitation":"(Ishag et al. 2007, Woldegebriel et al. 2012, Ertsen 2016)","previouslyFormattedCitation":"(Ertsen, 2016; Ishag, Thornton, Tiffen, &amp; Upton, 2007; Woldegebriel, Smit, &amp; Alex, 2012)"},"properties":{"noteIndex":0},"schema":"https://github.com/citation-style-language/schema/raw/master/csl-citation.json"}</w:instrText>
      </w:r>
      <w:r w:rsidRPr="0004257F">
        <w:rPr>
          <w:rFonts w:asciiTheme="majorBidi" w:hAnsiTheme="majorBidi" w:cstheme="majorBidi"/>
          <w:sz w:val="24"/>
          <w:szCs w:val="24"/>
          <w:lang w:val="en-GB"/>
        </w:rPr>
        <w:fldChar w:fldCharType="separate"/>
      </w:r>
      <w:r w:rsidRPr="0004257F">
        <w:rPr>
          <w:rFonts w:asciiTheme="majorBidi" w:hAnsiTheme="majorBidi" w:cstheme="majorBidi"/>
          <w:noProof/>
          <w:sz w:val="24"/>
          <w:szCs w:val="24"/>
          <w:lang w:val="en-GB"/>
        </w:rPr>
        <w:t xml:space="preserve">(Ishag </w:t>
      </w:r>
      <w:r w:rsidRPr="0004257F">
        <w:rPr>
          <w:rFonts w:asciiTheme="majorBidi" w:hAnsiTheme="majorBidi" w:cstheme="majorBidi"/>
          <w:i/>
          <w:iCs/>
          <w:noProof/>
          <w:sz w:val="24"/>
          <w:szCs w:val="24"/>
          <w:lang w:val="en-GB"/>
        </w:rPr>
        <w:t>et al.</w:t>
      </w:r>
      <w:r w:rsidRPr="0004257F">
        <w:rPr>
          <w:rFonts w:asciiTheme="majorBidi" w:hAnsiTheme="majorBidi" w:cstheme="majorBidi"/>
          <w:noProof/>
          <w:sz w:val="24"/>
          <w:szCs w:val="24"/>
          <w:lang w:val="en-GB"/>
        </w:rPr>
        <w:t xml:space="preserve"> 2007, Woldegebriel </w:t>
      </w:r>
      <w:r w:rsidRPr="0004257F">
        <w:rPr>
          <w:rFonts w:asciiTheme="majorBidi" w:hAnsiTheme="majorBidi" w:cstheme="majorBidi"/>
          <w:i/>
          <w:iCs/>
          <w:noProof/>
          <w:sz w:val="24"/>
          <w:szCs w:val="24"/>
          <w:lang w:val="en-GB"/>
        </w:rPr>
        <w:t>et al.</w:t>
      </w:r>
      <w:r w:rsidRPr="0004257F">
        <w:rPr>
          <w:rFonts w:asciiTheme="majorBidi" w:hAnsiTheme="majorBidi" w:cstheme="majorBidi"/>
          <w:noProof/>
          <w:sz w:val="24"/>
          <w:szCs w:val="24"/>
          <w:lang w:val="en-GB"/>
        </w:rPr>
        <w:t xml:space="preserve"> 2012, Ertsen 2016)</w:t>
      </w:r>
      <w:r w:rsidRPr="0004257F">
        <w:rPr>
          <w:rFonts w:asciiTheme="majorBidi" w:hAnsiTheme="majorBidi" w:cstheme="majorBidi"/>
          <w:sz w:val="24"/>
          <w:szCs w:val="24"/>
          <w:lang w:val="en-GB"/>
        </w:rPr>
        <w:fldChar w:fldCharType="end"/>
      </w:r>
      <w:r w:rsidRPr="0004257F">
        <w:rPr>
          <w:rFonts w:asciiTheme="majorBidi" w:hAnsiTheme="majorBidi" w:cstheme="majorBidi"/>
          <w:sz w:val="24"/>
          <w:szCs w:val="24"/>
          <w:lang w:val="en-GB"/>
        </w:rPr>
        <w:t xml:space="preserve">. </w:t>
      </w:r>
      <w:bookmarkStart w:id="1" w:name="_Hlk13831419"/>
      <w:r w:rsidRPr="0004257F">
        <w:rPr>
          <w:rFonts w:asciiTheme="majorBidi" w:hAnsiTheme="majorBidi" w:cstheme="majorBidi"/>
          <w:sz w:val="24"/>
          <w:szCs w:val="24"/>
          <w:lang w:val="en-GB"/>
        </w:rPr>
        <w:t xml:space="preserve">During the oil era of </w:t>
      </w:r>
      <w:r w:rsidR="00F87C41">
        <w:rPr>
          <w:rFonts w:asciiTheme="majorBidi" w:hAnsiTheme="majorBidi" w:cstheme="majorBidi"/>
          <w:sz w:val="24"/>
          <w:szCs w:val="24"/>
          <w:lang w:val="en-GB"/>
        </w:rPr>
        <w:t xml:space="preserve">the </w:t>
      </w:r>
      <w:r w:rsidRPr="0004257F">
        <w:rPr>
          <w:rFonts w:asciiTheme="majorBidi" w:hAnsiTheme="majorBidi" w:cstheme="majorBidi"/>
          <w:sz w:val="24"/>
          <w:szCs w:val="24"/>
          <w:lang w:val="en-GB"/>
        </w:rPr>
        <w:t xml:space="preserve">1990s and 2000s in Sudan, the contribution of agriculture to the Sudan </w:t>
      </w:r>
      <w:r w:rsidR="00F87C41" w:rsidRPr="0004257F">
        <w:rPr>
          <w:rFonts w:asciiTheme="majorBidi" w:hAnsiTheme="majorBidi" w:cstheme="majorBidi"/>
          <w:sz w:val="24"/>
          <w:szCs w:val="24"/>
          <w:lang w:val="en-GB"/>
        </w:rPr>
        <w:t xml:space="preserve">gross domestic product </w:t>
      </w:r>
      <w:r w:rsidRPr="0004257F">
        <w:rPr>
          <w:rFonts w:asciiTheme="majorBidi" w:hAnsiTheme="majorBidi" w:cstheme="majorBidi"/>
          <w:sz w:val="24"/>
          <w:szCs w:val="24"/>
          <w:lang w:val="en-GB"/>
        </w:rPr>
        <w:t xml:space="preserve">(GDP) decreased due to the large revenues of oil </w:t>
      </w:r>
      <w:r w:rsidRPr="0004257F">
        <w:rPr>
          <w:rFonts w:asciiTheme="majorBidi" w:hAnsiTheme="majorBidi" w:cstheme="majorBidi"/>
          <w:sz w:val="24"/>
          <w:szCs w:val="24"/>
          <w:lang w:val="en-GB"/>
        </w:rPr>
        <w:fldChar w:fldCharType="begin" w:fldLock="1"/>
      </w:r>
      <w:r w:rsidR="00714D22">
        <w:rPr>
          <w:rFonts w:asciiTheme="majorBidi" w:hAnsiTheme="majorBidi" w:cstheme="majorBidi"/>
          <w:sz w:val="24"/>
          <w:szCs w:val="24"/>
          <w:lang w:val="en-GB"/>
        </w:rPr>
        <w:instrText>ADDIN CSL_CITATION {"citationItems":[{"id":"ITEM-1","itemData":{"ISBN":"9789171067487","author":[{"dropping-particle":"","family":"Mahgoub","given":"Farida","non-dropping-particle":"","parse-names":false,"suffix":""}],"id":"ITEM-1","issued":{"date-parts":[["2014"]]},"number-of-pages":"98","publisher-place":"Upsala","title":"Current status of agriculture and future challenges in Sudan","type":"report"},"uris":["http://www.mendeley.com/documents/?uuid=7068bde8-30d8-34b1-b1e1-05d643f9d69b"]}],"mendeley":{"formattedCitation":"(Mahgoub 2014)","plainTextFormattedCitation":"(Mahgoub 2014)","previouslyFormattedCitation":"(Mahgoub, 2014)"},"properties":{"noteIndex":0},"schema":"https://github.com/citation-style-language/schema/raw/master/csl-citation.json"}</w:instrText>
      </w:r>
      <w:r w:rsidRPr="0004257F">
        <w:rPr>
          <w:rFonts w:asciiTheme="majorBidi" w:hAnsiTheme="majorBidi" w:cstheme="majorBidi"/>
          <w:sz w:val="24"/>
          <w:szCs w:val="24"/>
          <w:lang w:val="en-GB"/>
        </w:rPr>
        <w:fldChar w:fldCharType="separate"/>
      </w:r>
      <w:r w:rsidR="00714D22" w:rsidRPr="00714D22">
        <w:rPr>
          <w:rFonts w:asciiTheme="majorBidi" w:hAnsiTheme="majorBidi" w:cstheme="majorBidi"/>
          <w:noProof/>
          <w:sz w:val="24"/>
          <w:szCs w:val="24"/>
          <w:lang w:val="en-GB"/>
        </w:rPr>
        <w:t>(Mahgoub 2014)</w:t>
      </w:r>
      <w:r w:rsidRPr="0004257F">
        <w:rPr>
          <w:rFonts w:asciiTheme="majorBidi" w:hAnsiTheme="majorBidi" w:cstheme="majorBidi"/>
          <w:sz w:val="24"/>
          <w:szCs w:val="24"/>
          <w:lang w:val="en-GB"/>
        </w:rPr>
        <w:fldChar w:fldCharType="end"/>
      </w:r>
      <w:r w:rsidRPr="0004257F">
        <w:rPr>
          <w:rFonts w:asciiTheme="majorBidi" w:hAnsiTheme="majorBidi" w:cstheme="majorBidi"/>
          <w:sz w:val="24"/>
          <w:szCs w:val="24"/>
          <w:lang w:val="en-GB"/>
        </w:rPr>
        <w:t xml:space="preserve">. Neglecting the agriculture sector during this period resulted in severe deterioration of the irrigation systems, which originated from a range of problems, including sedimentation of irrigation canals, improper removal of sediments </w:t>
      </w:r>
      <w:r w:rsidRPr="0004257F">
        <w:rPr>
          <w:rFonts w:asciiTheme="majorBidi" w:hAnsiTheme="majorBidi" w:cstheme="majorBidi"/>
          <w:sz w:val="24"/>
          <w:szCs w:val="24"/>
          <w:lang w:val="en-GB"/>
        </w:rPr>
        <w:fldChar w:fldCharType="begin" w:fldLock="1"/>
      </w:r>
      <w:r w:rsidR="00714D22">
        <w:rPr>
          <w:rFonts w:asciiTheme="majorBidi" w:hAnsiTheme="majorBidi" w:cstheme="majorBidi"/>
          <w:sz w:val="24"/>
          <w:szCs w:val="24"/>
          <w:lang w:val="en-GB"/>
        </w:rPr>
        <w:instrText>ADDIN CSL_CITATION {"citationItems":[{"id":"ITEM-1","itemData":{"abstract":"In the first half of the 20th century, colonial rulers, a British firm and Sudanese farmers changed the Gezira Plain in Sudan into a large-scale irrigated cotton scheme. Gezira continues to be in use up to date. Its story shows how the abstract concept 'development' is shaped through the agency of humans and non-humans alike in government offices and muddy fields. Gezira provides a well-suited starting point for moving into the networks of development without any pre-suggested division in terms of levels, contexts or relations. Hierarchies, arenas and institutions do exist. Such power relations are associations between humans and non-humans: relatively stable relations are typically produced when non-human agency is involved, for example through books, roads, and money. The Gezira case shows the potential of actor-network theory in building and understanding of conceptual and empirical links between water, infrastructure and political rule.","author":[{"dropping-particle":"","family":"Ertsen","given":"Maurits","non-dropping-particle":"","parse-names":false,"suffix":""}],"container-title":"Water Alternatives","id":"ITEM-1","issue":"2","issued":{"date-parts":[["2016"]]},"page":"203-221","title":"A Matter of relationships-actor-networks of colonial rule in the Gezira Irrigation System, Sudan","type":"article-journal","volume":"9"},"uris":["http://www.mendeley.com/documents/?uuid=bc51e92e-a9e9-30de-8b67-a52d081f06d3"]}],"mendeley":{"formattedCitation":"(Ertsen 2016)","plainTextFormattedCitation":"(Ertsen 2016)","previouslyFormattedCitation":"(Ertsen, 2016)"},"properties":{"noteIndex":0},"schema":"https://github.com/citation-style-language/schema/raw/master/csl-citation.json"}</w:instrText>
      </w:r>
      <w:r w:rsidRPr="0004257F">
        <w:rPr>
          <w:rFonts w:asciiTheme="majorBidi" w:hAnsiTheme="majorBidi" w:cstheme="majorBidi"/>
          <w:sz w:val="24"/>
          <w:szCs w:val="24"/>
          <w:lang w:val="en-GB"/>
        </w:rPr>
        <w:fldChar w:fldCharType="separate"/>
      </w:r>
      <w:r w:rsidR="00714D22" w:rsidRPr="00714D22">
        <w:rPr>
          <w:rFonts w:asciiTheme="majorBidi" w:hAnsiTheme="majorBidi" w:cstheme="majorBidi"/>
          <w:noProof/>
          <w:sz w:val="24"/>
          <w:szCs w:val="24"/>
          <w:lang w:val="en-GB"/>
        </w:rPr>
        <w:t>(Ertsen 2016)</w:t>
      </w:r>
      <w:r w:rsidRPr="0004257F">
        <w:rPr>
          <w:rFonts w:asciiTheme="majorBidi" w:hAnsiTheme="majorBidi" w:cstheme="majorBidi"/>
          <w:sz w:val="24"/>
          <w:szCs w:val="24"/>
          <w:lang w:val="en-GB"/>
        </w:rPr>
        <w:fldChar w:fldCharType="end"/>
      </w:r>
      <w:r w:rsidRPr="0004257F">
        <w:rPr>
          <w:rFonts w:asciiTheme="majorBidi" w:hAnsiTheme="majorBidi" w:cstheme="majorBidi"/>
          <w:sz w:val="24"/>
          <w:szCs w:val="24"/>
          <w:lang w:val="en-GB"/>
        </w:rPr>
        <w:t xml:space="preserve">, and dramatic and non-sustainable changes of policies </w:t>
      </w:r>
      <w:r w:rsidRPr="0004257F">
        <w:rPr>
          <w:rFonts w:asciiTheme="majorBidi" w:hAnsiTheme="majorBidi" w:cstheme="majorBidi"/>
          <w:sz w:val="24"/>
          <w:szCs w:val="24"/>
          <w:lang w:val="en-GB"/>
        </w:rPr>
        <w:fldChar w:fldCharType="begin" w:fldLock="1"/>
      </w:r>
      <w:r w:rsidR="00714D22">
        <w:rPr>
          <w:rFonts w:asciiTheme="majorBidi" w:hAnsiTheme="majorBidi" w:cstheme="majorBidi"/>
          <w:sz w:val="24"/>
          <w:szCs w:val="24"/>
          <w:lang w:val="en-GB"/>
        </w:rPr>
        <w:instrText>ADDIN CSL_CITATION {"citationItems":[{"id":"ITEM-1","itemData":{"DOI":"10.1016/j.advwatres.2017.07.010","ISSN":"03091708","abstract":"This study proposes a novel monitoring tool based on Satellite Remote Sensing (SRS) data to examine the status of water distribution and Water Use Efficiency (WUE) under changing water policies in large-scale and complex irrigation schemes. The aim is to improve our understanding of the water-food nexus in such schemes. With a special reference to the Gezira Irrigation Scheme (GeIS) in Sudan during the period 2000–2014, the tool devised herein is well suited for cases where validation data are absent. First, it introduces an index, referred to as the Crop Water Consumption Index (CWCI), to assess the efficiency of water policies. The index is defined as the ratio of actual evapotranspiration (ETa) over agricultural areas to total ETafor the whole scheme where ETais estimated using the Simplified Surface Energy Balance model (SSEB). Second, the tool uses integrated Normalized Difference Vegetation Index (iNDVI), as a proxy for crop productivity, and ETato assess the WUE. Third, the tool uses SSEB ETaand NDVI in an attempt to detect wastage of water. Four key results emerged from this research as follows: 1) the WUE has not improved despite the changing agricultural and water policies, 2) the seasonal ETacan be used to detect the drier areas of GeIS, i.e. areas with poor irrigation water supply, 3) the decreasing trends of CWCI, slope of iNDVI-ETalinear regression and iNDVI are indicative of inefficient utilization of irrigation water in the scheme, and 4) it is possible to use SSEB ETaand NDVI to identify channels with spillover problems and detect wastage of rainwater that is not used as a source for irrigation. In conclusion, the innovative tool developed herein has provided important information on the efficiency of a large-scale irrigation scheme to help rationalize laborious water management processes and increase productivity.","author":[{"dropping-particle":"","family":"Zayed","given":"Islam Sabry","non-dropping-particle":"Al","parse-names":false,"suffix":""},{"dropping-particle":"","family":"Elagib","given":"Nadir Ahmed","non-dropping-particle":"","parse-names":false,"suffix":""}],"container-title":"Advances in Water Resources","id":"ITEM-1","issued":{"date-parts":[["2017"]]},"page":"408-422","publisher":"Elsevier Ltd","title":"Implications of non-sustainable agricultural water policies for the water-food nexus in large-scale irrigation systems: A remote sensing approach","type":"article-journal","volume":"110"},"uris":["http://www.mendeley.com/documents/?uuid=fb305ff3-cd5d-44af-ad56-db180ca1f00c"]},{"id":"ITEM-2","itemData":{"DOI":"10.3390/w10111579","ISSN":"2073-4441","abstract":"This study aims to offer a comprehensive assessment of the impacts of policies and institutional arrangements on irrigation management performance. The case study, the Gezira Scheme, has witnessed a significant decrease in water management performance during recent decades. This situation led to several institutional changes in order to put the system on the right path. The main organizations involved in water management at the scheme are the Ministry of Irrigation &amp; Water Resources (MOIWR), the Sudan Gezira Board (SGB), and the Water Users Associations (WUAs). Different combinations from these organizations were founded to manage the irrigation system. The evaluation of these organizations is based on the data of water supply and cultivated areas from 1970 to 2015. The measured data were compared with two methods: the empirical water order method (Indent) that considers the design criteria of the scheme, and the Crop Water Requirement (CWR) method. Results show that the MOIWR period was the most efficient era, with an average water surplus of 12% compared with the Indent value, while the most critical period (SGB &amp; WUAs) occurred when the water supply increased by 80%. The other periods of the Irrigation Water Corporation (IWC), (SGB &amp; MOIWR), and (WUAs &amp; MOIWR) had witnessed an increase in water supply by 29%, 63%, and 67% respectively. Through these institutional changes, the percentage of excessive water supply jumped from 12% to 80%. Finally, the study provides general recommendations associated with institutional arrangements and policy adoption to improve irrigation system performance.","author":[{"dropping-particle":"","family":"Elshaikh","given":"Ahmed","non-dropping-particle":"","parse-names":false,"suffix":""},{"dropping-particle":"","family":"Yang","given":"Shi-hong","non-dropping-particle":"","parse-names":false,"suffix":""},{"dropping-particle":"","family":"Jiao","given":"Xiyun","non-dropping-particle":"","parse-names":false,"suffix":""},{"dropping-particle":"","family":"Elbashier","given":"Mohammed","non-dropping-particle":"","parse-names":false,"suffix":""},{"dropping-particle":"","family":"Elshaikh","given":"Ahmed E.","non-dropping-particle":"","parse-names":false,"suffix":""},{"dropping-particle":"","family":"Yang","given":"Shi-hong","non-dropping-particle":"","parse-names":false,"suffix":""},{"dropping-particle":"","family":"Jiao","given":"Xiyun","non-dropping-particle":"","parse-names":false,"suffix":""},{"dropping-particle":"","family":"Elbashier","given":"Mohammed M.","non-dropping-particle":"","parse-names":false,"suffix":""}],"container-title":"Water","id":"ITEM-2","issue":"11","issued":{"date-parts":[["2018","11","5"]]},"page":"1579","publisher":"Multidisciplinary Digital Publishing Institute","title":"Impacts of legal and institutional changes on irrigation management performance: A case of the Gezira Irrigation Scheme, Sudan","type":"article-journal","volume":"10"},"uris":["http://www.mendeley.com/documents/?uuid=7043f0c5-81b2-3427-b969-24b2958e1917"]}],"mendeley":{"formattedCitation":"(Al Zayed and Elagib 2017, Elshaikh &lt;i&gt;et al.&lt;/i&gt; 2018)","manualFormatting":"(Al Zayed and Elagib 2017, Elshaikh et al. 2018)","plainTextFormattedCitation":"(Al Zayed and Elagib 2017, Elshaikh et al. 2018)","previouslyFormattedCitation":"(Al Zayed &amp; Elagib, 2017; Elshaikh et al., 2018)"},"properties":{"noteIndex":0},"schema":"https://github.com/citation-style-language/schema/raw/master/csl-citation.json"}</w:instrText>
      </w:r>
      <w:r w:rsidRPr="0004257F">
        <w:rPr>
          <w:rFonts w:asciiTheme="majorBidi" w:hAnsiTheme="majorBidi" w:cstheme="majorBidi"/>
          <w:sz w:val="24"/>
          <w:szCs w:val="24"/>
          <w:lang w:val="en-GB"/>
        </w:rPr>
        <w:fldChar w:fldCharType="separate"/>
      </w:r>
      <w:r w:rsidRPr="0004257F">
        <w:rPr>
          <w:rFonts w:asciiTheme="majorBidi" w:hAnsiTheme="majorBidi" w:cstheme="majorBidi"/>
          <w:noProof/>
          <w:sz w:val="24"/>
          <w:szCs w:val="24"/>
          <w:lang w:val="en-GB"/>
        </w:rPr>
        <w:t>(Al Zayed and Elagib 2017, Elshaikh</w:t>
      </w:r>
      <w:r w:rsidRPr="0004257F">
        <w:rPr>
          <w:rFonts w:asciiTheme="majorBidi" w:hAnsiTheme="majorBidi" w:cstheme="majorBidi"/>
          <w:i/>
          <w:iCs/>
          <w:noProof/>
          <w:sz w:val="24"/>
          <w:szCs w:val="24"/>
          <w:lang w:val="en-GB"/>
        </w:rPr>
        <w:t xml:space="preserve"> et al.</w:t>
      </w:r>
      <w:r w:rsidRPr="0004257F">
        <w:rPr>
          <w:rFonts w:asciiTheme="majorBidi" w:hAnsiTheme="majorBidi" w:cstheme="majorBidi"/>
          <w:noProof/>
          <w:sz w:val="24"/>
          <w:szCs w:val="24"/>
          <w:lang w:val="en-GB"/>
        </w:rPr>
        <w:t xml:space="preserve"> 2018)</w:t>
      </w:r>
      <w:r w:rsidRPr="0004257F">
        <w:rPr>
          <w:rFonts w:asciiTheme="majorBidi" w:hAnsiTheme="majorBidi" w:cstheme="majorBidi"/>
          <w:sz w:val="24"/>
          <w:szCs w:val="24"/>
          <w:lang w:val="en-GB"/>
        </w:rPr>
        <w:fldChar w:fldCharType="end"/>
      </w:r>
      <w:r w:rsidRPr="0004257F">
        <w:rPr>
          <w:rFonts w:asciiTheme="majorBidi" w:hAnsiTheme="majorBidi" w:cstheme="majorBidi"/>
          <w:sz w:val="24"/>
          <w:szCs w:val="24"/>
          <w:lang w:val="en-GB"/>
        </w:rPr>
        <w:t xml:space="preserve">. </w:t>
      </w:r>
      <w:bookmarkEnd w:id="1"/>
      <w:r w:rsidR="00EC7221" w:rsidRPr="0004257F">
        <w:rPr>
          <w:rFonts w:asciiTheme="majorBidi" w:hAnsiTheme="majorBidi" w:cstheme="majorBidi"/>
          <w:sz w:val="24"/>
          <w:szCs w:val="24"/>
          <w:lang w:val="en-GB" w:eastAsia="de-DE"/>
        </w:rPr>
        <w:t xml:space="preserve">It is clear from the cultivated area of crops at the scheme-wide level for the years </w:t>
      </w:r>
      <w:r w:rsidR="00F87C41">
        <w:rPr>
          <w:rFonts w:asciiTheme="majorBidi" w:hAnsiTheme="majorBidi" w:cstheme="majorBidi"/>
          <w:sz w:val="24"/>
          <w:szCs w:val="24"/>
          <w:lang w:val="en-GB" w:eastAsia="de-DE"/>
        </w:rPr>
        <w:t>2001–</w:t>
      </w:r>
      <w:r w:rsidR="00EC7221" w:rsidRPr="0004257F">
        <w:rPr>
          <w:rFonts w:asciiTheme="majorBidi" w:hAnsiTheme="majorBidi" w:cstheme="majorBidi"/>
          <w:sz w:val="24"/>
          <w:szCs w:val="24"/>
          <w:lang w:val="en-GB" w:eastAsia="de-DE"/>
        </w:rPr>
        <w:t>2016 that, sorghum was the dominant crop (Fig. S</w:t>
      </w:r>
      <w:r w:rsidR="004D5738">
        <w:rPr>
          <w:rFonts w:asciiTheme="majorBidi" w:hAnsiTheme="majorBidi" w:cstheme="majorBidi"/>
          <w:sz w:val="24"/>
          <w:szCs w:val="24"/>
          <w:lang w:val="en-GB" w:eastAsia="de-DE"/>
        </w:rPr>
        <w:t>1</w:t>
      </w:r>
      <w:r w:rsidR="00EC7221" w:rsidRPr="0004257F">
        <w:rPr>
          <w:rFonts w:asciiTheme="majorBidi" w:hAnsiTheme="majorBidi" w:cstheme="majorBidi"/>
          <w:sz w:val="24"/>
          <w:szCs w:val="24"/>
          <w:lang w:val="en-GB" w:eastAsia="de-DE"/>
        </w:rPr>
        <w:t xml:space="preserve">). </w:t>
      </w:r>
      <w:r w:rsidR="006D3134">
        <w:rPr>
          <w:rFonts w:asciiTheme="majorBidi" w:hAnsiTheme="majorBidi" w:cstheme="majorBidi"/>
          <w:sz w:val="24"/>
          <w:szCs w:val="24"/>
          <w:lang w:val="en-GB" w:eastAsia="de-DE"/>
        </w:rPr>
        <w:t>Th</w:t>
      </w:r>
      <w:r w:rsidR="00F87C41">
        <w:rPr>
          <w:rFonts w:asciiTheme="majorBidi" w:hAnsiTheme="majorBidi" w:cstheme="majorBidi"/>
          <w:sz w:val="24"/>
          <w:szCs w:val="24"/>
          <w:lang w:val="en-GB" w:eastAsia="de-DE"/>
        </w:rPr>
        <w:t>e</w:t>
      </w:r>
      <w:r w:rsidR="006D3134">
        <w:rPr>
          <w:rFonts w:asciiTheme="majorBidi" w:hAnsiTheme="majorBidi" w:cstheme="majorBidi"/>
          <w:sz w:val="24"/>
          <w:szCs w:val="24"/>
          <w:lang w:val="en-GB" w:eastAsia="de-DE"/>
        </w:rPr>
        <w:t xml:space="preserve"> water is diverted to the different </w:t>
      </w:r>
      <w:r w:rsidR="00F87C41">
        <w:rPr>
          <w:rFonts w:asciiTheme="majorBidi" w:hAnsiTheme="majorBidi" w:cstheme="majorBidi"/>
          <w:sz w:val="24"/>
          <w:szCs w:val="24"/>
          <w:lang w:val="en-GB" w:eastAsia="de-DE"/>
        </w:rPr>
        <w:t xml:space="preserve">administrative groups </w:t>
      </w:r>
      <w:r w:rsidR="006D3134">
        <w:rPr>
          <w:rFonts w:asciiTheme="majorBidi" w:hAnsiTheme="majorBidi" w:cstheme="majorBidi"/>
          <w:sz w:val="24"/>
          <w:szCs w:val="24"/>
          <w:lang w:val="en-GB" w:eastAsia="de-DE"/>
        </w:rPr>
        <w:t>using a large irrigation canals, which currently</w:t>
      </w:r>
      <w:r w:rsidR="004D5738">
        <w:rPr>
          <w:rFonts w:asciiTheme="majorBidi" w:hAnsiTheme="majorBidi" w:cstheme="majorBidi"/>
          <w:sz w:val="24"/>
          <w:szCs w:val="24"/>
          <w:lang w:val="en-GB" w:eastAsia="de-DE"/>
        </w:rPr>
        <w:t xml:space="preserve"> suffer from different problems (Fig. S2).</w:t>
      </w:r>
      <w:r w:rsidR="003B3F9B">
        <w:rPr>
          <w:rFonts w:asciiTheme="majorBidi" w:hAnsiTheme="majorBidi" w:cstheme="majorBidi"/>
          <w:sz w:val="24"/>
          <w:szCs w:val="24"/>
          <w:lang w:val="en-GB" w:eastAsia="de-DE"/>
        </w:rPr>
        <w:t xml:space="preserve"> </w:t>
      </w:r>
      <w:r w:rsidR="001A1E04">
        <w:rPr>
          <w:rFonts w:asciiTheme="majorBidi" w:hAnsiTheme="majorBidi" w:cstheme="majorBidi"/>
          <w:sz w:val="24"/>
          <w:szCs w:val="24"/>
          <w:lang w:val="en-GB" w:eastAsia="de-DE"/>
        </w:rPr>
        <w:t xml:space="preserve">While sorghum is the main cultivated crop in the summer season in addition to lesser areas of cotton and groundnuts, wheat and </w:t>
      </w:r>
      <w:r w:rsidR="0071384C">
        <w:rPr>
          <w:rFonts w:asciiTheme="majorBidi" w:hAnsiTheme="majorBidi" w:cstheme="majorBidi"/>
          <w:sz w:val="24"/>
          <w:szCs w:val="24"/>
          <w:lang w:val="en-GB" w:eastAsia="de-DE"/>
        </w:rPr>
        <w:t>chickpea</w:t>
      </w:r>
      <w:r w:rsidR="001A1E04">
        <w:rPr>
          <w:rFonts w:asciiTheme="majorBidi" w:hAnsiTheme="majorBidi" w:cstheme="majorBidi"/>
          <w:sz w:val="24"/>
          <w:szCs w:val="24"/>
          <w:lang w:val="en-GB" w:eastAsia="de-DE"/>
        </w:rPr>
        <w:t xml:space="preserve"> are cultivated in the win</w:t>
      </w:r>
      <w:r w:rsidR="00F87C41">
        <w:rPr>
          <w:rFonts w:asciiTheme="majorBidi" w:hAnsiTheme="majorBidi" w:cstheme="majorBidi"/>
          <w:sz w:val="24"/>
          <w:szCs w:val="24"/>
          <w:lang w:val="en-GB" w:eastAsia="de-DE"/>
        </w:rPr>
        <w:t>t</w:t>
      </w:r>
      <w:r w:rsidR="001A1E04">
        <w:rPr>
          <w:rFonts w:asciiTheme="majorBidi" w:hAnsiTheme="majorBidi" w:cstheme="majorBidi"/>
          <w:sz w:val="24"/>
          <w:szCs w:val="24"/>
          <w:lang w:val="en-GB" w:eastAsia="de-DE"/>
        </w:rPr>
        <w:t xml:space="preserve">er season (Fig. S3). </w:t>
      </w:r>
    </w:p>
    <w:p w14:paraId="2898E158" w14:textId="77777777" w:rsidR="00317239" w:rsidRDefault="00317239" w:rsidP="00F87C41">
      <w:pPr>
        <w:spacing w:after="0" w:line="240" w:lineRule="auto"/>
        <w:rPr>
          <w:rFonts w:asciiTheme="majorBidi" w:hAnsiTheme="majorBidi" w:cstheme="majorBidi"/>
          <w:sz w:val="24"/>
          <w:szCs w:val="24"/>
          <w:lang w:val="en-GB"/>
        </w:rPr>
      </w:pPr>
      <w:r>
        <w:rPr>
          <w:rFonts w:asciiTheme="majorBidi" w:hAnsiTheme="majorBidi" w:cstheme="majorBidi"/>
          <w:noProof/>
          <w:sz w:val="24"/>
          <w:szCs w:val="24"/>
        </w:rPr>
        <w:drawing>
          <wp:inline distT="0" distB="0" distL="0" distR="0" wp14:anchorId="6E08A5C6" wp14:editId="5CCC932A">
            <wp:extent cx="5972810" cy="374269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2810" cy="3742690"/>
                    </a:xfrm>
                    <a:prstGeom prst="rect">
                      <a:avLst/>
                    </a:prstGeom>
                  </pic:spPr>
                </pic:pic>
              </a:graphicData>
            </a:graphic>
          </wp:inline>
        </w:drawing>
      </w:r>
    </w:p>
    <w:p w14:paraId="0C09C649" w14:textId="75D56575" w:rsidR="00317239" w:rsidRDefault="00317239" w:rsidP="00F87C41">
      <w:pPr>
        <w:spacing w:after="0" w:line="240" w:lineRule="auto"/>
        <w:jc w:val="both"/>
        <w:rPr>
          <w:rFonts w:asciiTheme="majorBidi" w:hAnsiTheme="majorBidi" w:cstheme="majorBidi"/>
          <w:sz w:val="24"/>
          <w:szCs w:val="24"/>
          <w:lang w:val="en-GB" w:eastAsia="de-DE"/>
        </w:rPr>
      </w:pPr>
      <w:r w:rsidRPr="00D97ED2">
        <w:rPr>
          <w:rFonts w:asciiTheme="majorBidi" w:hAnsiTheme="majorBidi" w:cstheme="majorBidi"/>
          <w:b/>
          <w:color w:val="A50021"/>
          <w:sz w:val="24"/>
          <w:szCs w:val="24"/>
          <w:lang w:val="en-GB"/>
        </w:rPr>
        <w:t>Fig</w:t>
      </w:r>
      <w:r>
        <w:rPr>
          <w:rFonts w:asciiTheme="majorBidi" w:hAnsiTheme="majorBidi" w:cstheme="majorBidi"/>
          <w:b/>
          <w:color w:val="A50021"/>
          <w:sz w:val="24"/>
          <w:szCs w:val="24"/>
          <w:lang w:val="en-GB"/>
        </w:rPr>
        <w:t xml:space="preserve">ure </w:t>
      </w:r>
      <w:r w:rsidRPr="00D97ED2">
        <w:rPr>
          <w:rFonts w:asciiTheme="majorBidi" w:hAnsiTheme="majorBidi" w:cstheme="majorBidi"/>
          <w:b/>
          <w:color w:val="A50021"/>
          <w:sz w:val="24"/>
          <w:szCs w:val="24"/>
          <w:lang w:val="en-GB"/>
        </w:rPr>
        <w:t>S</w:t>
      </w:r>
      <w:r>
        <w:rPr>
          <w:rFonts w:asciiTheme="majorBidi" w:hAnsiTheme="majorBidi" w:cstheme="majorBidi"/>
          <w:b/>
          <w:color w:val="A50021"/>
          <w:sz w:val="24"/>
          <w:szCs w:val="24"/>
          <w:lang w:val="en-GB"/>
        </w:rPr>
        <w:t>1</w:t>
      </w:r>
      <w:r w:rsidRPr="00D97ED2">
        <w:rPr>
          <w:rFonts w:asciiTheme="majorBidi" w:hAnsiTheme="majorBidi" w:cstheme="majorBidi"/>
          <w:b/>
          <w:color w:val="A50021"/>
          <w:sz w:val="24"/>
          <w:szCs w:val="24"/>
          <w:lang w:val="en-GB"/>
        </w:rPr>
        <w:t>.</w:t>
      </w:r>
      <w:r w:rsidRPr="00D97ED2">
        <w:rPr>
          <w:rFonts w:asciiTheme="majorBidi" w:hAnsiTheme="majorBidi" w:cstheme="majorBidi"/>
          <w:color w:val="A50021"/>
          <w:sz w:val="24"/>
          <w:szCs w:val="24"/>
          <w:lang w:val="en-GB" w:eastAsia="de-DE"/>
        </w:rPr>
        <w:t xml:space="preserve"> </w:t>
      </w:r>
      <w:r>
        <w:rPr>
          <w:rFonts w:asciiTheme="majorBidi" w:hAnsiTheme="majorBidi" w:cstheme="majorBidi"/>
          <w:sz w:val="24"/>
          <w:szCs w:val="24"/>
          <w:lang w:val="en-GB" w:eastAsia="de-DE"/>
        </w:rPr>
        <w:t>Cultivated area of the main summer crops in the Gezira Scheme for the seasons 2000/01–2016/17.</w:t>
      </w:r>
    </w:p>
    <w:p w14:paraId="3E68D2F0" w14:textId="56711674" w:rsidR="00B26A94" w:rsidRPr="00B26A94" w:rsidRDefault="00B26A94" w:rsidP="00F87C41">
      <w:pPr>
        <w:spacing w:after="0" w:line="240" w:lineRule="auto"/>
        <w:rPr>
          <w:rFonts w:asciiTheme="majorBidi" w:hAnsiTheme="majorBidi" w:cstheme="majorBidi"/>
          <w:bCs/>
          <w:color w:val="000000" w:themeColor="text1"/>
          <w:sz w:val="24"/>
          <w:szCs w:val="24"/>
          <w:lang w:val="en-GB"/>
        </w:rPr>
      </w:pPr>
    </w:p>
    <w:p w14:paraId="133B9ACF" w14:textId="77777777" w:rsidR="00322F86" w:rsidRDefault="00322F86" w:rsidP="00F87C41">
      <w:pPr>
        <w:spacing w:after="0" w:line="240" w:lineRule="auto"/>
        <w:jc w:val="both"/>
        <w:rPr>
          <w:rFonts w:asciiTheme="majorBidi" w:hAnsiTheme="majorBidi" w:cstheme="majorBidi"/>
          <w:sz w:val="24"/>
          <w:szCs w:val="24"/>
          <w:lang w:val="en-GB"/>
        </w:rPr>
      </w:pPr>
      <w:r>
        <w:rPr>
          <w:rFonts w:asciiTheme="majorBidi" w:hAnsiTheme="majorBidi" w:cstheme="majorBidi"/>
          <w:noProof/>
          <w:sz w:val="24"/>
          <w:szCs w:val="24"/>
        </w:rPr>
        <w:drawing>
          <wp:inline distT="0" distB="0" distL="0" distR="0" wp14:anchorId="7BCA52FE" wp14:editId="1BDEE15F">
            <wp:extent cx="4895850" cy="531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ls problem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0293" cy="5353650"/>
                    </a:xfrm>
                    <a:prstGeom prst="rect">
                      <a:avLst/>
                    </a:prstGeom>
                  </pic:spPr>
                </pic:pic>
              </a:graphicData>
            </a:graphic>
          </wp:inline>
        </w:drawing>
      </w:r>
    </w:p>
    <w:p w14:paraId="70AEC50C" w14:textId="4371167A" w:rsidR="00322F86" w:rsidRDefault="00322F86" w:rsidP="00F87C41">
      <w:pPr>
        <w:spacing w:after="0" w:line="240" w:lineRule="auto"/>
        <w:jc w:val="both"/>
        <w:rPr>
          <w:rFonts w:asciiTheme="majorBidi" w:hAnsiTheme="majorBidi" w:cstheme="majorBidi"/>
          <w:sz w:val="24"/>
          <w:szCs w:val="24"/>
          <w:lang w:val="en-GB"/>
        </w:rPr>
      </w:pPr>
      <w:r w:rsidRPr="00D97ED2">
        <w:rPr>
          <w:rFonts w:asciiTheme="majorBidi" w:hAnsiTheme="majorBidi" w:cstheme="majorBidi"/>
          <w:b/>
          <w:bCs/>
          <w:color w:val="A50021"/>
          <w:sz w:val="24"/>
          <w:szCs w:val="24"/>
          <w:lang w:val="en-GB"/>
        </w:rPr>
        <w:t>Fig</w:t>
      </w:r>
      <w:r>
        <w:rPr>
          <w:rFonts w:asciiTheme="majorBidi" w:hAnsiTheme="majorBidi" w:cstheme="majorBidi"/>
          <w:b/>
          <w:bCs/>
          <w:color w:val="A50021"/>
          <w:sz w:val="24"/>
          <w:szCs w:val="24"/>
          <w:lang w:val="en-GB"/>
        </w:rPr>
        <w:t>ure</w:t>
      </w:r>
      <w:r w:rsidRPr="00D97ED2">
        <w:rPr>
          <w:rFonts w:asciiTheme="majorBidi" w:hAnsiTheme="majorBidi" w:cstheme="majorBidi"/>
          <w:b/>
          <w:bCs/>
          <w:color w:val="A50021"/>
          <w:sz w:val="24"/>
          <w:szCs w:val="24"/>
          <w:lang w:val="en-GB"/>
        </w:rPr>
        <w:t xml:space="preserve"> S</w:t>
      </w:r>
      <w:r>
        <w:rPr>
          <w:rFonts w:asciiTheme="majorBidi" w:hAnsiTheme="majorBidi" w:cstheme="majorBidi"/>
          <w:b/>
          <w:bCs/>
          <w:color w:val="A50021"/>
          <w:sz w:val="24"/>
          <w:szCs w:val="24"/>
          <w:lang w:val="en-GB"/>
        </w:rPr>
        <w:t>2</w:t>
      </w:r>
      <w:r w:rsidRPr="00D97ED2">
        <w:rPr>
          <w:rFonts w:asciiTheme="majorBidi" w:hAnsiTheme="majorBidi" w:cstheme="majorBidi"/>
          <w:b/>
          <w:bCs/>
          <w:color w:val="A50021"/>
          <w:sz w:val="24"/>
          <w:szCs w:val="24"/>
          <w:lang w:val="en-GB"/>
        </w:rPr>
        <w:t>.</w:t>
      </w:r>
      <w:r w:rsidRPr="00D97ED2">
        <w:rPr>
          <w:rFonts w:asciiTheme="majorBidi" w:hAnsiTheme="majorBidi" w:cstheme="majorBidi"/>
          <w:color w:val="A50021"/>
          <w:sz w:val="24"/>
          <w:szCs w:val="24"/>
          <w:lang w:val="en-GB"/>
        </w:rPr>
        <w:t xml:space="preserve"> </w:t>
      </w:r>
      <w:r>
        <w:rPr>
          <w:rFonts w:asciiTheme="majorBidi" w:hAnsiTheme="majorBidi" w:cstheme="majorBidi"/>
          <w:sz w:val="24"/>
          <w:szCs w:val="24"/>
          <w:lang w:val="en-GB"/>
        </w:rPr>
        <w:t>Problems in the irrigation canals in the Gezira Scheme: (a) weeds, (b) siltation, (c) improper maintenance resulted in different levels in the canals and (d) broken water gates.</w:t>
      </w:r>
    </w:p>
    <w:p w14:paraId="4B77551A" w14:textId="77777777" w:rsidR="00B26A94" w:rsidRDefault="00B26A94" w:rsidP="00F87C41">
      <w:pPr>
        <w:spacing w:after="0" w:line="240" w:lineRule="auto"/>
        <w:rPr>
          <w:rFonts w:ascii="Times New Roman" w:hAnsi="Times New Roman" w:cs="Times New Roman"/>
          <w:i/>
          <w:sz w:val="20"/>
          <w:szCs w:val="20"/>
          <w:lang w:val="en-GB"/>
        </w:rPr>
      </w:pPr>
    </w:p>
    <w:p w14:paraId="5C0A7233" w14:textId="5BCD0E95" w:rsidR="00C67CD6" w:rsidRPr="00F30258" w:rsidRDefault="00C67CD6" w:rsidP="00F87C41">
      <w:pPr>
        <w:spacing w:after="0" w:line="240" w:lineRule="auto"/>
        <w:jc w:val="both"/>
        <w:rPr>
          <w:rFonts w:asciiTheme="majorBidi" w:hAnsiTheme="majorBidi" w:cstheme="majorBidi"/>
          <w:bCs/>
          <w:color w:val="000000" w:themeColor="text1"/>
          <w:sz w:val="24"/>
          <w:szCs w:val="24"/>
          <w:lang w:val="en-GB"/>
        </w:rPr>
      </w:pPr>
      <w:r w:rsidRPr="00F30258">
        <w:rPr>
          <w:rFonts w:asciiTheme="majorBidi" w:hAnsiTheme="majorBidi" w:cstheme="majorBidi"/>
          <w:bCs/>
          <w:noProof/>
          <w:color w:val="000000" w:themeColor="text1"/>
          <w:sz w:val="24"/>
          <w:szCs w:val="24"/>
        </w:rPr>
        <w:lastRenderedPageBreak/>
        <w:drawing>
          <wp:inline distT="0" distB="0" distL="0" distR="0" wp14:anchorId="4ACB5E31" wp14:editId="76E954F0">
            <wp:extent cx="5762625" cy="3848195"/>
            <wp:effectExtent l="0" t="0" r="0" b="0"/>
            <wp:docPr id="15" name="Picture 15" descr="F:\INTEGRATION PROJECT\Figures\crops in gez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TEGRATION PROJECT\Figures\crops in gezi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9155" cy="3905978"/>
                    </a:xfrm>
                    <a:prstGeom prst="rect">
                      <a:avLst/>
                    </a:prstGeom>
                    <a:noFill/>
                    <a:ln>
                      <a:noFill/>
                    </a:ln>
                  </pic:spPr>
                </pic:pic>
              </a:graphicData>
            </a:graphic>
          </wp:inline>
        </w:drawing>
      </w:r>
    </w:p>
    <w:p w14:paraId="17CBE5AC" w14:textId="16A230B8" w:rsidR="00E71C80" w:rsidRDefault="00C67CD6" w:rsidP="00F87C41">
      <w:pPr>
        <w:spacing w:after="0" w:line="240" w:lineRule="auto"/>
        <w:jc w:val="both"/>
        <w:rPr>
          <w:rFonts w:asciiTheme="majorBidi" w:hAnsiTheme="majorBidi" w:cstheme="majorBidi"/>
          <w:bCs/>
          <w:color w:val="000000" w:themeColor="text1"/>
          <w:sz w:val="24"/>
          <w:szCs w:val="24"/>
          <w:lang w:val="en-GB"/>
        </w:rPr>
      </w:pPr>
      <w:r w:rsidRPr="00D97ED2">
        <w:rPr>
          <w:rFonts w:asciiTheme="majorBidi" w:hAnsiTheme="majorBidi" w:cstheme="majorBidi"/>
          <w:b/>
          <w:color w:val="A50021"/>
          <w:sz w:val="24"/>
          <w:szCs w:val="24"/>
          <w:lang w:val="en-GB"/>
        </w:rPr>
        <w:t>Fig</w:t>
      </w:r>
      <w:r w:rsidR="00D97ED2" w:rsidRPr="00D97ED2">
        <w:rPr>
          <w:rFonts w:asciiTheme="majorBidi" w:hAnsiTheme="majorBidi" w:cstheme="majorBidi"/>
          <w:b/>
          <w:color w:val="A50021"/>
          <w:sz w:val="24"/>
          <w:szCs w:val="24"/>
          <w:lang w:val="en-GB"/>
        </w:rPr>
        <w:t xml:space="preserve">ure </w:t>
      </w:r>
      <w:r w:rsidRPr="00D97ED2">
        <w:rPr>
          <w:rFonts w:asciiTheme="majorBidi" w:hAnsiTheme="majorBidi" w:cstheme="majorBidi"/>
          <w:b/>
          <w:color w:val="A50021"/>
          <w:sz w:val="24"/>
          <w:szCs w:val="24"/>
          <w:lang w:val="en-GB"/>
        </w:rPr>
        <w:t>S</w:t>
      </w:r>
      <w:r w:rsidR="00322F86">
        <w:rPr>
          <w:rFonts w:asciiTheme="majorBidi" w:hAnsiTheme="majorBidi" w:cstheme="majorBidi"/>
          <w:b/>
          <w:color w:val="A50021"/>
          <w:sz w:val="24"/>
          <w:szCs w:val="24"/>
          <w:lang w:val="en-GB"/>
        </w:rPr>
        <w:t>3</w:t>
      </w:r>
      <w:r w:rsidRPr="00D97ED2">
        <w:rPr>
          <w:rFonts w:asciiTheme="majorBidi" w:hAnsiTheme="majorBidi" w:cstheme="majorBidi"/>
          <w:b/>
          <w:color w:val="A50021"/>
          <w:sz w:val="24"/>
          <w:szCs w:val="24"/>
          <w:lang w:val="en-GB"/>
        </w:rPr>
        <w:t>.</w:t>
      </w:r>
      <w:r w:rsidRPr="00D97ED2">
        <w:rPr>
          <w:rFonts w:asciiTheme="majorBidi" w:hAnsiTheme="majorBidi" w:cstheme="majorBidi"/>
          <w:bCs/>
          <w:color w:val="A50021"/>
          <w:sz w:val="24"/>
          <w:szCs w:val="24"/>
          <w:lang w:val="en-GB"/>
        </w:rPr>
        <w:t xml:space="preserve"> </w:t>
      </w:r>
      <w:r w:rsidRPr="00F30258">
        <w:rPr>
          <w:rFonts w:asciiTheme="majorBidi" w:hAnsiTheme="majorBidi" w:cstheme="majorBidi"/>
          <w:bCs/>
          <w:color w:val="000000" w:themeColor="text1"/>
          <w:sz w:val="24"/>
          <w:szCs w:val="24"/>
          <w:lang w:val="en-GB"/>
        </w:rPr>
        <w:t xml:space="preserve">Main crops in </w:t>
      </w:r>
      <w:r w:rsidR="004F723F">
        <w:rPr>
          <w:rFonts w:asciiTheme="majorBidi" w:hAnsiTheme="majorBidi" w:cstheme="majorBidi"/>
          <w:bCs/>
          <w:color w:val="000000" w:themeColor="text1"/>
          <w:sz w:val="24"/>
          <w:szCs w:val="24"/>
          <w:lang w:val="en-GB"/>
        </w:rPr>
        <w:t xml:space="preserve">the </w:t>
      </w:r>
      <w:r>
        <w:rPr>
          <w:rFonts w:asciiTheme="majorBidi" w:hAnsiTheme="majorBidi" w:cstheme="majorBidi"/>
          <w:bCs/>
          <w:color w:val="000000" w:themeColor="text1"/>
          <w:sz w:val="24"/>
          <w:szCs w:val="24"/>
          <w:lang w:val="en-GB"/>
        </w:rPr>
        <w:t>Gezira Scheme</w:t>
      </w:r>
      <w:r w:rsidRPr="00F30258">
        <w:rPr>
          <w:rFonts w:asciiTheme="majorBidi" w:hAnsiTheme="majorBidi" w:cstheme="majorBidi"/>
          <w:bCs/>
          <w:color w:val="000000" w:themeColor="text1"/>
          <w:sz w:val="24"/>
          <w:szCs w:val="24"/>
          <w:lang w:val="en-GB"/>
        </w:rPr>
        <w:t>: (a) cotton, (b) groundnuts (c) sorghum and (d) chickp</w:t>
      </w:r>
      <w:r>
        <w:rPr>
          <w:rFonts w:asciiTheme="majorBidi" w:hAnsiTheme="majorBidi" w:cstheme="majorBidi"/>
          <w:bCs/>
          <w:color w:val="000000" w:themeColor="text1"/>
          <w:sz w:val="24"/>
          <w:szCs w:val="24"/>
          <w:lang w:val="en-GB"/>
        </w:rPr>
        <w:t>ea during the 2017/18 season.</w:t>
      </w:r>
    </w:p>
    <w:p w14:paraId="4C798562" w14:textId="45DAB9FA" w:rsidR="00977085" w:rsidRDefault="00977085" w:rsidP="00F87C41">
      <w:pPr>
        <w:spacing w:after="0" w:line="240" w:lineRule="auto"/>
        <w:rPr>
          <w:rFonts w:asciiTheme="majorBidi" w:hAnsiTheme="majorBidi" w:cstheme="majorBidi"/>
          <w:sz w:val="24"/>
          <w:szCs w:val="24"/>
          <w:lang w:val="en-GB"/>
        </w:rPr>
      </w:pPr>
    </w:p>
    <w:p w14:paraId="66C01B6B" w14:textId="1FD1AD17" w:rsidR="002E6E1C" w:rsidRPr="003D71B4" w:rsidRDefault="00A92C68" w:rsidP="00F87C41">
      <w:pPr>
        <w:keepNext/>
        <w:spacing w:after="0" w:line="240" w:lineRule="auto"/>
        <w:rPr>
          <w:rFonts w:asciiTheme="majorBidi" w:hAnsiTheme="majorBidi" w:cstheme="majorBidi"/>
          <w:b/>
          <w:bCs/>
          <w:sz w:val="24"/>
          <w:szCs w:val="24"/>
          <w:lang w:val="en-GB"/>
        </w:rPr>
      </w:pPr>
      <w:r>
        <w:rPr>
          <w:rFonts w:asciiTheme="majorBidi" w:hAnsiTheme="majorBidi" w:cstheme="majorBidi"/>
          <w:b/>
          <w:bCs/>
          <w:sz w:val="24"/>
          <w:szCs w:val="24"/>
          <w:lang w:val="en-GB"/>
        </w:rPr>
        <w:lastRenderedPageBreak/>
        <w:t>S</w:t>
      </w:r>
      <w:r w:rsidR="002E6E1C" w:rsidRPr="003D71B4">
        <w:rPr>
          <w:rFonts w:asciiTheme="majorBidi" w:hAnsiTheme="majorBidi" w:cstheme="majorBidi"/>
          <w:b/>
          <w:bCs/>
          <w:sz w:val="24"/>
          <w:szCs w:val="24"/>
          <w:lang w:val="en-GB"/>
        </w:rPr>
        <w:t>2 Field survey</w:t>
      </w:r>
    </w:p>
    <w:p w14:paraId="72E8D333" w14:textId="77777777" w:rsidR="002E6E1C" w:rsidRPr="002C3C02" w:rsidRDefault="002E6E1C" w:rsidP="00F87C41">
      <w:pPr>
        <w:spacing w:after="0" w:line="240" w:lineRule="auto"/>
        <w:jc w:val="both"/>
        <w:rPr>
          <w:rFonts w:asciiTheme="majorBidi" w:hAnsiTheme="majorBidi" w:cstheme="majorBidi"/>
          <w:lang w:val="en-GB"/>
        </w:rPr>
      </w:pPr>
      <w:r>
        <w:rPr>
          <w:rFonts w:asciiTheme="majorBidi" w:hAnsiTheme="majorBidi" w:cstheme="majorBidi"/>
          <w:noProof/>
        </w:rPr>
        <w:drawing>
          <wp:inline distT="0" distB="0" distL="0" distR="0" wp14:anchorId="0B7857FA" wp14:editId="22D3CEAA">
            <wp:extent cx="5934075" cy="48281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2.jpg"/>
                    <pic:cNvPicPr/>
                  </pic:nvPicPr>
                  <pic:blipFill rotWithShape="1">
                    <a:blip r:embed="rId10" cstate="print">
                      <a:extLst>
                        <a:ext uri="{28A0092B-C50C-407E-A947-70E740481C1C}">
                          <a14:useLocalDpi xmlns:a14="http://schemas.microsoft.com/office/drawing/2010/main" val="0"/>
                        </a:ext>
                      </a:extLst>
                    </a:blip>
                    <a:srcRect l="6538" r="7665"/>
                    <a:stretch/>
                  </pic:blipFill>
                  <pic:spPr bwMode="auto">
                    <a:xfrm>
                      <a:off x="0" y="0"/>
                      <a:ext cx="5936504" cy="4830122"/>
                    </a:xfrm>
                    <a:prstGeom prst="rect">
                      <a:avLst/>
                    </a:prstGeom>
                    <a:ln>
                      <a:noFill/>
                    </a:ln>
                    <a:extLst>
                      <a:ext uri="{53640926-AAD7-44D8-BBD7-CCE9431645EC}">
                        <a14:shadowObscured xmlns:a14="http://schemas.microsoft.com/office/drawing/2010/main"/>
                      </a:ext>
                    </a:extLst>
                  </pic:spPr>
                </pic:pic>
              </a:graphicData>
            </a:graphic>
          </wp:inline>
        </w:drawing>
      </w:r>
    </w:p>
    <w:p w14:paraId="68FB4AFA" w14:textId="0F7453CA" w:rsidR="002E6E1C" w:rsidRDefault="002E6E1C" w:rsidP="00F87C41">
      <w:pPr>
        <w:spacing w:after="0" w:line="240" w:lineRule="auto"/>
        <w:jc w:val="both"/>
        <w:rPr>
          <w:rFonts w:asciiTheme="majorBidi" w:hAnsiTheme="majorBidi" w:cstheme="majorBidi"/>
          <w:sz w:val="24"/>
          <w:szCs w:val="24"/>
          <w:lang w:val="en-GB"/>
        </w:rPr>
      </w:pPr>
      <w:r w:rsidRPr="00D97ED2">
        <w:rPr>
          <w:rFonts w:asciiTheme="majorBidi" w:hAnsiTheme="majorBidi" w:cstheme="majorBidi"/>
          <w:b/>
          <w:color w:val="A50021"/>
          <w:sz w:val="24"/>
          <w:szCs w:val="24"/>
          <w:lang w:val="en-GB"/>
        </w:rPr>
        <w:t>Fig</w:t>
      </w:r>
      <w:r>
        <w:rPr>
          <w:rFonts w:asciiTheme="majorBidi" w:hAnsiTheme="majorBidi" w:cstheme="majorBidi"/>
          <w:b/>
          <w:color w:val="A50021"/>
          <w:sz w:val="24"/>
          <w:szCs w:val="24"/>
          <w:lang w:val="en-GB"/>
        </w:rPr>
        <w:t>ure</w:t>
      </w:r>
      <w:r w:rsidRPr="00D97ED2">
        <w:rPr>
          <w:rFonts w:asciiTheme="majorBidi" w:hAnsiTheme="majorBidi" w:cstheme="majorBidi"/>
          <w:b/>
          <w:color w:val="A50021"/>
          <w:sz w:val="24"/>
          <w:szCs w:val="24"/>
          <w:lang w:val="en-GB"/>
        </w:rPr>
        <w:t xml:space="preserve"> S</w:t>
      </w:r>
      <w:r w:rsidR="0009079E">
        <w:rPr>
          <w:rFonts w:asciiTheme="majorBidi" w:hAnsiTheme="majorBidi" w:cstheme="majorBidi"/>
          <w:b/>
          <w:color w:val="A50021"/>
          <w:sz w:val="24"/>
          <w:szCs w:val="24"/>
          <w:lang w:val="en-GB"/>
        </w:rPr>
        <w:t>4</w:t>
      </w:r>
      <w:r w:rsidRPr="00D97ED2">
        <w:rPr>
          <w:rFonts w:asciiTheme="majorBidi" w:hAnsiTheme="majorBidi" w:cstheme="majorBidi"/>
          <w:b/>
          <w:color w:val="A50021"/>
          <w:sz w:val="24"/>
          <w:szCs w:val="24"/>
          <w:lang w:val="en-GB"/>
        </w:rPr>
        <w:t>.</w:t>
      </w:r>
      <w:r>
        <w:rPr>
          <w:rFonts w:asciiTheme="majorBidi" w:hAnsiTheme="majorBidi" w:cstheme="majorBidi"/>
          <w:sz w:val="24"/>
          <w:szCs w:val="24"/>
          <w:lang w:val="en-GB"/>
        </w:rPr>
        <w:t xml:space="preserve"> Summary of socio-economic characteristics of the respondent farmers: (a) number of interviewee</w:t>
      </w:r>
      <w:r w:rsidR="001F6C11">
        <w:rPr>
          <w:rFonts w:asciiTheme="majorBidi" w:hAnsiTheme="majorBidi" w:cstheme="majorBidi"/>
          <w:sz w:val="24"/>
          <w:szCs w:val="24"/>
          <w:lang w:val="en-GB"/>
        </w:rPr>
        <w:t>s</w:t>
      </w:r>
      <w:r>
        <w:rPr>
          <w:rFonts w:asciiTheme="majorBidi" w:hAnsiTheme="majorBidi" w:cstheme="majorBidi"/>
          <w:sz w:val="24"/>
          <w:szCs w:val="24"/>
          <w:lang w:val="en-GB"/>
        </w:rPr>
        <w:t xml:space="preserve"> in each block, (b) age, (c) level of education and (c) source of income. Values </w:t>
      </w:r>
      <w:r w:rsidR="001F6C11">
        <w:rPr>
          <w:rFonts w:asciiTheme="majorBidi" w:hAnsiTheme="majorBidi" w:cstheme="majorBidi"/>
          <w:sz w:val="24"/>
          <w:szCs w:val="24"/>
          <w:lang w:val="en-GB"/>
        </w:rPr>
        <w:t xml:space="preserve"> in (</w:t>
      </w:r>
      <w:r>
        <w:rPr>
          <w:rFonts w:asciiTheme="majorBidi" w:hAnsiTheme="majorBidi" w:cstheme="majorBidi"/>
          <w:sz w:val="24"/>
          <w:szCs w:val="24"/>
          <w:lang w:val="en-GB"/>
        </w:rPr>
        <w:t>b</w:t>
      </w:r>
      <w:r w:rsidR="001F6C11">
        <w:rPr>
          <w:rFonts w:asciiTheme="majorBidi" w:hAnsiTheme="majorBidi" w:cstheme="majorBidi"/>
          <w:sz w:val="24"/>
          <w:szCs w:val="24"/>
          <w:lang w:val="en-GB"/>
        </w:rPr>
        <w:t>)</w:t>
      </w:r>
      <w:r>
        <w:rPr>
          <w:rFonts w:asciiTheme="majorBidi" w:hAnsiTheme="majorBidi" w:cstheme="majorBidi"/>
          <w:sz w:val="24"/>
          <w:szCs w:val="24"/>
          <w:lang w:val="en-GB"/>
        </w:rPr>
        <w:t xml:space="preserve">, </w:t>
      </w:r>
      <w:r w:rsidR="001F6C11">
        <w:rPr>
          <w:rFonts w:asciiTheme="majorBidi" w:hAnsiTheme="majorBidi" w:cstheme="majorBidi"/>
          <w:sz w:val="24"/>
          <w:szCs w:val="24"/>
          <w:lang w:val="en-GB"/>
        </w:rPr>
        <w:t>(</w:t>
      </w:r>
      <w:r>
        <w:rPr>
          <w:rFonts w:asciiTheme="majorBidi" w:hAnsiTheme="majorBidi" w:cstheme="majorBidi"/>
          <w:sz w:val="24"/>
          <w:szCs w:val="24"/>
          <w:lang w:val="en-GB"/>
        </w:rPr>
        <w:t>c</w:t>
      </w:r>
      <w:r w:rsidR="001F6C11">
        <w:rPr>
          <w:rFonts w:asciiTheme="majorBidi" w:hAnsiTheme="majorBidi" w:cstheme="majorBidi"/>
          <w:sz w:val="24"/>
          <w:szCs w:val="24"/>
          <w:lang w:val="en-GB"/>
        </w:rPr>
        <w:t>)</w:t>
      </w:r>
      <w:r>
        <w:rPr>
          <w:rFonts w:asciiTheme="majorBidi" w:hAnsiTheme="majorBidi" w:cstheme="majorBidi"/>
          <w:sz w:val="24"/>
          <w:szCs w:val="24"/>
          <w:lang w:val="en-GB"/>
        </w:rPr>
        <w:t xml:space="preserve"> and </w:t>
      </w:r>
      <w:r w:rsidR="001F6C11">
        <w:rPr>
          <w:rFonts w:asciiTheme="majorBidi" w:hAnsiTheme="majorBidi" w:cstheme="majorBidi"/>
          <w:sz w:val="24"/>
          <w:szCs w:val="24"/>
          <w:lang w:val="en-GB"/>
        </w:rPr>
        <w:t>(</w:t>
      </w:r>
      <w:r>
        <w:rPr>
          <w:rFonts w:asciiTheme="majorBidi" w:hAnsiTheme="majorBidi" w:cstheme="majorBidi"/>
          <w:sz w:val="24"/>
          <w:szCs w:val="24"/>
          <w:lang w:val="en-GB"/>
        </w:rPr>
        <w:t>d</w:t>
      </w:r>
      <w:r w:rsidR="001F6C11">
        <w:rPr>
          <w:rFonts w:asciiTheme="majorBidi" w:hAnsiTheme="majorBidi" w:cstheme="majorBidi"/>
          <w:sz w:val="24"/>
          <w:szCs w:val="24"/>
          <w:lang w:val="en-GB"/>
        </w:rPr>
        <w:t>)</w:t>
      </w:r>
      <w:r>
        <w:rPr>
          <w:rFonts w:asciiTheme="majorBidi" w:hAnsiTheme="majorBidi" w:cstheme="majorBidi"/>
          <w:sz w:val="24"/>
          <w:szCs w:val="24"/>
          <w:lang w:val="en-GB"/>
        </w:rPr>
        <w:t xml:space="preserve"> are percentage</w:t>
      </w:r>
      <w:r w:rsidR="001F6C11">
        <w:rPr>
          <w:rFonts w:asciiTheme="majorBidi" w:hAnsiTheme="majorBidi" w:cstheme="majorBidi"/>
          <w:sz w:val="24"/>
          <w:szCs w:val="24"/>
          <w:lang w:val="en-GB"/>
        </w:rPr>
        <w:t>s (%)</w:t>
      </w:r>
      <w:r>
        <w:rPr>
          <w:rFonts w:asciiTheme="majorBidi" w:hAnsiTheme="majorBidi" w:cstheme="majorBidi"/>
          <w:sz w:val="24"/>
          <w:szCs w:val="24"/>
          <w:lang w:val="en-GB"/>
        </w:rPr>
        <w:t>.</w:t>
      </w:r>
    </w:p>
    <w:p w14:paraId="78AFF1ED" w14:textId="44B4CF5D" w:rsidR="00716296" w:rsidRDefault="00716296" w:rsidP="00F87C41">
      <w:pPr>
        <w:spacing w:after="0" w:line="240" w:lineRule="auto"/>
        <w:rPr>
          <w:rFonts w:asciiTheme="majorBidi" w:hAnsiTheme="majorBidi" w:cstheme="majorBidi"/>
          <w:bCs/>
          <w:color w:val="000000" w:themeColor="text1"/>
          <w:sz w:val="24"/>
          <w:szCs w:val="24"/>
          <w:lang w:val="en-GB"/>
        </w:rPr>
      </w:pPr>
    </w:p>
    <w:p w14:paraId="61761320" w14:textId="49EA1C94" w:rsidR="00716296" w:rsidRPr="00537E5C" w:rsidRDefault="00A92C68" w:rsidP="00F87C41">
      <w:pPr>
        <w:spacing w:after="0" w:line="240" w:lineRule="auto"/>
        <w:rPr>
          <w:rFonts w:asciiTheme="majorBidi" w:hAnsiTheme="majorBidi" w:cstheme="majorBidi"/>
          <w:b/>
          <w:bCs/>
          <w:sz w:val="24"/>
          <w:szCs w:val="24"/>
          <w:lang w:val="en-GB"/>
        </w:rPr>
      </w:pPr>
      <w:r>
        <w:rPr>
          <w:rFonts w:asciiTheme="majorBidi" w:hAnsiTheme="majorBidi" w:cstheme="majorBidi"/>
          <w:b/>
          <w:bCs/>
          <w:sz w:val="24"/>
          <w:szCs w:val="24"/>
          <w:lang w:val="en-GB"/>
        </w:rPr>
        <w:t>S</w:t>
      </w:r>
      <w:r w:rsidR="002E6E1C" w:rsidRPr="00537E5C">
        <w:rPr>
          <w:rFonts w:asciiTheme="majorBidi" w:hAnsiTheme="majorBidi" w:cstheme="majorBidi"/>
          <w:b/>
          <w:bCs/>
          <w:sz w:val="24"/>
          <w:szCs w:val="24"/>
          <w:lang w:val="en-GB"/>
        </w:rPr>
        <w:t>3</w:t>
      </w:r>
      <w:r w:rsidR="00716296" w:rsidRPr="00537E5C">
        <w:rPr>
          <w:rFonts w:asciiTheme="majorBidi" w:hAnsiTheme="majorBidi" w:cstheme="majorBidi"/>
          <w:b/>
          <w:bCs/>
          <w:sz w:val="24"/>
          <w:szCs w:val="24"/>
          <w:lang w:val="en-GB"/>
        </w:rPr>
        <w:t xml:space="preserve"> Consistency of iNDVI and iFAPAR datasets</w:t>
      </w:r>
    </w:p>
    <w:p w14:paraId="09C8A8CA" w14:textId="5FE2EC87" w:rsidR="00716296" w:rsidRDefault="00716296" w:rsidP="00F87C41">
      <w:pPr>
        <w:spacing w:after="0" w:line="240" w:lineRule="auto"/>
        <w:jc w:val="both"/>
        <w:rPr>
          <w:rFonts w:asciiTheme="majorBidi" w:hAnsiTheme="majorBidi" w:cstheme="majorBidi"/>
          <w:sz w:val="24"/>
          <w:szCs w:val="24"/>
          <w:lang w:val="en-GB" w:eastAsia="de-DE"/>
        </w:rPr>
      </w:pPr>
      <w:r w:rsidRPr="00EC5E96">
        <w:rPr>
          <w:rFonts w:asciiTheme="majorBidi" w:hAnsiTheme="majorBidi" w:cstheme="majorBidi"/>
          <w:sz w:val="24"/>
          <w:szCs w:val="24"/>
          <w:lang w:val="en-GB"/>
        </w:rPr>
        <w:t>The data on iNDVI and iFAPAR indicators exhibited significant positive correlation between the two indices (p &lt; 0.01) at the pixel level. While the Spearman’s Rho (ρ) value of correlating multi-year average (</w:t>
      </w:r>
      <w:r w:rsidR="00F87C41">
        <w:rPr>
          <w:rFonts w:asciiTheme="majorBidi" w:hAnsiTheme="majorBidi" w:cstheme="majorBidi"/>
          <w:sz w:val="24"/>
          <w:szCs w:val="24"/>
          <w:lang w:val="en-GB"/>
        </w:rPr>
        <w:t>2001–</w:t>
      </w:r>
      <w:r w:rsidRPr="00EC5E96">
        <w:rPr>
          <w:rFonts w:asciiTheme="majorBidi" w:hAnsiTheme="majorBidi" w:cstheme="majorBidi"/>
          <w:sz w:val="24"/>
          <w:szCs w:val="24"/>
          <w:lang w:val="en-GB"/>
        </w:rPr>
        <w:t>2016) of iNDVI and iFAPAR was 0.72, correlating the maximum value composites of iNDVI and iFAPAR revealed expectedly lower ρ of 0.4</w:t>
      </w:r>
      <w:r w:rsidR="003C3522">
        <w:rPr>
          <w:rFonts w:asciiTheme="majorBidi" w:hAnsiTheme="majorBidi" w:cstheme="majorBidi"/>
          <w:sz w:val="24"/>
          <w:szCs w:val="24"/>
          <w:lang w:val="en-GB"/>
        </w:rPr>
        <w:t xml:space="preserve"> (Fig. S</w:t>
      </w:r>
      <w:r w:rsidR="0049294A">
        <w:rPr>
          <w:rFonts w:asciiTheme="majorBidi" w:hAnsiTheme="majorBidi" w:cstheme="majorBidi"/>
          <w:sz w:val="24"/>
          <w:szCs w:val="24"/>
          <w:lang w:val="en-GB"/>
        </w:rPr>
        <w:t>5</w:t>
      </w:r>
      <w:r w:rsidR="003C3522">
        <w:rPr>
          <w:rFonts w:asciiTheme="majorBidi" w:hAnsiTheme="majorBidi" w:cstheme="majorBidi"/>
          <w:sz w:val="24"/>
          <w:szCs w:val="24"/>
          <w:lang w:val="en-GB"/>
        </w:rPr>
        <w:t>)</w:t>
      </w:r>
      <w:r w:rsidRPr="00EC5E96">
        <w:rPr>
          <w:rFonts w:asciiTheme="majorBidi" w:hAnsiTheme="majorBidi" w:cstheme="majorBidi"/>
          <w:sz w:val="24"/>
          <w:szCs w:val="24"/>
          <w:lang w:val="en-GB"/>
        </w:rPr>
        <w:t xml:space="preserve">. </w:t>
      </w:r>
      <w:r w:rsidRPr="00EC5E96">
        <w:rPr>
          <w:rFonts w:asciiTheme="majorBidi" w:hAnsiTheme="majorBidi" w:cstheme="majorBidi"/>
          <w:sz w:val="24"/>
          <w:szCs w:val="24"/>
          <w:lang w:val="en-GB" w:eastAsia="de-DE"/>
        </w:rPr>
        <w:t>Using all pixel values for the years 2001</w:t>
      </w:r>
      <w:r w:rsidR="00F87C41">
        <w:rPr>
          <w:rFonts w:asciiTheme="majorBidi" w:hAnsiTheme="majorBidi" w:cstheme="majorBidi"/>
          <w:sz w:val="24"/>
          <w:szCs w:val="24"/>
          <w:lang w:val="en-GB" w:eastAsia="de-DE"/>
        </w:rPr>
        <w:t>–</w:t>
      </w:r>
      <w:r w:rsidRPr="00EC5E96">
        <w:rPr>
          <w:rFonts w:asciiTheme="majorBidi" w:hAnsiTheme="majorBidi" w:cstheme="majorBidi"/>
          <w:sz w:val="24"/>
          <w:szCs w:val="24"/>
          <w:lang w:val="en-GB" w:eastAsia="de-DE"/>
        </w:rPr>
        <w:t>2016, the relative frequency distribution shows similar patterns but differences in the actual relative frequency values between the two indicators</w:t>
      </w:r>
      <w:r w:rsidR="004244F8">
        <w:rPr>
          <w:rFonts w:asciiTheme="majorBidi" w:hAnsiTheme="majorBidi" w:cstheme="majorBidi"/>
          <w:sz w:val="24"/>
          <w:szCs w:val="24"/>
          <w:lang w:val="en-GB" w:eastAsia="de-DE"/>
        </w:rPr>
        <w:t xml:space="preserve"> (Fig. S</w:t>
      </w:r>
      <w:r w:rsidR="0049294A">
        <w:rPr>
          <w:rFonts w:asciiTheme="majorBidi" w:hAnsiTheme="majorBidi" w:cstheme="majorBidi"/>
          <w:sz w:val="24"/>
          <w:szCs w:val="24"/>
          <w:lang w:val="en-GB" w:eastAsia="de-DE"/>
        </w:rPr>
        <w:t>6</w:t>
      </w:r>
      <w:r w:rsidR="004244F8">
        <w:rPr>
          <w:rFonts w:asciiTheme="majorBidi" w:hAnsiTheme="majorBidi" w:cstheme="majorBidi"/>
          <w:sz w:val="24"/>
          <w:szCs w:val="24"/>
          <w:lang w:val="en-GB" w:eastAsia="de-DE"/>
        </w:rPr>
        <w:t>)</w:t>
      </w:r>
      <w:r w:rsidRPr="00EC5E96">
        <w:rPr>
          <w:rFonts w:asciiTheme="majorBidi" w:hAnsiTheme="majorBidi" w:cstheme="majorBidi"/>
          <w:sz w:val="24"/>
          <w:szCs w:val="24"/>
          <w:lang w:val="en-GB" w:eastAsia="de-DE"/>
        </w:rPr>
        <w:t xml:space="preserve">. CV values of the time series of the two indicators was found to be 32% and 30% for iNDVI and iFAPAR, respectively. However, the difference between the two population variances using </w:t>
      </w:r>
      <w:r w:rsidRPr="00EC5E96">
        <w:rPr>
          <w:rFonts w:asciiTheme="majorBidi" w:hAnsiTheme="majorBidi" w:cstheme="majorBidi"/>
          <w:i/>
          <w:iCs/>
          <w:sz w:val="24"/>
          <w:szCs w:val="24"/>
          <w:lang w:val="en-GB" w:eastAsia="de-DE"/>
        </w:rPr>
        <w:t>T</w:t>
      </w:r>
      <w:r w:rsidRPr="00EC5E96">
        <w:rPr>
          <w:rFonts w:asciiTheme="majorBidi" w:hAnsiTheme="majorBidi" w:cstheme="majorBidi"/>
          <w:sz w:val="24"/>
          <w:szCs w:val="24"/>
          <w:lang w:val="en-GB" w:eastAsia="de-DE"/>
        </w:rPr>
        <w:t>-test was found to be significant. On the other hand, CVs for all pixel values of maximum iNDVI and maximum iFAPAR were around 14% and 18% for the two datasets, respectively</w:t>
      </w:r>
      <w:r w:rsidR="0047012F">
        <w:rPr>
          <w:rFonts w:asciiTheme="majorBidi" w:hAnsiTheme="majorBidi" w:cstheme="majorBidi"/>
          <w:sz w:val="24"/>
          <w:szCs w:val="24"/>
          <w:lang w:val="en-GB" w:eastAsia="de-DE"/>
        </w:rPr>
        <w:t xml:space="preserve"> (Fig. S</w:t>
      </w:r>
      <w:r w:rsidR="0049294A">
        <w:rPr>
          <w:rFonts w:asciiTheme="majorBidi" w:hAnsiTheme="majorBidi" w:cstheme="majorBidi"/>
          <w:sz w:val="24"/>
          <w:szCs w:val="24"/>
          <w:lang w:val="en-GB" w:eastAsia="de-DE"/>
        </w:rPr>
        <w:t>7</w:t>
      </w:r>
      <w:r w:rsidR="0047012F">
        <w:rPr>
          <w:rFonts w:asciiTheme="majorBidi" w:hAnsiTheme="majorBidi" w:cstheme="majorBidi"/>
          <w:sz w:val="24"/>
          <w:szCs w:val="24"/>
          <w:lang w:val="en-GB" w:eastAsia="de-DE"/>
        </w:rPr>
        <w:t>)</w:t>
      </w:r>
      <w:r w:rsidRPr="00EC5E96">
        <w:rPr>
          <w:rFonts w:asciiTheme="majorBidi" w:hAnsiTheme="majorBidi" w:cstheme="majorBidi"/>
          <w:sz w:val="24"/>
          <w:szCs w:val="24"/>
          <w:lang w:val="en-GB" w:eastAsia="de-DE"/>
        </w:rPr>
        <w:t xml:space="preserve">. The result of </w:t>
      </w:r>
      <w:r w:rsidRPr="00EC5E96">
        <w:rPr>
          <w:rFonts w:asciiTheme="majorBidi" w:hAnsiTheme="majorBidi" w:cstheme="majorBidi"/>
          <w:i/>
          <w:iCs/>
          <w:sz w:val="24"/>
          <w:szCs w:val="24"/>
          <w:lang w:val="en-GB" w:eastAsia="de-DE"/>
        </w:rPr>
        <w:t>F</w:t>
      </w:r>
      <w:r w:rsidRPr="00EC5E96">
        <w:rPr>
          <w:rFonts w:asciiTheme="majorBidi" w:hAnsiTheme="majorBidi" w:cstheme="majorBidi"/>
          <w:sz w:val="24"/>
          <w:szCs w:val="24"/>
          <w:lang w:val="en-GB" w:eastAsia="de-DE"/>
        </w:rPr>
        <w:t xml:space="preserve">-test showed a significant difference between the two population variances. </w:t>
      </w:r>
      <w:r w:rsidR="000B1337">
        <w:rPr>
          <w:rFonts w:asciiTheme="majorBidi" w:hAnsiTheme="majorBidi" w:cstheme="majorBidi"/>
          <w:sz w:val="24"/>
          <w:szCs w:val="24"/>
          <w:lang w:val="en-GB" w:eastAsia="de-DE"/>
        </w:rPr>
        <w:t xml:space="preserve">The maximum </w:t>
      </w:r>
      <w:r w:rsidR="005C63A8">
        <w:rPr>
          <w:rFonts w:asciiTheme="majorBidi" w:hAnsiTheme="majorBidi" w:cstheme="majorBidi"/>
          <w:sz w:val="24"/>
          <w:szCs w:val="24"/>
          <w:lang w:val="en-GB" w:eastAsia="de-DE"/>
        </w:rPr>
        <w:t>iNDVI and iFAPAR share some similarities in their spatial distribution (Fig. S</w:t>
      </w:r>
      <w:r w:rsidR="0049294A">
        <w:rPr>
          <w:rFonts w:asciiTheme="majorBidi" w:hAnsiTheme="majorBidi" w:cstheme="majorBidi"/>
          <w:sz w:val="24"/>
          <w:szCs w:val="24"/>
          <w:lang w:val="en-GB" w:eastAsia="de-DE"/>
        </w:rPr>
        <w:t>8</w:t>
      </w:r>
      <w:r w:rsidR="005C63A8">
        <w:rPr>
          <w:rFonts w:asciiTheme="majorBidi" w:hAnsiTheme="majorBidi" w:cstheme="majorBidi"/>
          <w:sz w:val="24"/>
          <w:szCs w:val="24"/>
          <w:lang w:val="en-GB" w:eastAsia="de-DE"/>
        </w:rPr>
        <w:t xml:space="preserve">). The differences in the spatial distribution could be attributed mainly </w:t>
      </w:r>
      <w:r w:rsidR="006C43FB">
        <w:rPr>
          <w:rFonts w:asciiTheme="majorBidi" w:hAnsiTheme="majorBidi" w:cstheme="majorBidi"/>
          <w:sz w:val="24"/>
          <w:szCs w:val="24"/>
          <w:lang w:val="en-GB" w:eastAsia="de-DE"/>
        </w:rPr>
        <w:t xml:space="preserve">to the difference in their spatial </w:t>
      </w:r>
      <w:r w:rsidR="006C43FB">
        <w:rPr>
          <w:rFonts w:asciiTheme="majorBidi" w:hAnsiTheme="majorBidi" w:cstheme="majorBidi"/>
          <w:sz w:val="24"/>
          <w:szCs w:val="24"/>
          <w:lang w:val="en-GB" w:eastAsia="de-DE"/>
        </w:rPr>
        <w:lastRenderedPageBreak/>
        <w:t xml:space="preserve">resolution. </w:t>
      </w:r>
      <w:r w:rsidRPr="00EC5E96">
        <w:rPr>
          <w:rFonts w:asciiTheme="majorBidi" w:hAnsiTheme="majorBidi" w:cstheme="majorBidi"/>
          <w:sz w:val="24"/>
          <w:szCs w:val="24"/>
          <w:lang w:val="en-GB" w:eastAsia="de-DE"/>
        </w:rPr>
        <w:t xml:space="preserve">These results indicate that the two indicators are independent. Therefore, one should take the magnitude of productivity gap derived by using them with caution.  </w:t>
      </w:r>
    </w:p>
    <w:p w14:paraId="2159894B" w14:textId="77777777" w:rsidR="006C43FB" w:rsidRPr="00EC5E96" w:rsidRDefault="006C43FB" w:rsidP="00F87C41">
      <w:pPr>
        <w:spacing w:after="0" w:line="240" w:lineRule="auto"/>
        <w:jc w:val="both"/>
        <w:rPr>
          <w:rFonts w:asciiTheme="majorBidi" w:hAnsiTheme="majorBidi" w:cstheme="majorBidi"/>
          <w:sz w:val="24"/>
          <w:szCs w:val="24"/>
          <w:lang w:val="en-GB" w:eastAsia="de-DE"/>
        </w:rPr>
      </w:pPr>
    </w:p>
    <w:p w14:paraId="4793BA6A" w14:textId="77777777" w:rsidR="00B26A94" w:rsidRDefault="00B26A94" w:rsidP="00F87C41">
      <w:pPr>
        <w:spacing w:after="0" w:line="240" w:lineRule="auto"/>
        <w:rPr>
          <w:rFonts w:asciiTheme="majorBidi" w:hAnsiTheme="majorBidi" w:cstheme="majorBidi"/>
          <w:sz w:val="24"/>
          <w:szCs w:val="24"/>
          <w:lang w:val="en-GB"/>
        </w:rPr>
      </w:pPr>
      <w:r>
        <w:rPr>
          <w:rFonts w:asciiTheme="majorBidi" w:hAnsiTheme="majorBidi" w:cstheme="majorBidi"/>
          <w:noProof/>
          <w:sz w:val="24"/>
          <w:szCs w:val="24"/>
        </w:rPr>
        <w:drawing>
          <wp:inline distT="0" distB="0" distL="0" distR="0" wp14:anchorId="66DBB563" wp14:editId="303AE68F">
            <wp:extent cx="5401733" cy="190433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4 - Correlation between iNDVI and iFAP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8566" cy="1906741"/>
                    </a:xfrm>
                    <a:prstGeom prst="rect">
                      <a:avLst/>
                    </a:prstGeom>
                  </pic:spPr>
                </pic:pic>
              </a:graphicData>
            </a:graphic>
          </wp:inline>
        </w:drawing>
      </w:r>
    </w:p>
    <w:p w14:paraId="096350E6" w14:textId="4640885D" w:rsidR="00B26A94" w:rsidRPr="00946D49" w:rsidRDefault="00B26A94" w:rsidP="00F87C41">
      <w:pPr>
        <w:spacing w:after="0" w:line="240" w:lineRule="auto"/>
        <w:jc w:val="both"/>
        <w:rPr>
          <w:rFonts w:asciiTheme="majorBidi" w:hAnsiTheme="majorBidi" w:cstheme="majorBidi"/>
          <w:sz w:val="24"/>
          <w:szCs w:val="24"/>
          <w:lang w:val="en-GB" w:eastAsia="de-DE"/>
        </w:rPr>
      </w:pPr>
      <w:r w:rsidRPr="004F723F">
        <w:rPr>
          <w:rFonts w:asciiTheme="majorBidi" w:hAnsiTheme="majorBidi" w:cstheme="majorBidi"/>
          <w:b/>
          <w:color w:val="A50021"/>
          <w:sz w:val="24"/>
          <w:szCs w:val="24"/>
          <w:lang w:val="en-GB"/>
        </w:rPr>
        <w:t>Figure S</w:t>
      </w:r>
      <w:r w:rsidR="0009079E">
        <w:rPr>
          <w:rFonts w:asciiTheme="majorBidi" w:hAnsiTheme="majorBidi" w:cstheme="majorBidi"/>
          <w:b/>
          <w:color w:val="A50021"/>
          <w:sz w:val="24"/>
          <w:szCs w:val="24"/>
          <w:lang w:val="en-GB"/>
        </w:rPr>
        <w:t>5</w:t>
      </w:r>
      <w:r w:rsidRPr="004F723F">
        <w:rPr>
          <w:rFonts w:asciiTheme="majorBidi" w:hAnsiTheme="majorBidi" w:cstheme="majorBidi"/>
          <w:b/>
          <w:color w:val="A50021"/>
          <w:sz w:val="24"/>
          <w:szCs w:val="24"/>
          <w:lang w:val="en-GB"/>
        </w:rPr>
        <w:t>.</w:t>
      </w:r>
      <w:r w:rsidRPr="004F723F">
        <w:rPr>
          <w:rFonts w:asciiTheme="majorBidi" w:hAnsiTheme="majorBidi" w:cstheme="majorBidi"/>
          <w:sz w:val="24"/>
          <w:szCs w:val="24"/>
          <w:lang w:val="en-GB" w:eastAsia="de-DE"/>
        </w:rPr>
        <w:t xml:space="preserve"> </w:t>
      </w:r>
      <w:r w:rsidRPr="00946D49">
        <w:rPr>
          <w:rFonts w:asciiTheme="majorBidi" w:hAnsiTheme="majorBidi" w:cstheme="majorBidi"/>
          <w:sz w:val="24"/>
          <w:szCs w:val="24"/>
          <w:lang w:val="en-GB" w:eastAsia="de-DE"/>
        </w:rPr>
        <w:t>Correlation</w:t>
      </w:r>
      <w:r>
        <w:rPr>
          <w:rFonts w:asciiTheme="majorBidi" w:hAnsiTheme="majorBidi" w:cstheme="majorBidi"/>
          <w:sz w:val="24"/>
          <w:szCs w:val="24"/>
          <w:lang w:val="en-GB" w:eastAsia="de-DE"/>
        </w:rPr>
        <w:t xml:space="preserve"> between iNDVI and iFAPAR: (a) multi-year average (2001</w:t>
      </w:r>
      <w:r w:rsidR="00F87C41">
        <w:rPr>
          <w:rFonts w:asciiTheme="majorBidi" w:hAnsiTheme="majorBidi" w:cstheme="majorBidi"/>
          <w:sz w:val="24"/>
          <w:szCs w:val="24"/>
          <w:lang w:val="en-GB" w:eastAsia="de-DE"/>
        </w:rPr>
        <w:t>–</w:t>
      </w:r>
      <w:r>
        <w:rPr>
          <w:rFonts w:asciiTheme="majorBidi" w:hAnsiTheme="majorBidi" w:cstheme="majorBidi"/>
          <w:sz w:val="24"/>
          <w:szCs w:val="24"/>
          <w:lang w:val="en-GB" w:eastAsia="de-DE"/>
        </w:rPr>
        <w:t xml:space="preserve">2016), and (b) maximum value composite. </w:t>
      </w:r>
      <w:r w:rsidRPr="00946D49">
        <w:rPr>
          <w:rFonts w:asciiTheme="majorBidi" w:hAnsiTheme="majorBidi" w:cstheme="majorBidi"/>
          <w:sz w:val="24"/>
          <w:szCs w:val="24"/>
          <w:lang w:val="en-GB" w:eastAsia="de-DE"/>
        </w:rPr>
        <w:t xml:space="preserve"> </w:t>
      </w:r>
    </w:p>
    <w:p w14:paraId="4223399B" w14:textId="77777777" w:rsidR="00B26A94" w:rsidRDefault="00B26A94" w:rsidP="00F87C41">
      <w:pPr>
        <w:spacing w:after="0" w:line="240" w:lineRule="auto"/>
        <w:rPr>
          <w:rFonts w:asciiTheme="majorBidi" w:hAnsiTheme="majorBidi" w:cstheme="majorBidi"/>
          <w:sz w:val="24"/>
          <w:szCs w:val="24"/>
          <w:lang w:val="en-GB"/>
        </w:rPr>
      </w:pPr>
    </w:p>
    <w:p w14:paraId="29D8092B" w14:textId="108DD4A8" w:rsidR="00B26A94" w:rsidRDefault="00B26A94" w:rsidP="00F87C41">
      <w:pPr>
        <w:spacing w:after="0" w:line="240" w:lineRule="auto"/>
        <w:jc w:val="both"/>
        <w:rPr>
          <w:rFonts w:asciiTheme="majorBidi" w:hAnsiTheme="majorBidi" w:cstheme="majorBidi"/>
          <w:sz w:val="24"/>
          <w:szCs w:val="24"/>
          <w:lang w:val="en-GB" w:eastAsia="de-DE"/>
        </w:rPr>
      </w:pPr>
      <w:r>
        <w:rPr>
          <w:rFonts w:asciiTheme="majorBidi" w:hAnsiTheme="majorBidi" w:cstheme="majorBidi"/>
          <w:noProof/>
          <w:sz w:val="24"/>
          <w:szCs w:val="24"/>
        </w:rPr>
        <w:drawing>
          <wp:inline distT="0" distB="0" distL="0" distR="0" wp14:anchorId="172D48C5" wp14:editId="5735FA74">
            <wp:extent cx="4470400" cy="5005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al - Frequency distribu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79729" cy="5016001"/>
                    </a:xfrm>
                    <a:prstGeom prst="rect">
                      <a:avLst/>
                    </a:prstGeom>
                  </pic:spPr>
                </pic:pic>
              </a:graphicData>
            </a:graphic>
          </wp:inline>
        </w:drawing>
      </w:r>
      <w:r>
        <w:rPr>
          <w:rFonts w:asciiTheme="majorBidi" w:hAnsiTheme="majorBidi" w:cstheme="majorBidi"/>
          <w:sz w:val="24"/>
          <w:szCs w:val="24"/>
          <w:lang w:val="en-GB"/>
        </w:rPr>
        <w:br w:type="textWrapping" w:clear="all"/>
      </w:r>
      <w:r w:rsidRPr="00D97ED2">
        <w:rPr>
          <w:rFonts w:asciiTheme="majorBidi" w:hAnsiTheme="majorBidi" w:cstheme="majorBidi"/>
          <w:b/>
          <w:color w:val="A50021"/>
          <w:sz w:val="24"/>
          <w:szCs w:val="24"/>
          <w:lang w:val="en-GB"/>
        </w:rPr>
        <w:t>Fig</w:t>
      </w:r>
      <w:r>
        <w:rPr>
          <w:rFonts w:asciiTheme="majorBidi" w:hAnsiTheme="majorBidi" w:cstheme="majorBidi"/>
          <w:b/>
          <w:color w:val="A50021"/>
          <w:sz w:val="24"/>
          <w:szCs w:val="24"/>
          <w:lang w:val="en-GB"/>
        </w:rPr>
        <w:t xml:space="preserve">ure </w:t>
      </w:r>
      <w:r w:rsidRPr="00D97ED2">
        <w:rPr>
          <w:rFonts w:asciiTheme="majorBidi" w:hAnsiTheme="majorBidi" w:cstheme="majorBidi"/>
          <w:b/>
          <w:color w:val="A50021"/>
          <w:sz w:val="24"/>
          <w:szCs w:val="24"/>
          <w:lang w:val="en-GB"/>
        </w:rPr>
        <w:t>S</w:t>
      </w:r>
      <w:r w:rsidR="0009079E">
        <w:rPr>
          <w:rFonts w:asciiTheme="majorBidi" w:hAnsiTheme="majorBidi" w:cstheme="majorBidi"/>
          <w:b/>
          <w:color w:val="A50021"/>
          <w:sz w:val="24"/>
          <w:szCs w:val="24"/>
          <w:lang w:val="en-GB"/>
        </w:rPr>
        <w:t>6</w:t>
      </w:r>
      <w:r w:rsidRPr="00D97ED2">
        <w:rPr>
          <w:rFonts w:asciiTheme="majorBidi" w:hAnsiTheme="majorBidi" w:cstheme="majorBidi"/>
          <w:b/>
          <w:color w:val="A50021"/>
          <w:sz w:val="24"/>
          <w:szCs w:val="24"/>
          <w:lang w:val="en-GB"/>
        </w:rPr>
        <w:t>.</w:t>
      </w:r>
      <w:r w:rsidRPr="00D97ED2">
        <w:rPr>
          <w:rFonts w:asciiTheme="majorBidi" w:hAnsiTheme="majorBidi" w:cstheme="majorBidi"/>
          <w:color w:val="A50021"/>
          <w:sz w:val="24"/>
          <w:szCs w:val="24"/>
          <w:lang w:val="en-GB" w:eastAsia="de-DE"/>
        </w:rPr>
        <w:t xml:space="preserve"> </w:t>
      </w:r>
      <w:r>
        <w:rPr>
          <w:rFonts w:asciiTheme="majorBidi" w:hAnsiTheme="majorBidi" w:cstheme="majorBidi"/>
          <w:sz w:val="24"/>
          <w:szCs w:val="24"/>
          <w:lang w:val="en-GB" w:eastAsia="de-DE"/>
        </w:rPr>
        <w:t>Relative frequency distribution of all pixel values of (a) multi-year average and (b)</w:t>
      </w:r>
      <w:r w:rsidR="00F87C41">
        <w:rPr>
          <w:rFonts w:asciiTheme="majorBidi" w:hAnsiTheme="majorBidi" w:cstheme="majorBidi"/>
          <w:sz w:val="24"/>
          <w:szCs w:val="24"/>
          <w:lang w:val="en-GB" w:eastAsia="de-DE"/>
        </w:rPr>
        <w:t> </w:t>
      </w:r>
      <w:r>
        <w:rPr>
          <w:rFonts w:asciiTheme="majorBidi" w:hAnsiTheme="majorBidi" w:cstheme="majorBidi"/>
          <w:sz w:val="24"/>
          <w:szCs w:val="24"/>
          <w:lang w:val="en-GB" w:eastAsia="de-DE"/>
        </w:rPr>
        <w:t>maxima of iNDVI and iFAPAR over the whole Gezira Scheme for the period 2001</w:t>
      </w:r>
      <w:r w:rsidR="00F87C41">
        <w:rPr>
          <w:rFonts w:asciiTheme="majorBidi" w:hAnsiTheme="majorBidi" w:cstheme="majorBidi"/>
          <w:sz w:val="24"/>
          <w:szCs w:val="24"/>
          <w:lang w:val="en-GB" w:eastAsia="de-DE"/>
        </w:rPr>
        <w:t>–</w:t>
      </w:r>
      <w:r>
        <w:rPr>
          <w:rFonts w:asciiTheme="majorBidi" w:hAnsiTheme="majorBidi" w:cstheme="majorBidi"/>
          <w:sz w:val="24"/>
          <w:szCs w:val="24"/>
          <w:lang w:val="en-GB" w:eastAsia="de-DE"/>
        </w:rPr>
        <w:t xml:space="preserve">2016. </w:t>
      </w:r>
    </w:p>
    <w:p w14:paraId="6BEABA91" w14:textId="77777777" w:rsidR="00B26A94" w:rsidRDefault="00B26A94" w:rsidP="00F87C41">
      <w:pPr>
        <w:spacing w:after="0" w:line="240" w:lineRule="auto"/>
        <w:rPr>
          <w:rFonts w:asciiTheme="majorBidi" w:hAnsiTheme="majorBidi" w:cstheme="majorBidi"/>
          <w:sz w:val="24"/>
          <w:szCs w:val="24"/>
          <w:lang w:val="en-GB"/>
        </w:rPr>
      </w:pPr>
      <w:r>
        <w:rPr>
          <w:rFonts w:asciiTheme="majorBidi" w:hAnsiTheme="majorBidi" w:cstheme="majorBidi"/>
          <w:noProof/>
          <w:sz w:val="24"/>
          <w:szCs w:val="24"/>
        </w:rPr>
        <w:lastRenderedPageBreak/>
        <w:drawing>
          <wp:inline distT="0" distB="0" distL="0" distR="0" wp14:anchorId="12CC5065" wp14:editId="5EC00DF4">
            <wp:extent cx="4817533" cy="35947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 - Coefficicnt of detemrina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0124" cy="3596667"/>
                    </a:xfrm>
                    <a:prstGeom prst="rect">
                      <a:avLst/>
                    </a:prstGeom>
                  </pic:spPr>
                </pic:pic>
              </a:graphicData>
            </a:graphic>
          </wp:inline>
        </w:drawing>
      </w:r>
    </w:p>
    <w:p w14:paraId="27043115" w14:textId="50F29E40" w:rsidR="00B26A94" w:rsidRDefault="00B26A94" w:rsidP="00F87C41">
      <w:pPr>
        <w:spacing w:after="0" w:line="240" w:lineRule="auto"/>
        <w:jc w:val="both"/>
        <w:rPr>
          <w:rFonts w:asciiTheme="majorBidi" w:hAnsiTheme="majorBidi" w:cstheme="majorBidi"/>
          <w:sz w:val="24"/>
          <w:szCs w:val="24"/>
          <w:lang w:val="en-GB"/>
        </w:rPr>
      </w:pPr>
      <w:r w:rsidRPr="006A7781">
        <w:rPr>
          <w:rFonts w:asciiTheme="majorBidi" w:hAnsiTheme="majorBidi" w:cstheme="majorBidi"/>
          <w:b/>
          <w:color w:val="A50021"/>
          <w:sz w:val="24"/>
          <w:szCs w:val="24"/>
          <w:lang w:val="en-GB"/>
        </w:rPr>
        <w:t xml:space="preserve">Figure </w:t>
      </w:r>
      <w:r>
        <w:rPr>
          <w:rFonts w:asciiTheme="majorBidi" w:hAnsiTheme="majorBidi" w:cstheme="majorBidi"/>
          <w:b/>
          <w:color w:val="A50021"/>
          <w:sz w:val="24"/>
          <w:szCs w:val="24"/>
          <w:lang w:val="en-GB"/>
        </w:rPr>
        <w:t>S</w:t>
      </w:r>
      <w:r w:rsidR="0009079E">
        <w:rPr>
          <w:rFonts w:asciiTheme="majorBidi" w:hAnsiTheme="majorBidi" w:cstheme="majorBidi"/>
          <w:b/>
          <w:color w:val="A50021"/>
          <w:sz w:val="24"/>
          <w:szCs w:val="24"/>
          <w:lang w:val="en-GB"/>
        </w:rPr>
        <w:t>7</w:t>
      </w:r>
      <w:r w:rsidRPr="006A7781">
        <w:rPr>
          <w:rFonts w:asciiTheme="majorBidi" w:hAnsiTheme="majorBidi" w:cstheme="majorBidi"/>
          <w:b/>
          <w:color w:val="A50021"/>
          <w:sz w:val="24"/>
          <w:szCs w:val="24"/>
          <w:lang w:val="en-GB"/>
        </w:rPr>
        <w:t>.</w:t>
      </w:r>
      <w:r>
        <w:rPr>
          <w:rFonts w:asciiTheme="majorBidi" w:hAnsiTheme="majorBidi" w:cstheme="majorBidi"/>
          <w:sz w:val="24"/>
          <w:szCs w:val="24"/>
          <w:lang w:val="en-GB"/>
        </w:rPr>
        <w:t xml:space="preserve"> Spatial distribution of coefficient of variation (CV) of iNDVI and iFAPAR for the period 2001</w:t>
      </w:r>
      <w:r w:rsidR="00F87C41">
        <w:rPr>
          <w:rFonts w:asciiTheme="majorBidi" w:hAnsiTheme="majorBidi" w:cstheme="majorBidi"/>
          <w:sz w:val="24"/>
          <w:szCs w:val="24"/>
          <w:lang w:val="en-GB"/>
        </w:rPr>
        <w:t>–</w:t>
      </w:r>
      <w:r>
        <w:rPr>
          <w:rFonts w:asciiTheme="majorBidi" w:hAnsiTheme="majorBidi" w:cstheme="majorBidi"/>
          <w:sz w:val="24"/>
          <w:szCs w:val="24"/>
          <w:lang w:val="en-GB"/>
        </w:rPr>
        <w:t xml:space="preserve">2016 over the Gezira Scheme. </w:t>
      </w:r>
    </w:p>
    <w:p w14:paraId="221A2E7C" w14:textId="77777777" w:rsidR="00716296" w:rsidRDefault="00716296" w:rsidP="00F87C41">
      <w:pPr>
        <w:spacing w:after="0" w:line="240" w:lineRule="auto"/>
        <w:jc w:val="both"/>
        <w:rPr>
          <w:rFonts w:asciiTheme="majorBidi" w:hAnsiTheme="majorBidi" w:cstheme="majorBidi"/>
          <w:bCs/>
          <w:color w:val="000000" w:themeColor="text1"/>
          <w:sz w:val="24"/>
          <w:szCs w:val="24"/>
          <w:lang w:val="en-GB"/>
        </w:rPr>
      </w:pPr>
    </w:p>
    <w:p w14:paraId="1FB58693" w14:textId="35572FB6" w:rsidR="00A640D8" w:rsidRDefault="00A640D8" w:rsidP="00F87C41">
      <w:pPr>
        <w:spacing w:after="0" w:line="240" w:lineRule="auto"/>
        <w:rPr>
          <w:rFonts w:asciiTheme="majorBidi" w:hAnsiTheme="majorBidi" w:cstheme="majorBidi"/>
          <w:sz w:val="24"/>
          <w:szCs w:val="24"/>
          <w:lang w:val="en-GB"/>
        </w:rPr>
      </w:pPr>
      <w:r>
        <w:rPr>
          <w:rFonts w:asciiTheme="majorBidi" w:hAnsiTheme="majorBidi" w:cstheme="majorBidi"/>
          <w:noProof/>
          <w:sz w:val="24"/>
          <w:szCs w:val="24"/>
        </w:rPr>
        <w:drawing>
          <wp:inline distT="0" distB="0" distL="0" distR="0" wp14:anchorId="02ED6521" wp14:editId="2EA53034">
            <wp:extent cx="5123302" cy="355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x iNDVI and Max iFAP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8640" cy="3559705"/>
                    </a:xfrm>
                    <a:prstGeom prst="rect">
                      <a:avLst/>
                    </a:prstGeom>
                  </pic:spPr>
                </pic:pic>
              </a:graphicData>
            </a:graphic>
          </wp:inline>
        </w:drawing>
      </w:r>
    </w:p>
    <w:p w14:paraId="11F87000" w14:textId="156CBBA7" w:rsidR="00A640D8" w:rsidRDefault="00A640D8" w:rsidP="00F87C41">
      <w:pPr>
        <w:spacing w:after="0" w:line="240" w:lineRule="auto"/>
        <w:rPr>
          <w:rFonts w:asciiTheme="majorBidi" w:hAnsiTheme="majorBidi" w:cstheme="majorBidi"/>
          <w:sz w:val="24"/>
          <w:szCs w:val="24"/>
          <w:lang w:val="en-GB" w:eastAsia="de-DE"/>
        </w:rPr>
      </w:pPr>
      <w:r w:rsidRPr="00D97ED2">
        <w:rPr>
          <w:rFonts w:asciiTheme="majorBidi" w:hAnsiTheme="majorBidi" w:cstheme="majorBidi"/>
          <w:b/>
          <w:color w:val="A50021"/>
          <w:sz w:val="24"/>
          <w:szCs w:val="24"/>
          <w:lang w:val="en-GB"/>
        </w:rPr>
        <w:t>Fig</w:t>
      </w:r>
      <w:r>
        <w:rPr>
          <w:rFonts w:asciiTheme="majorBidi" w:hAnsiTheme="majorBidi" w:cstheme="majorBidi"/>
          <w:b/>
          <w:color w:val="A50021"/>
          <w:sz w:val="24"/>
          <w:szCs w:val="24"/>
          <w:lang w:val="en-GB"/>
        </w:rPr>
        <w:t xml:space="preserve">ure </w:t>
      </w:r>
      <w:r w:rsidRPr="00D97ED2">
        <w:rPr>
          <w:rFonts w:asciiTheme="majorBidi" w:hAnsiTheme="majorBidi" w:cstheme="majorBidi"/>
          <w:b/>
          <w:color w:val="A50021"/>
          <w:sz w:val="24"/>
          <w:szCs w:val="24"/>
          <w:lang w:val="en-GB"/>
        </w:rPr>
        <w:t>S</w:t>
      </w:r>
      <w:r w:rsidR="0009079E">
        <w:rPr>
          <w:rFonts w:asciiTheme="majorBidi" w:hAnsiTheme="majorBidi" w:cstheme="majorBidi"/>
          <w:b/>
          <w:color w:val="A50021"/>
          <w:sz w:val="24"/>
          <w:szCs w:val="24"/>
          <w:lang w:val="en-GB"/>
        </w:rPr>
        <w:t>8</w:t>
      </w:r>
      <w:r w:rsidRPr="00D97ED2">
        <w:rPr>
          <w:rFonts w:asciiTheme="majorBidi" w:hAnsiTheme="majorBidi" w:cstheme="majorBidi"/>
          <w:b/>
          <w:color w:val="A50021"/>
          <w:sz w:val="24"/>
          <w:szCs w:val="24"/>
          <w:lang w:val="en-GB"/>
        </w:rPr>
        <w:t>.</w:t>
      </w:r>
      <w:r w:rsidRPr="00D97ED2">
        <w:rPr>
          <w:rFonts w:asciiTheme="majorBidi" w:hAnsiTheme="majorBidi" w:cstheme="majorBidi"/>
          <w:color w:val="A50021"/>
          <w:sz w:val="24"/>
          <w:szCs w:val="24"/>
          <w:lang w:val="en-GB" w:eastAsia="de-DE"/>
        </w:rPr>
        <w:t xml:space="preserve"> </w:t>
      </w:r>
      <w:r>
        <w:rPr>
          <w:rFonts w:asciiTheme="majorBidi" w:hAnsiTheme="majorBidi" w:cstheme="majorBidi"/>
          <w:sz w:val="24"/>
          <w:szCs w:val="24"/>
          <w:lang w:val="en-GB" w:eastAsia="de-DE"/>
        </w:rPr>
        <w:t>Maximum productivity levels created from the iNDVI and iFAPAR datasets for the years 2001</w:t>
      </w:r>
      <w:r w:rsidR="00F87C41">
        <w:rPr>
          <w:rFonts w:asciiTheme="majorBidi" w:hAnsiTheme="majorBidi" w:cstheme="majorBidi"/>
          <w:sz w:val="24"/>
          <w:szCs w:val="24"/>
          <w:lang w:val="en-GB" w:eastAsia="de-DE"/>
        </w:rPr>
        <w:t>–</w:t>
      </w:r>
      <w:r>
        <w:rPr>
          <w:rFonts w:asciiTheme="majorBidi" w:hAnsiTheme="majorBidi" w:cstheme="majorBidi"/>
          <w:sz w:val="24"/>
          <w:szCs w:val="24"/>
          <w:lang w:val="en-GB" w:eastAsia="de-DE"/>
        </w:rPr>
        <w:t xml:space="preserve">2016 using </w:t>
      </w:r>
      <w:r w:rsidR="00F87C41">
        <w:rPr>
          <w:rFonts w:asciiTheme="majorBidi" w:hAnsiTheme="majorBidi" w:cstheme="majorBidi"/>
          <w:sz w:val="24"/>
          <w:szCs w:val="24"/>
          <w:lang w:val="en-GB" w:eastAsia="de-DE"/>
        </w:rPr>
        <w:t xml:space="preserve">the maximum value composite </w:t>
      </w:r>
      <w:r>
        <w:rPr>
          <w:rFonts w:asciiTheme="majorBidi" w:hAnsiTheme="majorBidi" w:cstheme="majorBidi"/>
          <w:sz w:val="24"/>
          <w:szCs w:val="24"/>
          <w:lang w:val="en-GB" w:eastAsia="de-DE"/>
        </w:rPr>
        <w:t xml:space="preserve">(MVC) method. </w:t>
      </w:r>
    </w:p>
    <w:p w14:paraId="3FA260A4" w14:textId="77777777" w:rsidR="009A47BA" w:rsidRDefault="009A47BA" w:rsidP="00F87C41">
      <w:pPr>
        <w:spacing w:after="0" w:line="240" w:lineRule="auto"/>
        <w:rPr>
          <w:rFonts w:asciiTheme="majorBidi" w:hAnsiTheme="majorBidi" w:cstheme="majorBidi"/>
          <w:bCs/>
          <w:color w:val="000000" w:themeColor="text1"/>
          <w:sz w:val="24"/>
          <w:szCs w:val="24"/>
          <w:lang w:val="en-GB"/>
        </w:rPr>
      </w:pPr>
      <w:r>
        <w:rPr>
          <w:rFonts w:asciiTheme="majorBidi" w:hAnsiTheme="majorBidi" w:cstheme="majorBidi"/>
          <w:bCs/>
          <w:color w:val="000000" w:themeColor="text1"/>
          <w:sz w:val="24"/>
          <w:szCs w:val="24"/>
          <w:lang w:val="en-GB"/>
        </w:rPr>
        <w:br w:type="page"/>
      </w:r>
    </w:p>
    <w:p w14:paraId="739ABC05" w14:textId="12370F57" w:rsidR="0009079E" w:rsidRPr="0009079E" w:rsidRDefault="00A92C68" w:rsidP="00F87C41">
      <w:pPr>
        <w:spacing w:after="0" w:line="240" w:lineRule="auto"/>
        <w:rPr>
          <w:rFonts w:asciiTheme="majorBidi" w:hAnsiTheme="majorBidi" w:cstheme="majorBidi"/>
          <w:sz w:val="24"/>
          <w:szCs w:val="24"/>
          <w:lang w:val="en-GB" w:eastAsia="de-DE"/>
        </w:rPr>
      </w:pPr>
      <w:r>
        <w:rPr>
          <w:rFonts w:asciiTheme="majorBidi" w:hAnsiTheme="majorBidi" w:cstheme="majorBidi"/>
          <w:b/>
          <w:bCs/>
          <w:sz w:val="24"/>
          <w:szCs w:val="24"/>
          <w:lang w:val="en-GB"/>
        </w:rPr>
        <w:lastRenderedPageBreak/>
        <w:t>S</w:t>
      </w:r>
      <w:r w:rsidR="0009079E">
        <w:rPr>
          <w:rFonts w:asciiTheme="majorBidi" w:hAnsiTheme="majorBidi" w:cstheme="majorBidi"/>
          <w:b/>
          <w:bCs/>
          <w:sz w:val="24"/>
          <w:szCs w:val="24"/>
          <w:lang w:val="en-GB"/>
        </w:rPr>
        <w:t xml:space="preserve">4 Cultivated area and sorghum yield in Gezira Scheme during 2015 and 2016 </w:t>
      </w:r>
    </w:p>
    <w:p w14:paraId="7A5895D9" w14:textId="495508F0" w:rsidR="0009079E" w:rsidRDefault="0009079E" w:rsidP="00F87C41">
      <w:pPr>
        <w:spacing w:after="0" w:line="240" w:lineRule="auto"/>
        <w:rPr>
          <w:rFonts w:asciiTheme="majorBidi" w:hAnsiTheme="majorBidi" w:cstheme="majorBidi"/>
          <w:sz w:val="24"/>
          <w:szCs w:val="24"/>
          <w:lang w:val="en-GB" w:eastAsia="de-DE"/>
        </w:rPr>
      </w:pPr>
      <w:r>
        <w:rPr>
          <w:rFonts w:asciiTheme="majorBidi" w:hAnsiTheme="majorBidi" w:cstheme="majorBidi"/>
          <w:sz w:val="24"/>
          <w:szCs w:val="24"/>
          <w:lang w:val="en-GB" w:eastAsia="de-DE"/>
        </w:rPr>
        <w:t>Taking the years 2015 and 2016 as examples of low and high productivity levels, respectively, it could be noted that w</w:t>
      </w:r>
      <w:r w:rsidRPr="0004257F">
        <w:rPr>
          <w:rFonts w:asciiTheme="majorBidi" w:hAnsiTheme="majorBidi" w:cstheme="majorBidi"/>
          <w:sz w:val="24"/>
          <w:szCs w:val="24"/>
          <w:lang w:val="en-GB" w:eastAsia="de-DE"/>
        </w:rPr>
        <w:t>hile there are no large differences in the cultivated areas of sorghum, large differences in the average yield were detected for the two years (</w:t>
      </w:r>
      <w:r w:rsidRPr="00EC5E96">
        <w:rPr>
          <w:rFonts w:asciiTheme="majorBidi" w:hAnsiTheme="majorBidi" w:cstheme="majorBidi"/>
          <w:sz w:val="24"/>
          <w:szCs w:val="24"/>
          <w:lang w:val="en-GB" w:eastAsia="de-DE"/>
        </w:rPr>
        <w:t>Fig. S</w:t>
      </w:r>
      <w:r>
        <w:rPr>
          <w:rFonts w:asciiTheme="majorBidi" w:hAnsiTheme="majorBidi" w:cstheme="majorBidi"/>
          <w:sz w:val="24"/>
          <w:szCs w:val="24"/>
          <w:lang w:val="en-GB" w:eastAsia="de-DE"/>
        </w:rPr>
        <w:t>9</w:t>
      </w:r>
      <w:r w:rsidRPr="0004257F">
        <w:rPr>
          <w:rFonts w:asciiTheme="majorBidi" w:hAnsiTheme="majorBidi" w:cstheme="majorBidi"/>
          <w:sz w:val="24"/>
          <w:szCs w:val="24"/>
          <w:lang w:val="en-GB" w:eastAsia="de-DE"/>
        </w:rPr>
        <w:t>).</w:t>
      </w:r>
    </w:p>
    <w:p w14:paraId="5E44C9F5" w14:textId="77777777" w:rsidR="00F87C41" w:rsidRPr="0009079E" w:rsidRDefault="00F87C41" w:rsidP="00F87C41">
      <w:pPr>
        <w:spacing w:after="0" w:line="240" w:lineRule="auto"/>
        <w:rPr>
          <w:rFonts w:asciiTheme="majorBidi" w:hAnsiTheme="majorBidi" w:cstheme="majorBidi"/>
          <w:sz w:val="24"/>
          <w:szCs w:val="24"/>
          <w:lang w:val="en-GB" w:eastAsia="de-DE"/>
        </w:rPr>
      </w:pPr>
    </w:p>
    <w:p w14:paraId="3FDE61AA" w14:textId="6036F6EE" w:rsidR="0009079E" w:rsidRPr="0009079E" w:rsidRDefault="0009079E" w:rsidP="00F87C41">
      <w:pPr>
        <w:spacing w:after="0" w:line="240" w:lineRule="auto"/>
        <w:jc w:val="both"/>
        <w:rPr>
          <w:rFonts w:asciiTheme="majorBidi" w:hAnsiTheme="majorBidi" w:cstheme="majorBidi"/>
          <w:b/>
          <w:bCs/>
          <w:sz w:val="24"/>
          <w:szCs w:val="24"/>
          <w:lang w:val="en-GB" w:eastAsia="de-DE"/>
        </w:rPr>
      </w:pPr>
      <w:r w:rsidRPr="0009079E">
        <w:rPr>
          <w:rFonts w:asciiTheme="majorBidi" w:hAnsiTheme="majorBidi" w:cstheme="majorBidi"/>
          <w:noProof/>
          <w:sz w:val="24"/>
          <w:szCs w:val="24"/>
          <w:lang w:val="en-GB" w:eastAsia="de-DE"/>
        </w:rPr>
        <w:drawing>
          <wp:inline distT="0" distB="0" distL="0" distR="0" wp14:anchorId="51559B9C" wp14:editId="4D83EF6C">
            <wp:extent cx="5615940" cy="338666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4.jpg"/>
                    <pic:cNvPicPr/>
                  </pic:nvPicPr>
                  <pic:blipFill rotWithShape="1">
                    <a:blip r:embed="rId15" cstate="print">
                      <a:extLst>
                        <a:ext uri="{28A0092B-C50C-407E-A947-70E740481C1C}">
                          <a14:useLocalDpi xmlns:a14="http://schemas.microsoft.com/office/drawing/2010/main" val="0"/>
                        </a:ext>
                      </a:extLst>
                    </a:blip>
                    <a:srcRect b="5902"/>
                    <a:stretch/>
                  </pic:blipFill>
                  <pic:spPr bwMode="auto">
                    <a:xfrm>
                      <a:off x="0" y="0"/>
                      <a:ext cx="5622020" cy="3390334"/>
                    </a:xfrm>
                    <a:prstGeom prst="rect">
                      <a:avLst/>
                    </a:prstGeom>
                    <a:ln>
                      <a:noFill/>
                    </a:ln>
                    <a:extLst>
                      <a:ext uri="{53640926-AAD7-44D8-BBD7-CCE9431645EC}">
                        <a14:shadowObscured xmlns:a14="http://schemas.microsoft.com/office/drawing/2010/main"/>
                      </a:ext>
                    </a:extLst>
                  </pic:spPr>
                </pic:pic>
              </a:graphicData>
            </a:graphic>
          </wp:inline>
        </w:drawing>
      </w:r>
      <w:r w:rsidRPr="00D97ED2">
        <w:rPr>
          <w:rFonts w:asciiTheme="majorBidi" w:hAnsiTheme="majorBidi" w:cstheme="majorBidi"/>
          <w:b/>
          <w:bCs/>
          <w:color w:val="A50021"/>
          <w:sz w:val="24"/>
          <w:szCs w:val="24"/>
          <w:lang w:val="en-GB" w:eastAsia="de-DE"/>
        </w:rPr>
        <w:t>Fig</w:t>
      </w:r>
      <w:r>
        <w:rPr>
          <w:rFonts w:asciiTheme="majorBidi" w:hAnsiTheme="majorBidi" w:cstheme="majorBidi"/>
          <w:b/>
          <w:bCs/>
          <w:color w:val="A50021"/>
          <w:sz w:val="24"/>
          <w:szCs w:val="24"/>
          <w:lang w:val="en-GB" w:eastAsia="de-DE"/>
        </w:rPr>
        <w:t>ure</w:t>
      </w:r>
      <w:r w:rsidRPr="00D97ED2">
        <w:rPr>
          <w:rFonts w:asciiTheme="majorBidi" w:hAnsiTheme="majorBidi" w:cstheme="majorBidi"/>
          <w:b/>
          <w:bCs/>
          <w:color w:val="A50021"/>
          <w:sz w:val="24"/>
          <w:szCs w:val="24"/>
          <w:lang w:val="en-GB" w:eastAsia="de-DE"/>
        </w:rPr>
        <w:t xml:space="preserve"> S</w:t>
      </w:r>
      <w:r>
        <w:rPr>
          <w:rFonts w:asciiTheme="majorBidi" w:hAnsiTheme="majorBidi" w:cstheme="majorBidi"/>
          <w:b/>
          <w:bCs/>
          <w:color w:val="A50021"/>
          <w:sz w:val="24"/>
          <w:szCs w:val="24"/>
          <w:lang w:val="en-GB" w:eastAsia="de-DE"/>
        </w:rPr>
        <w:t>9</w:t>
      </w:r>
      <w:r w:rsidRPr="00D97ED2">
        <w:rPr>
          <w:rFonts w:asciiTheme="majorBidi" w:hAnsiTheme="majorBidi" w:cstheme="majorBidi"/>
          <w:b/>
          <w:bCs/>
          <w:color w:val="A50021"/>
          <w:sz w:val="24"/>
          <w:szCs w:val="24"/>
          <w:lang w:val="en-GB" w:eastAsia="de-DE"/>
        </w:rPr>
        <w:t>.</w:t>
      </w:r>
      <w:r w:rsidRPr="00D97ED2">
        <w:rPr>
          <w:rFonts w:asciiTheme="majorBidi" w:hAnsiTheme="majorBidi" w:cstheme="majorBidi"/>
          <w:color w:val="A50021"/>
          <w:sz w:val="24"/>
          <w:szCs w:val="24"/>
          <w:lang w:val="en-GB" w:eastAsia="de-DE"/>
        </w:rPr>
        <w:t xml:space="preserve"> </w:t>
      </w:r>
      <w:r>
        <w:rPr>
          <w:rFonts w:asciiTheme="majorBidi" w:hAnsiTheme="majorBidi" w:cstheme="majorBidi"/>
          <w:sz w:val="24"/>
          <w:szCs w:val="24"/>
          <w:lang w:val="en-GB" w:eastAsia="de-DE"/>
        </w:rPr>
        <w:t>Comparison between the cultivated area and average yield of sorghum for years 2015 and 2016 at the level of administrative groups.</w:t>
      </w:r>
    </w:p>
    <w:p w14:paraId="285BE861" w14:textId="77777777" w:rsidR="00F87C41" w:rsidRDefault="00F87C41" w:rsidP="00F87C41">
      <w:pPr>
        <w:spacing w:after="0" w:line="240" w:lineRule="auto"/>
        <w:rPr>
          <w:rFonts w:asciiTheme="majorBidi" w:hAnsiTheme="majorBidi" w:cstheme="majorBidi"/>
          <w:b/>
          <w:bCs/>
          <w:sz w:val="24"/>
          <w:szCs w:val="24"/>
          <w:lang w:val="en-GB"/>
        </w:rPr>
        <w:sectPr w:rsidR="00F87C41">
          <w:headerReference w:type="even" r:id="rId16"/>
          <w:headerReference w:type="default" r:id="rId17"/>
          <w:footerReference w:type="even" r:id="rId18"/>
          <w:footerReference w:type="default" r:id="rId19"/>
          <w:headerReference w:type="first" r:id="rId20"/>
          <w:footerReference w:type="first" r:id="rId21"/>
          <w:pgSz w:w="12240" w:h="15840"/>
          <w:pgMar w:top="1417" w:right="1417" w:bottom="1134" w:left="1417" w:header="708" w:footer="708" w:gutter="0"/>
          <w:cols w:space="708"/>
          <w:docGrid w:linePitch="360"/>
        </w:sectPr>
      </w:pPr>
    </w:p>
    <w:p w14:paraId="15A6449B" w14:textId="655424EA" w:rsidR="009A47BA" w:rsidRDefault="00A92C68" w:rsidP="00F87C41">
      <w:pPr>
        <w:spacing w:after="0" w:line="240" w:lineRule="auto"/>
        <w:rPr>
          <w:rFonts w:asciiTheme="majorBidi" w:hAnsiTheme="majorBidi" w:cstheme="majorBidi"/>
          <w:b/>
          <w:bCs/>
          <w:sz w:val="24"/>
          <w:szCs w:val="24"/>
          <w:lang w:val="en-GB"/>
        </w:rPr>
      </w:pPr>
      <w:r>
        <w:rPr>
          <w:rFonts w:asciiTheme="majorBidi" w:hAnsiTheme="majorBidi" w:cstheme="majorBidi"/>
          <w:b/>
          <w:bCs/>
          <w:sz w:val="24"/>
          <w:szCs w:val="24"/>
          <w:lang w:val="en-GB"/>
        </w:rPr>
        <w:t>S</w:t>
      </w:r>
      <w:r w:rsidR="00F87C41">
        <w:rPr>
          <w:rFonts w:asciiTheme="majorBidi" w:hAnsiTheme="majorBidi" w:cstheme="majorBidi"/>
          <w:b/>
          <w:bCs/>
          <w:sz w:val="24"/>
          <w:szCs w:val="24"/>
          <w:lang w:val="en-GB"/>
        </w:rPr>
        <w:t>5</w:t>
      </w:r>
      <w:r w:rsidR="009A47BA" w:rsidRPr="00537E5C">
        <w:rPr>
          <w:rFonts w:asciiTheme="majorBidi" w:hAnsiTheme="majorBidi" w:cstheme="majorBidi"/>
          <w:b/>
          <w:bCs/>
          <w:sz w:val="24"/>
          <w:szCs w:val="24"/>
          <w:lang w:val="en-GB"/>
        </w:rPr>
        <w:t xml:space="preserve"> </w:t>
      </w:r>
      <w:r w:rsidR="00CC1081">
        <w:rPr>
          <w:rFonts w:asciiTheme="majorBidi" w:hAnsiTheme="majorBidi" w:cstheme="majorBidi"/>
          <w:b/>
          <w:bCs/>
          <w:sz w:val="24"/>
          <w:szCs w:val="24"/>
          <w:lang w:val="en-GB"/>
        </w:rPr>
        <w:t>Inter-correlation between the field survey data</w:t>
      </w:r>
    </w:p>
    <w:p w14:paraId="65CE4D04" w14:textId="77777777" w:rsidR="00F87C41" w:rsidRPr="00537E5C" w:rsidRDefault="00F87C41" w:rsidP="00F87C41">
      <w:pPr>
        <w:spacing w:after="0" w:line="240" w:lineRule="auto"/>
        <w:rPr>
          <w:rFonts w:asciiTheme="majorBidi" w:hAnsiTheme="majorBidi" w:cstheme="majorBidi"/>
          <w:b/>
          <w:bCs/>
          <w:sz w:val="24"/>
          <w:szCs w:val="24"/>
          <w:lang w:val="en-GB"/>
        </w:rPr>
      </w:pPr>
    </w:p>
    <w:p w14:paraId="42A3D7C3" w14:textId="77777777" w:rsidR="00CC1081" w:rsidRDefault="00CC1081" w:rsidP="00F87C41">
      <w:pPr>
        <w:spacing w:after="0" w:line="240" w:lineRule="auto"/>
        <w:rPr>
          <w:rFonts w:asciiTheme="majorBidi" w:hAnsiTheme="majorBidi" w:cstheme="majorBidi"/>
          <w:bCs/>
          <w:color w:val="000000" w:themeColor="text1"/>
          <w:sz w:val="24"/>
          <w:szCs w:val="24"/>
          <w:lang w:val="en-GB"/>
        </w:rPr>
      </w:pPr>
      <w:r>
        <w:rPr>
          <w:rFonts w:asciiTheme="majorBidi" w:hAnsiTheme="majorBidi" w:cstheme="majorBidi"/>
          <w:bCs/>
          <w:noProof/>
          <w:color w:val="000000" w:themeColor="text1"/>
          <w:sz w:val="24"/>
          <w:szCs w:val="24"/>
        </w:rPr>
        <w:drawing>
          <wp:inline distT="0" distB="0" distL="0" distR="0" wp14:anchorId="5D3DB0C5" wp14:editId="28831516">
            <wp:extent cx="7804785" cy="5200421"/>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51588" cy="5231606"/>
                    </a:xfrm>
                    <a:prstGeom prst="rect">
                      <a:avLst/>
                    </a:prstGeom>
                    <a:noFill/>
                    <a:ln>
                      <a:noFill/>
                    </a:ln>
                  </pic:spPr>
                </pic:pic>
              </a:graphicData>
            </a:graphic>
          </wp:inline>
        </w:drawing>
      </w:r>
    </w:p>
    <w:p w14:paraId="1425DFE0" w14:textId="77777777" w:rsidR="00F87C41" w:rsidRDefault="00CC1081" w:rsidP="00F87C41">
      <w:pPr>
        <w:spacing w:after="0" w:line="240" w:lineRule="auto"/>
        <w:rPr>
          <w:rFonts w:asciiTheme="majorBidi" w:hAnsiTheme="majorBidi" w:cstheme="majorBidi"/>
          <w:sz w:val="24"/>
          <w:szCs w:val="24"/>
          <w:lang w:val="en-GB"/>
        </w:rPr>
        <w:sectPr w:rsidR="00F87C41" w:rsidSect="00F87C41">
          <w:pgSz w:w="15840" w:h="12240" w:orient="landscape"/>
          <w:pgMar w:top="1417" w:right="1134" w:bottom="1417" w:left="1417" w:header="708" w:footer="708" w:gutter="0"/>
          <w:cols w:space="708"/>
          <w:docGrid w:linePitch="360"/>
        </w:sectPr>
      </w:pPr>
      <w:r w:rsidRPr="00610F09">
        <w:rPr>
          <w:rFonts w:asciiTheme="majorBidi" w:hAnsiTheme="majorBidi" w:cstheme="majorBidi"/>
          <w:b/>
          <w:color w:val="A50021"/>
          <w:sz w:val="24"/>
          <w:szCs w:val="24"/>
          <w:lang w:val="en-GB"/>
        </w:rPr>
        <w:t>Figure S10.</w:t>
      </w:r>
      <w:r>
        <w:rPr>
          <w:rFonts w:asciiTheme="majorBidi" w:hAnsiTheme="majorBidi" w:cstheme="majorBidi"/>
          <w:sz w:val="24"/>
          <w:szCs w:val="24"/>
          <w:lang w:val="en-GB"/>
        </w:rPr>
        <w:t xml:space="preserve"> Matrix of spearman’s Rho (ρ) values shows the degree of correlation between the main average sorghum yield, socio-economic factors and field practices of farmers.  </w:t>
      </w:r>
      <w:r w:rsidRPr="00F30258">
        <w:rPr>
          <w:rFonts w:asciiTheme="majorBidi" w:hAnsiTheme="majorBidi" w:cstheme="majorBidi"/>
          <w:sz w:val="24"/>
          <w:szCs w:val="24"/>
          <w:lang w:val="en-GB"/>
        </w:rPr>
        <w:t xml:space="preserve"> </w:t>
      </w:r>
    </w:p>
    <w:p w14:paraId="0F197B76" w14:textId="2E259A27" w:rsidR="00C67CD6" w:rsidRPr="000E6F7C" w:rsidRDefault="000E6F7C" w:rsidP="00F87C41">
      <w:pPr>
        <w:spacing w:after="0" w:line="240" w:lineRule="auto"/>
        <w:rPr>
          <w:rFonts w:asciiTheme="majorBidi" w:hAnsiTheme="majorBidi" w:cstheme="majorBidi"/>
          <w:b/>
          <w:color w:val="000000" w:themeColor="text1"/>
          <w:sz w:val="24"/>
          <w:szCs w:val="24"/>
          <w:lang w:val="en-GB"/>
        </w:rPr>
      </w:pPr>
      <w:r w:rsidRPr="000E6F7C">
        <w:rPr>
          <w:rFonts w:asciiTheme="majorBidi" w:hAnsiTheme="majorBidi" w:cstheme="majorBidi"/>
          <w:b/>
          <w:color w:val="000000" w:themeColor="text1"/>
          <w:sz w:val="24"/>
          <w:szCs w:val="24"/>
          <w:lang w:val="en-GB"/>
        </w:rPr>
        <w:t>References</w:t>
      </w:r>
    </w:p>
    <w:p w14:paraId="4CCDFA57" w14:textId="6416D630" w:rsidR="00714D22" w:rsidRPr="0000421C" w:rsidRDefault="000E6F7C" w:rsidP="00F87C41">
      <w:pPr>
        <w:spacing w:after="0" w:line="240" w:lineRule="auto"/>
        <w:rPr>
          <w:rFonts w:asciiTheme="majorBidi" w:hAnsiTheme="majorBidi" w:cstheme="majorBidi"/>
          <w:sz w:val="24"/>
          <w:szCs w:val="24"/>
          <w:lang w:val="en-GB"/>
        </w:rPr>
      </w:pPr>
      <w:r w:rsidRPr="0000421C">
        <w:rPr>
          <w:rFonts w:asciiTheme="majorBidi" w:hAnsiTheme="majorBidi" w:cstheme="majorBidi"/>
          <w:sz w:val="24"/>
          <w:szCs w:val="24"/>
          <w:lang w:val="en-GB"/>
        </w:rPr>
        <w:fldChar w:fldCharType="begin" w:fldLock="1"/>
      </w:r>
      <w:r w:rsidRPr="0000421C">
        <w:rPr>
          <w:rFonts w:asciiTheme="majorBidi" w:hAnsiTheme="majorBidi" w:cstheme="majorBidi"/>
          <w:sz w:val="24"/>
          <w:szCs w:val="24"/>
          <w:lang w:val="en-GB"/>
        </w:rPr>
        <w:instrText xml:space="preserve">ADDIN Mendeley Bibliography CSL_BIBLIOGRAPHY </w:instrText>
      </w:r>
      <w:r w:rsidRPr="0000421C">
        <w:rPr>
          <w:rFonts w:asciiTheme="majorBidi" w:hAnsiTheme="majorBidi" w:cstheme="majorBidi"/>
          <w:sz w:val="24"/>
          <w:szCs w:val="24"/>
          <w:lang w:val="en-GB"/>
        </w:rPr>
        <w:fldChar w:fldCharType="separate"/>
      </w:r>
      <w:r w:rsidR="00714D22" w:rsidRPr="0000421C">
        <w:rPr>
          <w:rFonts w:asciiTheme="majorBidi" w:hAnsiTheme="majorBidi" w:cstheme="majorBidi"/>
          <w:sz w:val="24"/>
          <w:szCs w:val="24"/>
          <w:lang w:val="en-GB"/>
        </w:rPr>
        <w:t>Elshaikh, A., et al., 2018. Impacts of legal and institutional changes on irrigation management performance: A case of the Gezira Irrigation Scheme, Sudan. Water, 10 (11), 1579.</w:t>
      </w:r>
    </w:p>
    <w:p w14:paraId="1509A94F" w14:textId="77777777" w:rsidR="00714D22" w:rsidRPr="0000421C" w:rsidRDefault="00714D22" w:rsidP="00F87C41">
      <w:pPr>
        <w:spacing w:after="0" w:line="240" w:lineRule="auto"/>
        <w:rPr>
          <w:rFonts w:asciiTheme="majorBidi" w:hAnsiTheme="majorBidi" w:cstheme="majorBidi"/>
          <w:sz w:val="24"/>
          <w:szCs w:val="24"/>
          <w:lang w:val="en-GB"/>
        </w:rPr>
      </w:pPr>
      <w:r w:rsidRPr="0000421C">
        <w:rPr>
          <w:rFonts w:asciiTheme="majorBidi" w:hAnsiTheme="majorBidi" w:cstheme="majorBidi"/>
          <w:sz w:val="24"/>
          <w:szCs w:val="24"/>
          <w:lang w:val="en-GB"/>
        </w:rPr>
        <w:t>Ertsen, M., 2016. A Matter of relationships-actor-networks of colonial rule in the Gezira Irrigation System, Sudan. Water Alternatives, 9 (2), 203–221.</w:t>
      </w:r>
    </w:p>
    <w:p w14:paraId="2EB0FD0A" w14:textId="120C7E35" w:rsidR="00714D22" w:rsidRPr="0000421C" w:rsidRDefault="00714D22" w:rsidP="00F87C41">
      <w:pPr>
        <w:spacing w:after="0" w:line="240" w:lineRule="auto"/>
        <w:rPr>
          <w:rFonts w:asciiTheme="majorBidi" w:hAnsiTheme="majorBidi" w:cstheme="majorBidi"/>
          <w:sz w:val="24"/>
          <w:szCs w:val="24"/>
          <w:lang w:val="en-GB"/>
        </w:rPr>
      </w:pPr>
      <w:r w:rsidRPr="0000421C">
        <w:rPr>
          <w:rFonts w:asciiTheme="majorBidi" w:hAnsiTheme="majorBidi" w:cstheme="majorBidi"/>
          <w:sz w:val="24"/>
          <w:szCs w:val="24"/>
          <w:lang w:val="en-GB"/>
        </w:rPr>
        <w:t>Ishag, K., et al., 2007. Farm location and farmers’ performance on the Hamza minor canal. International Journal of Water Resources Development, 7 (1), 2–15.</w:t>
      </w:r>
    </w:p>
    <w:p w14:paraId="56E82B18" w14:textId="77777777" w:rsidR="00714D22" w:rsidRPr="0000421C" w:rsidRDefault="00714D22" w:rsidP="00F87C41">
      <w:pPr>
        <w:spacing w:after="0" w:line="240" w:lineRule="auto"/>
        <w:rPr>
          <w:rFonts w:asciiTheme="majorBidi" w:hAnsiTheme="majorBidi" w:cstheme="majorBidi"/>
          <w:sz w:val="24"/>
          <w:szCs w:val="24"/>
          <w:lang w:val="en-GB"/>
        </w:rPr>
      </w:pPr>
      <w:r w:rsidRPr="0000421C">
        <w:rPr>
          <w:rFonts w:asciiTheme="majorBidi" w:hAnsiTheme="majorBidi" w:cstheme="majorBidi"/>
          <w:sz w:val="24"/>
          <w:szCs w:val="24"/>
          <w:lang w:val="en-GB"/>
        </w:rPr>
        <w:t>Mahgoub, F., 2014. Current status of agriculture and future challenges in Sudan. Upsala.</w:t>
      </w:r>
    </w:p>
    <w:p w14:paraId="23CA15FB" w14:textId="77777777" w:rsidR="00714D22" w:rsidRPr="0000421C" w:rsidRDefault="00714D22" w:rsidP="00F87C41">
      <w:pPr>
        <w:spacing w:after="0" w:line="240" w:lineRule="auto"/>
        <w:rPr>
          <w:rFonts w:asciiTheme="majorBidi" w:hAnsiTheme="majorBidi" w:cstheme="majorBidi"/>
          <w:sz w:val="24"/>
          <w:szCs w:val="24"/>
          <w:lang w:val="en-GB"/>
        </w:rPr>
      </w:pPr>
      <w:r w:rsidRPr="0000421C">
        <w:rPr>
          <w:rFonts w:asciiTheme="majorBidi" w:hAnsiTheme="majorBidi" w:cstheme="majorBidi"/>
          <w:sz w:val="24"/>
          <w:szCs w:val="24"/>
          <w:lang w:val="en-GB"/>
        </w:rPr>
        <w:t>Woldegebriel, E., Smit, H., and Alex, B., 2012. Water distribution changes in Tuweir minor canal, Gezira Scheme. Nile Basin Water Science &amp; Engineering Journal, 5 (2), 11–22.</w:t>
      </w:r>
    </w:p>
    <w:p w14:paraId="1ABA04FE" w14:textId="77777777" w:rsidR="00714D22" w:rsidRPr="0000421C" w:rsidRDefault="00714D22" w:rsidP="00F87C41">
      <w:pPr>
        <w:spacing w:after="0" w:line="240" w:lineRule="auto"/>
        <w:rPr>
          <w:rFonts w:asciiTheme="majorBidi" w:hAnsiTheme="majorBidi" w:cstheme="majorBidi"/>
          <w:sz w:val="24"/>
          <w:szCs w:val="24"/>
          <w:lang w:val="en-GB"/>
        </w:rPr>
      </w:pPr>
      <w:r w:rsidRPr="0000421C">
        <w:rPr>
          <w:rFonts w:asciiTheme="majorBidi" w:hAnsiTheme="majorBidi" w:cstheme="majorBidi"/>
          <w:sz w:val="24"/>
          <w:szCs w:val="24"/>
          <w:lang w:val="en-GB"/>
        </w:rPr>
        <w:t>Al Zayed, I.S. and Elagib, N.A., 2017. Implications of non-sustainable agricultural water policies for the water-food nexus in large-scale irrigation systems: A remote sensing approach. Advances in Water Resources, 110, 408–422.</w:t>
      </w:r>
    </w:p>
    <w:p w14:paraId="7397971E" w14:textId="0E507B76" w:rsidR="000E6F7C" w:rsidRPr="00D85158" w:rsidRDefault="000E6F7C" w:rsidP="00F87C41">
      <w:pPr>
        <w:spacing w:after="0" w:line="240" w:lineRule="auto"/>
        <w:rPr>
          <w:rFonts w:asciiTheme="majorBidi" w:hAnsiTheme="majorBidi" w:cstheme="majorBidi"/>
          <w:bCs/>
          <w:color w:val="000000" w:themeColor="text1"/>
          <w:sz w:val="24"/>
          <w:szCs w:val="24"/>
          <w:lang w:val="en-GB"/>
        </w:rPr>
      </w:pPr>
      <w:r w:rsidRPr="0000421C">
        <w:rPr>
          <w:rFonts w:asciiTheme="majorBidi" w:hAnsiTheme="majorBidi" w:cstheme="majorBidi"/>
          <w:sz w:val="24"/>
          <w:szCs w:val="24"/>
          <w:lang w:val="en-GB"/>
        </w:rPr>
        <w:fldChar w:fldCharType="end"/>
      </w:r>
    </w:p>
    <w:sectPr w:rsidR="000E6F7C" w:rsidRPr="00D85158" w:rsidSect="00F87C41">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DA711C" w14:textId="77777777" w:rsidR="005C0BF1" w:rsidRDefault="005C0BF1" w:rsidP="00D3095E">
      <w:pPr>
        <w:spacing w:after="0" w:line="240" w:lineRule="auto"/>
      </w:pPr>
      <w:r>
        <w:separator/>
      </w:r>
    </w:p>
  </w:endnote>
  <w:endnote w:type="continuationSeparator" w:id="0">
    <w:p w14:paraId="1D123EEC" w14:textId="77777777" w:rsidR="005C0BF1" w:rsidRDefault="005C0BF1" w:rsidP="00D30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AB8FA" w14:textId="77777777" w:rsidR="00FE28FE" w:rsidRDefault="00FE28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C9454" w14:textId="107634BD" w:rsidR="00D3095E" w:rsidRDefault="00FE28FE">
    <w:pPr>
      <w:pStyle w:val="Footer"/>
      <w:jc w:val="right"/>
    </w:pPr>
    <w:r>
      <w:rPr>
        <w:noProof/>
      </w:rPr>
      <mc:AlternateContent>
        <mc:Choice Requires="wps">
          <w:drawing>
            <wp:anchor distT="0" distB="0" distL="114300" distR="114300" simplePos="0" relativeHeight="251659264" behindDoc="0" locked="0" layoutInCell="0" allowOverlap="1" wp14:anchorId="21D1E904" wp14:editId="53A5FBBF">
              <wp:simplePos x="0" y="0"/>
              <wp:positionH relativeFrom="page">
                <wp:align>left</wp:align>
              </wp:positionH>
              <wp:positionV relativeFrom="page">
                <wp:align>bottom</wp:align>
              </wp:positionV>
              <wp:extent cx="7772400" cy="457200"/>
              <wp:effectExtent l="0" t="0" r="0" b="0"/>
              <wp:wrapNone/>
              <wp:docPr id="9" name="MSIPCM81684728acdeabe8430a56d2" descr="{&quot;HashCode&quot;:156159341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5BEBBC" w14:textId="41622C78" w:rsidR="00FE28FE" w:rsidRPr="00FE28FE" w:rsidRDefault="00FE28FE" w:rsidP="00FE28FE">
                          <w:pPr>
                            <w:spacing w:after="0"/>
                            <w:rPr>
                              <w:rFonts w:ascii="Rockwell" w:hAnsi="Rockwell"/>
                              <w:color w:val="0078D7"/>
                              <w:sz w:val="18"/>
                            </w:rPr>
                          </w:pPr>
                          <w:r w:rsidRPr="00FE28FE">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1D1E904" id="_x0000_t202" coordsize="21600,21600" o:spt="202" path="m,l,21600r21600,l21600,xe">
              <v:stroke joinstyle="miter"/>
              <v:path gradientshapeok="t" o:connecttype="rect"/>
            </v:shapetype>
            <v:shape id="MSIPCM81684728acdeabe8430a56d2" o:spid="_x0000_s1026" type="#_x0000_t202" alt="{&quot;HashCode&quot;:1561593418,&quot;Height&quot;:9999999.0,&quot;Width&quot;:9999999.0,&quot;Placement&quot;:&quot;Footer&quot;,&quot;Index&quot;:&quot;Primary&quot;,&quot;Section&quot;:1,&quot;Top&quot;:0.0,&quot;Left&quot;:0.0}" style="position:absolute;left:0;text-align:left;margin-left:0;margin-top:0;width:612pt;height:36pt;z-index:25165926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" o:allowincell="f" filled="f" stroked="f" strokeweight=".5pt">
              <v:fill o:detectmouseclick="t"/>
              <v:textbox inset="20pt,0,,0">
                <w:txbxContent>
                  <w:p w14:paraId="6C5BEBBC" w14:textId="41622C78" w:rsidR="00FE28FE" w:rsidRPr="00FE28FE" w:rsidRDefault="00FE28FE" w:rsidP="00FE28FE">
                    <w:pPr>
                      <w:spacing w:after="0"/>
                      <w:rPr>
                        <w:rFonts w:ascii="Rockwell" w:hAnsi="Rockwell"/>
                        <w:color w:val="0078D7"/>
                        <w:sz w:val="18"/>
                      </w:rPr>
                    </w:pPr>
                    <w:r w:rsidRPr="00FE28FE">
                      <w:rPr>
                        <w:rFonts w:ascii="Rockwell" w:hAnsi="Rockwell"/>
                        <w:color w:val="0078D7"/>
                        <w:sz w:val="18"/>
                      </w:rPr>
                      <w:t>Information Classification: General</w:t>
                    </w:r>
                  </w:p>
                </w:txbxContent>
              </v:textbox>
              <w10:wrap anchorx="page" anchory="page"/>
            </v:shape>
          </w:pict>
        </mc:Fallback>
      </mc:AlternateContent>
    </w:r>
    <w:sdt>
      <w:sdtPr>
        <w:id w:val="1253818"/>
        <w:docPartObj>
          <w:docPartGallery w:val="Page Numbers (Bottom of Page)"/>
          <w:docPartUnique/>
        </w:docPartObj>
      </w:sdtPr>
      <w:sdtEndPr>
        <w:rPr>
          <w:noProof/>
        </w:rPr>
      </w:sdtEndPr>
      <w:sdtContent>
        <w:r w:rsidR="00D3095E">
          <w:fldChar w:fldCharType="begin"/>
        </w:r>
        <w:r w:rsidR="00D3095E">
          <w:instrText xml:space="preserve"> PAGE   \* MERGEFORMAT </w:instrText>
        </w:r>
        <w:r w:rsidR="00D3095E">
          <w:fldChar w:fldCharType="separate"/>
        </w:r>
        <w:r w:rsidR="00E22EAD">
          <w:rPr>
            <w:noProof/>
          </w:rPr>
          <w:t>1</w:t>
        </w:r>
        <w:r w:rsidR="00D3095E">
          <w:rPr>
            <w:noProof/>
          </w:rPr>
          <w:fldChar w:fldCharType="end"/>
        </w:r>
      </w:sdtContent>
    </w:sdt>
  </w:p>
  <w:p w14:paraId="48DEA2FA" w14:textId="77777777" w:rsidR="00D3095E" w:rsidRDefault="00D309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6FAAD" w14:textId="77777777" w:rsidR="00FE28FE" w:rsidRDefault="00FE28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0EF496" w14:textId="77777777" w:rsidR="005C0BF1" w:rsidRDefault="005C0BF1" w:rsidP="00D3095E">
      <w:pPr>
        <w:spacing w:after="0" w:line="240" w:lineRule="auto"/>
      </w:pPr>
      <w:r>
        <w:separator/>
      </w:r>
    </w:p>
  </w:footnote>
  <w:footnote w:type="continuationSeparator" w:id="0">
    <w:p w14:paraId="137F4419" w14:textId="77777777" w:rsidR="005C0BF1" w:rsidRDefault="005C0BF1" w:rsidP="00D309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2E4A7" w14:textId="77777777" w:rsidR="00FE28FE" w:rsidRDefault="00FE28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42B26" w14:textId="77777777" w:rsidR="00FE28FE" w:rsidRDefault="00FE28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97B5A" w14:textId="77777777" w:rsidR="00FE28FE" w:rsidRDefault="00FE28F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CD6"/>
    <w:rsid w:val="0000421C"/>
    <w:rsid w:val="00061664"/>
    <w:rsid w:val="0009079E"/>
    <w:rsid w:val="000A698E"/>
    <w:rsid w:val="000B1337"/>
    <w:rsid w:val="000E6F7C"/>
    <w:rsid w:val="001103E8"/>
    <w:rsid w:val="00151865"/>
    <w:rsid w:val="00161306"/>
    <w:rsid w:val="00181AA0"/>
    <w:rsid w:val="00182E84"/>
    <w:rsid w:val="001A1E04"/>
    <w:rsid w:val="001B3A45"/>
    <w:rsid w:val="001F6C11"/>
    <w:rsid w:val="0020040D"/>
    <w:rsid w:val="00200981"/>
    <w:rsid w:val="002403D1"/>
    <w:rsid w:val="002428CC"/>
    <w:rsid w:val="0028339C"/>
    <w:rsid w:val="00284AED"/>
    <w:rsid w:val="00291A26"/>
    <w:rsid w:val="002A56FE"/>
    <w:rsid w:val="002C13EF"/>
    <w:rsid w:val="002C3C02"/>
    <w:rsid w:val="002E6E1C"/>
    <w:rsid w:val="00310E68"/>
    <w:rsid w:val="00317239"/>
    <w:rsid w:val="00322F86"/>
    <w:rsid w:val="00377993"/>
    <w:rsid w:val="00380991"/>
    <w:rsid w:val="003B3F9B"/>
    <w:rsid w:val="003C3522"/>
    <w:rsid w:val="003C5BA1"/>
    <w:rsid w:val="003D71B4"/>
    <w:rsid w:val="003E1283"/>
    <w:rsid w:val="003F5FFF"/>
    <w:rsid w:val="003F75BD"/>
    <w:rsid w:val="004132C4"/>
    <w:rsid w:val="004244F8"/>
    <w:rsid w:val="00437FC1"/>
    <w:rsid w:val="004447CA"/>
    <w:rsid w:val="00454CA4"/>
    <w:rsid w:val="00464558"/>
    <w:rsid w:val="00466B8A"/>
    <w:rsid w:val="0047012F"/>
    <w:rsid w:val="00470AC0"/>
    <w:rsid w:val="0049294A"/>
    <w:rsid w:val="00496382"/>
    <w:rsid w:val="004967A8"/>
    <w:rsid w:val="004C4178"/>
    <w:rsid w:val="004D5738"/>
    <w:rsid w:val="004E70F6"/>
    <w:rsid w:val="004F0168"/>
    <w:rsid w:val="004F723F"/>
    <w:rsid w:val="0050171B"/>
    <w:rsid w:val="005229D9"/>
    <w:rsid w:val="00537E5C"/>
    <w:rsid w:val="00542051"/>
    <w:rsid w:val="005744A4"/>
    <w:rsid w:val="00585892"/>
    <w:rsid w:val="0059088F"/>
    <w:rsid w:val="005A2797"/>
    <w:rsid w:val="005C0BF1"/>
    <w:rsid w:val="005C63A8"/>
    <w:rsid w:val="005E06D7"/>
    <w:rsid w:val="00610F09"/>
    <w:rsid w:val="00624C55"/>
    <w:rsid w:val="00654610"/>
    <w:rsid w:val="00670C9B"/>
    <w:rsid w:val="00690B42"/>
    <w:rsid w:val="006A4D2F"/>
    <w:rsid w:val="006C2176"/>
    <w:rsid w:val="006C43FB"/>
    <w:rsid w:val="006D3134"/>
    <w:rsid w:val="0071384C"/>
    <w:rsid w:val="00714D22"/>
    <w:rsid w:val="007156D3"/>
    <w:rsid w:val="00716296"/>
    <w:rsid w:val="00732498"/>
    <w:rsid w:val="00757736"/>
    <w:rsid w:val="007665CD"/>
    <w:rsid w:val="00786F60"/>
    <w:rsid w:val="007B23BE"/>
    <w:rsid w:val="007E1ABC"/>
    <w:rsid w:val="00804E9E"/>
    <w:rsid w:val="008319BC"/>
    <w:rsid w:val="008325B2"/>
    <w:rsid w:val="008837B5"/>
    <w:rsid w:val="008C45E4"/>
    <w:rsid w:val="008D01CD"/>
    <w:rsid w:val="00922A55"/>
    <w:rsid w:val="009346B4"/>
    <w:rsid w:val="00946D49"/>
    <w:rsid w:val="009616D5"/>
    <w:rsid w:val="0096365F"/>
    <w:rsid w:val="00977085"/>
    <w:rsid w:val="009A47BA"/>
    <w:rsid w:val="009D1AB6"/>
    <w:rsid w:val="009D4B67"/>
    <w:rsid w:val="00A27E40"/>
    <w:rsid w:val="00A36C63"/>
    <w:rsid w:val="00A44C46"/>
    <w:rsid w:val="00A640D8"/>
    <w:rsid w:val="00A71D17"/>
    <w:rsid w:val="00A92C68"/>
    <w:rsid w:val="00A93B7B"/>
    <w:rsid w:val="00AE537C"/>
    <w:rsid w:val="00AF2367"/>
    <w:rsid w:val="00B26A94"/>
    <w:rsid w:val="00B32841"/>
    <w:rsid w:val="00BA2158"/>
    <w:rsid w:val="00C10E74"/>
    <w:rsid w:val="00C279FC"/>
    <w:rsid w:val="00C421C4"/>
    <w:rsid w:val="00C67CD6"/>
    <w:rsid w:val="00C710DA"/>
    <w:rsid w:val="00CC1081"/>
    <w:rsid w:val="00CD5968"/>
    <w:rsid w:val="00CF18D7"/>
    <w:rsid w:val="00D23E17"/>
    <w:rsid w:val="00D3095E"/>
    <w:rsid w:val="00D71341"/>
    <w:rsid w:val="00D739E9"/>
    <w:rsid w:val="00D85158"/>
    <w:rsid w:val="00D97ED2"/>
    <w:rsid w:val="00DA27CC"/>
    <w:rsid w:val="00DC547B"/>
    <w:rsid w:val="00DE144B"/>
    <w:rsid w:val="00E04D06"/>
    <w:rsid w:val="00E22EAD"/>
    <w:rsid w:val="00E45156"/>
    <w:rsid w:val="00E60B59"/>
    <w:rsid w:val="00E71C80"/>
    <w:rsid w:val="00E824C5"/>
    <w:rsid w:val="00EC7221"/>
    <w:rsid w:val="00EE7F4F"/>
    <w:rsid w:val="00F428CA"/>
    <w:rsid w:val="00F87C41"/>
    <w:rsid w:val="00FB20DB"/>
    <w:rsid w:val="00FD0324"/>
    <w:rsid w:val="00FE28FE"/>
    <w:rsid w:val="00FF5C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F69652"/>
  <w15:docId w15:val="{5D76D545-D055-46AC-B344-F7CBAD4CC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77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736"/>
    <w:rPr>
      <w:rFonts w:ascii="Tahoma" w:hAnsi="Tahoma" w:cs="Tahoma"/>
      <w:sz w:val="16"/>
      <w:szCs w:val="16"/>
    </w:rPr>
  </w:style>
  <w:style w:type="paragraph" w:styleId="NoSpacing">
    <w:name w:val="No Spacing"/>
    <w:link w:val="NoSpacingChar"/>
    <w:uiPriority w:val="1"/>
    <w:qFormat/>
    <w:rsid w:val="00D23E17"/>
    <w:pPr>
      <w:spacing w:after="0" w:line="240" w:lineRule="auto"/>
    </w:pPr>
    <w:rPr>
      <w:rFonts w:eastAsiaTheme="minorEastAsia"/>
      <w:lang w:eastAsia="de-DE"/>
    </w:rPr>
  </w:style>
  <w:style w:type="character" w:customStyle="1" w:styleId="NoSpacingChar">
    <w:name w:val="No Spacing Char"/>
    <w:basedOn w:val="DefaultParagraphFont"/>
    <w:link w:val="NoSpacing"/>
    <w:uiPriority w:val="1"/>
    <w:rsid w:val="00D23E17"/>
    <w:rPr>
      <w:rFonts w:eastAsiaTheme="minorEastAsia"/>
      <w:lang w:eastAsia="de-DE"/>
    </w:rPr>
  </w:style>
  <w:style w:type="character" w:styleId="Hyperlink">
    <w:name w:val="Hyperlink"/>
    <w:basedOn w:val="DefaultParagraphFont"/>
    <w:uiPriority w:val="99"/>
    <w:unhideWhenUsed/>
    <w:rsid w:val="00D23E17"/>
    <w:rPr>
      <w:color w:val="0563C1" w:themeColor="hyperlink"/>
      <w:u w:val="single"/>
    </w:rPr>
  </w:style>
  <w:style w:type="character" w:styleId="CommentReference">
    <w:name w:val="annotation reference"/>
    <w:basedOn w:val="DefaultParagraphFont"/>
    <w:uiPriority w:val="99"/>
    <w:semiHidden/>
    <w:unhideWhenUsed/>
    <w:rsid w:val="00464558"/>
    <w:rPr>
      <w:sz w:val="16"/>
      <w:szCs w:val="16"/>
    </w:rPr>
  </w:style>
  <w:style w:type="paragraph" w:styleId="CommentText">
    <w:name w:val="annotation text"/>
    <w:basedOn w:val="Normal"/>
    <w:link w:val="CommentTextChar"/>
    <w:uiPriority w:val="99"/>
    <w:unhideWhenUsed/>
    <w:rsid w:val="00464558"/>
    <w:pPr>
      <w:spacing w:line="240" w:lineRule="auto"/>
    </w:pPr>
    <w:rPr>
      <w:sz w:val="20"/>
      <w:szCs w:val="20"/>
    </w:rPr>
  </w:style>
  <w:style w:type="character" w:customStyle="1" w:styleId="CommentTextChar">
    <w:name w:val="Comment Text Char"/>
    <w:basedOn w:val="DefaultParagraphFont"/>
    <w:link w:val="CommentText"/>
    <w:uiPriority w:val="99"/>
    <w:rsid w:val="00464558"/>
    <w:rPr>
      <w:sz w:val="20"/>
      <w:szCs w:val="20"/>
    </w:rPr>
  </w:style>
  <w:style w:type="paragraph" w:styleId="CommentSubject">
    <w:name w:val="annotation subject"/>
    <w:basedOn w:val="CommentText"/>
    <w:next w:val="CommentText"/>
    <w:link w:val="CommentSubjectChar"/>
    <w:uiPriority w:val="99"/>
    <w:semiHidden/>
    <w:unhideWhenUsed/>
    <w:rsid w:val="00464558"/>
    <w:rPr>
      <w:b/>
      <w:bCs/>
    </w:rPr>
  </w:style>
  <w:style w:type="character" w:customStyle="1" w:styleId="CommentSubjectChar">
    <w:name w:val="Comment Subject Char"/>
    <w:basedOn w:val="CommentTextChar"/>
    <w:link w:val="CommentSubject"/>
    <w:uiPriority w:val="99"/>
    <w:semiHidden/>
    <w:rsid w:val="00464558"/>
    <w:rPr>
      <w:b/>
      <w:bCs/>
      <w:sz w:val="20"/>
      <w:szCs w:val="20"/>
    </w:rPr>
  </w:style>
  <w:style w:type="paragraph" w:styleId="Header">
    <w:name w:val="header"/>
    <w:basedOn w:val="Normal"/>
    <w:link w:val="HeaderChar"/>
    <w:uiPriority w:val="99"/>
    <w:unhideWhenUsed/>
    <w:rsid w:val="00D3095E"/>
    <w:pPr>
      <w:tabs>
        <w:tab w:val="center" w:pos="4703"/>
        <w:tab w:val="right" w:pos="9406"/>
      </w:tabs>
      <w:spacing w:after="0" w:line="240" w:lineRule="auto"/>
    </w:pPr>
  </w:style>
  <w:style w:type="character" w:customStyle="1" w:styleId="HeaderChar">
    <w:name w:val="Header Char"/>
    <w:basedOn w:val="DefaultParagraphFont"/>
    <w:link w:val="Header"/>
    <w:uiPriority w:val="99"/>
    <w:rsid w:val="00D3095E"/>
  </w:style>
  <w:style w:type="paragraph" w:styleId="Footer">
    <w:name w:val="footer"/>
    <w:basedOn w:val="Normal"/>
    <w:link w:val="FooterChar"/>
    <w:uiPriority w:val="99"/>
    <w:unhideWhenUsed/>
    <w:rsid w:val="00D3095E"/>
    <w:pPr>
      <w:tabs>
        <w:tab w:val="center" w:pos="4703"/>
        <w:tab w:val="right" w:pos="9406"/>
      </w:tabs>
      <w:spacing w:after="0" w:line="240" w:lineRule="auto"/>
    </w:pPr>
  </w:style>
  <w:style w:type="character" w:customStyle="1" w:styleId="FooterChar">
    <w:name w:val="Footer Char"/>
    <w:basedOn w:val="DefaultParagraphFont"/>
    <w:link w:val="Footer"/>
    <w:uiPriority w:val="99"/>
    <w:rsid w:val="00D309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B9BA4-C9D3-4395-8A63-520F5272A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3129</Words>
  <Characters>17840</Characters>
  <Application>Microsoft Office Word</Application>
  <DocSecurity>4</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Khalifa</dc:creator>
  <cp:lastModifiedBy>Barry, Shelley</cp:lastModifiedBy>
  <cp:revision>2</cp:revision>
  <cp:lastPrinted>2019-01-15T09:49:00Z</cp:lastPrinted>
  <dcterms:created xsi:type="dcterms:W3CDTF">2019-10-31T09:28:00Z</dcterms:created>
  <dcterms:modified xsi:type="dcterms:W3CDTF">2019-10-31T09:28:00Z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http://www.zotero.org/styles/science-of-the-total-environment</vt:lpwstr>
  </property>
  <property fmtid="{D5CDD505-2E9C-101B-9397-08002B2CF9AE}" pid="19" name="Mendeley Recent Style Name 8_1">
    <vt:lpwstr>Science of the Total Environment</vt:lpwstr>
  </property>
  <property fmtid="{D5CDD505-2E9C-101B-9397-08002B2CF9AE}" pid="20" name="Mendeley Recent Style Id 9_1">
    <vt:lpwstr>http://www.zotero.org/styles/taylor-and-francis-harvard-v</vt:lpwstr>
  </property>
  <property fmtid="{D5CDD505-2E9C-101B-9397-08002B2CF9AE}" pid="21" name="Mendeley Recent Style Name 9_1">
    <vt:lpwstr>Taylor &amp; Francis - Harvard V</vt:lpwstr>
  </property>
  <property fmtid="{D5CDD505-2E9C-101B-9397-08002B2CF9AE}" pid="22" name="Mendeley Document_1">
    <vt:lpwstr>True</vt:lpwstr>
  </property>
  <property fmtid="{D5CDD505-2E9C-101B-9397-08002B2CF9AE}" pid="23" name="Mendeley Unique User Id_1">
    <vt:lpwstr>953931fc-8428-3f87-99f0-eb42b84f25b1</vt:lpwstr>
  </property>
  <property fmtid="{D5CDD505-2E9C-101B-9397-08002B2CF9AE}" pid="24" name="Mendeley Citation Style_1">
    <vt:lpwstr>http://www.zotero.org/styles/taylor-and-francis-harvard-v</vt:lpwstr>
  </property>
  <property fmtid="{D5CDD505-2E9C-101B-9397-08002B2CF9AE}" pid="25" name="MSIP_Label_181c070e-054b-4d1c-ba4c-fc70b099192e_Enabled">
    <vt:lpwstr>True</vt:lpwstr>
  </property>
  <property fmtid="{D5CDD505-2E9C-101B-9397-08002B2CF9AE}" pid="26" name="MSIP_Label_181c070e-054b-4d1c-ba4c-fc70b099192e_SiteId">
    <vt:lpwstr>2567d566-604c-408a-8a60-55d0dc9d9d6b</vt:lpwstr>
  </property>
  <property fmtid="{D5CDD505-2E9C-101B-9397-08002B2CF9AE}" pid="27" name="MSIP_Label_181c070e-054b-4d1c-ba4c-fc70b099192e_Owner">
    <vt:lpwstr>Shelley.Barry@informa.com</vt:lpwstr>
  </property>
  <property fmtid="{D5CDD505-2E9C-101B-9397-08002B2CF9AE}" pid="28" name="MSIP_Label_181c070e-054b-4d1c-ba4c-fc70b099192e_SetDate">
    <vt:lpwstr>2019-10-31T09:27:39.4633911Z</vt:lpwstr>
  </property>
  <property fmtid="{D5CDD505-2E9C-101B-9397-08002B2CF9AE}" pid="29" name="MSIP_Label_181c070e-054b-4d1c-ba4c-fc70b099192e_Name">
    <vt:lpwstr>General</vt:lpwstr>
  </property>
  <property fmtid="{D5CDD505-2E9C-101B-9397-08002B2CF9AE}" pid="30" name="MSIP_Label_181c070e-054b-4d1c-ba4c-fc70b099192e_Application">
    <vt:lpwstr>Microsoft Azure Information Protection</vt:lpwstr>
  </property>
  <property fmtid="{D5CDD505-2E9C-101B-9397-08002B2CF9AE}" pid="31" name="MSIP_Label_181c070e-054b-4d1c-ba4c-fc70b099192e_ActionId">
    <vt:lpwstr>fe3d536b-47c5-483b-9f8f-e9c262e9f8d9</vt:lpwstr>
  </property>
  <property fmtid="{D5CDD505-2E9C-101B-9397-08002B2CF9AE}" pid="32" name="MSIP_Label_181c070e-054b-4d1c-ba4c-fc70b099192e_Extended_MSFT_Method">
    <vt:lpwstr>Automatic</vt:lpwstr>
  </property>
  <property fmtid="{D5CDD505-2E9C-101B-9397-08002B2CF9AE}" pid="33" name="MSIP_Label_2bbab825-a111-45e4-86a1-18cee0005896_Enabled">
    <vt:lpwstr>True</vt:lpwstr>
  </property>
  <property fmtid="{D5CDD505-2E9C-101B-9397-08002B2CF9AE}" pid="34" name="MSIP_Label_2bbab825-a111-45e4-86a1-18cee0005896_SiteId">
    <vt:lpwstr>2567d566-604c-408a-8a60-55d0dc9d9d6b</vt:lpwstr>
  </property>
  <property fmtid="{D5CDD505-2E9C-101B-9397-08002B2CF9AE}" pid="35" name="MSIP_Label_2bbab825-a111-45e4-86a1-18cee0005896_Owner">
    <vt:lpwstr>Shelley.Barry@informa.com</vt:lpwstr>
  </property>
  <property fmtid="{D5CDD505-2E9C-101B-9397-08002B2CF9AE}" pid="36" name="MSIP_Label_2bbab825-a111-45e4-86a1-18cee0005896_SetDate">
    <vt:lpwstr>2019-10-31T09:27:39.4633911Z</vt:lpwstr>
  </property>
  <property fmtid="{D5CDD505-2E9C-101B-9397-08002B2CF9AE}" pid="37" name="MSIP_Label_2bbab825-a111-45e4-86a1-18cee0005896_Name">
    <vt:lpwstr>Un-restricted</vt:lpwstr>
  </property>
  <property fmtid="{D5CDD505-2E9C-101B-9397-08002B2CF9AE}" pid="38" name="MSIP_Label_2bbab825-a111-45e4-86a1-18cee0005896_Application">
    <vt:lpwstr>Microsoft Azure Information Protection</vt:lpwstr>
  </property>
  <property fmtid="{D5CDD505-2E9C-101B-9397-08002B2CF9AE}" pid="39" name="MSIP_Label_2bbab825-a111-45e4-86a1-18cee0005896_ActionId">
    <vt:lpwstr>fe3d536b-47c5-483b-9f8f-e9c262e9f8d9</vt:lpwstr>
  </property>
  <property fmtid="{D5CDD505-2E9C-101B-9397-08002B2CF9AE}" pid="40" name="MSIP_Label_2bbab825-a111-45e4-86a1-18cee0005896_Parent">
    <vt:lpwstr>181c070e-054b-4d1c-ba4c-fc70b099192e</vt:lpwstr>
  </property>
  <property fmtid="{D5CDD505-2E9C-101B-9397-08002B2CF9AE}" pid="41" name="MSIP_Label_2bbab825-a111-45e4-86a1-18cee0005896_Extended_MSFT_Method">
    <vt:lpwstr>Automatic</vt:lpwstr>
  </property>
  <property fmtid="{D5CDD505-2E9C-101B-9397-08002B2CF9AE}" pid="42" name="Sensitivity">
    <vt:lpwstr>General Un-restricted</vt:lpwstr>
  </property>
</Properties>
</file>