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E7" w:rsidRDefault="003C1BE7" w:rsidP="003C1BE7">
      <w:pPr>
        <w:rPr>
          <w:b/>
          <w:sz w:val="24"/>
        </w:rPr>
      </w:pPr>
      <w:bookmarkStart w:id="0" w:name="_GoBack"/>
      <w:bookmarkEnd w:id="0"/>
      <w:r>
        <w:rPr>
          <w:b/>
          <w:sz w:val="24"/>
        </w:rPr>
        <w:t>Supplementary Figures</w:t>
      </w:r>
    </w:p>
    <w:p w:rsidR="003C1BE7" w:rsidRDefault="003C1BE7" w:rsidP="003C1BE7">
      <w:pPr>
        <w:rPr>
          <w:b/>
          <w:sz w:val="24"/>
        </w:rPr>
      </w:pPr>
    </w:p>
    <w:p w:rsidR="003C1BE7" w:rsidRDefault="003C1BE7" w:rsidP="003C1BE7">
      <w:pPr>
        <w:spacing w:after="0" w:line="480" w:lineRule="auto"/>
        <w:jc w:val="center"/>
      </w:pPr>
      <w:r>
        <w:rPr>
          <w:noProof/>
          <w:lang w:val="en-SG"/>
        </w:rPr>
        <w:drawing>
          <wp:inline distT="0" distB="0" distL="0" distR="0" wp14:anchorId="6FD35448" wp14:editId="19553DE1">
            <wp:extent cx="3444240" cy="537827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for soli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1806" cy="5374475"/>
                    </a:xfrm>
                    <a:prstGeom prst="rect">
                      <a:avLst/>
                    </a:prstGeom>
                  </pic:spPr>
                </pic:pic>
              </a:graphicData>
            </a:graphic>
          </wp:inline>
        </w:drawing>
      </w:r>
    </w:p>
    <w:p w:rsidR="003C1BE7" w:rsidRDefault="003C1BE7" w:rsidP="003C1BE7">
      <w:pPr>
        <w:jc w:val="both"/>
      </w:pPr>
      <w:r>
        <w:t>Suppl. Fig. 1 Simulation of 372 alveoli in the acinus. 10,000 particles of size 500 nm with a magnetic saturation of 28 emu/g were introduced into the acinar model with a breathing cycle and subjected to different force ratios (magnetic force against gravitation force) of 1, 5, 10, 100, and 1000. As the magnetic component in the force ratio increase, the deposition amount also increases but reduces the dispersion.</w:t>
      </w:r>
    </w:p>
    <w:p w:rsidR="003C1BE7" w:rsidRPr="002F0C34" w:rsidRDefault="003C1BE7" w:rsidP="003C1BE7">
      <w:pPr>
        <w:rPr>
          <w:rFonts w:eastAsia="MS Mincho"/>
          <w:lang w:eastAsia="ja-JP"/>
        </w:rPr>
      </w:pPr>
    </w:p>
    <w:p w:rsidR="003C1BE7" w:rsidRDefault="003C1BE7" w:rsidP="003C1BE7">
      <w:pPr>
        <w:jc w:val="center"/>
        <w:rPr>
          <w:b/>
        </w:rPr>
      </w:pPr>
      <w:r>
        <w:rPr>
          <w:b/>
          <w:noProof/>
          <w:lang w:val="en-SG"/>
        </w:rPr>
        <w:lastRenderedPageBreak/>
        <w:drawing>
          <wp:inline distT="0" distB="0" distL="0" distR="0" wp14:anchorId="76338D9E" wp14:editId="32CCDF09">
            <wp:extent cx="5166360" cy="36087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66360" cy="3608724"/>
                    </a:xfrm>
                    <a:prstGeom prst="rect">
                      <a:avLst/>
                    </a:prstGeom>
                  </pic:spPr>
                </pic:pic>
              </a:graphicData>
            </a:graphic>
          </wp:inline>
        </w:drawing>
      </w:r>
    </w:p>
    <w:p w:rsidR="003C1BE7" w:rsidRDefault="003C1BE7" w:rsidP="003C1BE7">
      <w:pPr>
        <w:jc w:val="both"/>
      </w:pPr>
      <w:r>
        <w:t>Suppl. Fig. 2 A549 c</w:t>
      </w:r>
      <w:r w:rsidRPr="00193BBB">
        <w:t xml:space="preserve">ell </w:t>
      </w:r>
      <w:r>
        <w:t>v</w:t>
      </w:r>
      <w:r w:rsidRPr="00193BBB">
        <w:t>iability</w:t>
      </w:r>
      <w:r>
        <w:t xml:space="preserve"> measured by </w:t>
      </w:r>
      <w:proofErr w:type="spellStart"/>
      <w:r>
        <w:t>Prestoblue</w:t>
      </w:r>
      <w:proofErr w:type="spellEnd"/>
      <w:r>
        <w:t xml:space="preserve"> assay against (A) drug carrier (DC) without SPIOs at 24, 48, and 72h, (B) drug carrier with SPIOs.</w:t>
      </w:r>
    </w:p>
    <w:p w:rsidR="003C1BE7" w:rsidRDefault="003C1BE7" w:rsidP="003C1BE7">
      <w:pPr>
        <w:jc w:val="both"/>
      </w:pPr>
    </w:p>
    <w:p w:rsidR="003C1BE7" w:rsidRDefault="003C1BE7" w:rsidP="003C1BE7">
      <w:pPr>
        <w:jc w:val="center"/>
        <w:rPr>
          <w:rFonts w:eastAsia="MS Mincho"/>
          <w:lang w:eastAsia="ja-JP"/>
        </w:rPr>
      </w:pPr>
      <w:r>
        <w:rPr>
          <w:rFonts w:eastAsia="MS Mincho"/>
          <w:noProof/>
          <w:lang w:val="en-SG"/>
        </w:rPr>
        <w:lastRenderedPageBreak/>
        <w:drawing>
          <wp:inline distT="0" distB="0" distL="0" distR="0" wp14:anchorId="789520D3" wp14:editId="0C194693">
            <wp:extent cx="3581400" cy="4509224"/>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CRP.jpg"/>
                    <pic:cNvPicPr/>
                  </pic:nvPicPr>
                  <pic:blipFill>
                    <a:blip r:embed="rId7">
                      <a:extLst>
                        <a:ext uri="{28A0092B-C50C-407E-A947-70E740481C1C}">
                          <a14:useLocalDpi xmlns:a14="http://schemas.microsoft.com/office/drawing/2010/main" val="0"/>
                        </a:ext>
                      </a:extLst>
                    </a:blip>
                    <a:stretch>
                      <a:fillRect/>
                    </a:stretch>
                  </pic:blipFill>
                  <pic:spPr>
                    <a:xfrm>
                      <a:off x="0" y="0"/>
                      <a:ext cx="3583398" cy="4511740"/>
                    </a:xfrm>
                    <a:prstGeom prst="rect">
                      <a:avLst/>
                    </a:prstGeom>
                  </pic:spPr>
                </pic:pic>
              </a:graphicData>
            </a:graphic>
          </wp:inline>
        </w:drawing>
      </w:r>
    </w:p>
    <w:p w:rsidR="003C1BE7" w:rsidRPr="00CA2D59" w:rsidRDefault="003C1BE7" w:rsidP="003C1BE7">
      <w:pPr>
        <w:jc w:val="center"/>
        <w:rPr>
          <w:rFonts w:eastAsia="MS Mincho"/>
          <w:lang w:eastAsia="ja-JP"/>
        </w:rPr>
      </w:pPr>
      <w:r>
        <w:rPr>
          <w:rFonts w:eastAsia="MS Mincho"/>
          <w:lang w:eastAsia="ja-JP"/>
        </w:rPr>
        <w:t>Suppl. Fig. 3 ICRP deposition statistics.</w:t>
      </w:r>
    </w:p>
    <w:p w:rsidR="003C1BE7" w:rsidRDefault="003C1BE7" w:rsidP="003C1BE7">
      <w:pPr>
        <w:jc w:val="both"/>
      </w:pPr>
      <w:r>
        <w:t xml:space="preserve"> </w:t>
      </w:r>
    </w:p>
    <w:p w:rsidR="003C1BE7" w:rsidRPr="003C1BE7" w:rsidRDefault="003C1BE7"/>
    <w:sectPr w:rsidR="003C1BE7" w:rsidRPr="003C1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E7"/>
    <w:rsid w:val="00190394"/>
    <w:rsid w:val="002B6574"/>
    <w:rsid w:val="00307483"/>
    <w:rsid w:val="003C1BE7"/>
    <w:rsid w:val="003C2962"/>
    <w:rsid w:val="00504BBB"/>
    <w:rsid w:val="00725E6E"/>
    <w:rsid w:val="00D40C1F"/>
    <w:rsid w:val="00D77F29"/>
    <w:rsid w:val="00DC5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POH KWOK CHOON#</dc:creator>
  <cp:keywords/>
  <dc:description/>
  <cp:lastModifiedBy>Wilson Poh</cp:lastModifiedBy>
  <cp:revision>7</cp:revision>
  <dcterms:created xsi:type="dcterms:W3CDTF">2019-05-14T04:56:00Z</dcterms:created>
  <dcterms:modified xsi:type="dcterms:W3CDTF">2019-08-01T11:37:00Z</dcterms:modified>
</cp:coreProperties>
</file>