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F27" w:rsidRDefault="00522F27" w:rsidP="00522F27">
      <w:pPr>
        <w:spacing w:after="0" w:line="240" w:lineRule="auto"/>
        <w:jc w:val="center"/>
        <w:rPr>
          <w:rFonts w:ascii="Times New Roman" w:hAnsi="Times New Roman" w:cs="Times New Roman"/>
          <w:b/>
          <w:szCs w:val="18"/>
        </w:rPr>
      </w:pPr>
    </w:p>
    <w:p w:rsidR="00522F27" w:rsidRDefault="00522F27" w:rsidP="00522F27">
      <w:pPr>
        <w:spacing w:after="0" w:line="240" w:lineRule="auto"/>
        <w:jc w:val="center"/>
        <w:rPr>
          <w:rFonts w:ascii="Times New Roman" w:hAnsi="Times New Roman" w:cs="Times New Roman"/>
          <w:b/>
          <w:szCs w:val="18"/>
        </w:rPr>
      </w:pPr>
    </w:p>
    <w:p w:rsidR="00522F27" w:rsidRDefault="00522F27" w:rsidP="00522F27">
      <w:pPr>
        <w:spacing w:after="0" w:line="240" w:lineRule="auto"/>
        <w:jc w:val="center"/>
        <w:rPr>
          <w:rFonts w:ascii="Times New Roman" w:hAnsi="Times New Roman" w:cs="Times New Roman"/>
          <w:b/>
          <w:szCs w:val="18"/>
        </w:rPr>
      </w:pPr>
    </w:p>
    <w:p w:rsidR="00522F27" w:rsidRDefault="00522F27" w:rsidP="00522F27">
      <w:pPr>
        <w:spacing w:after="0" w:line="240" w:lineRule="auto"/>
        <w:jc w:val="center"/>
        <w:rPr>
          <w:rFonts w:ascii="Times New Roman" w:hAnsi="Times New Roman" w:cs="Times New Roman"/>
          <w:b/>
          <w:szCs w:val="18"/>
        </w:rPr>
      </w:pPr>
    </w:p>
    <w:p w:rsidR="00522F27" w:rsidRDefault="00522F27" w:rsidP="00522F27">
      <w:pPr>
        <w:spacing w:after="0" w:line="240" w:lineRule="auto"/>
        <w:jc w:val="center"/>
        <w:rPr>
          <w:rFonts w:ascii="Times New Roman" w:hAnsi="Times New Roman" w:cs="Times New Roman"/>
          <w:b/>
          <w:szCs w:val="18"/>
        </w:rPr>
      </w:pPr>
    </w:p>
    <w:p w:rsidR="00522F27" w:rsidRDefault="00522F27" w:rsidP="00522F27">
      <w:pPr>
        <w:spacing w:after="0" w:line="240" w:lineRule="auto"/>
        <w:jc w:val="center"/>
        <w:rPr>
          <w:rFonts w:ascii="Times New Roman" w:hAnsi="Times New Roman" w:cs="Times New Roman"/>
          <w:b/>
          <w:szCs w:val="18"/>
        </w:rPr>
      </w:pPr>
    </w:p>
    <w:p w:rsidR="00522F27" w:rsidRDefault="00522F27" w:rsidP="00522F27">
      <w:pPr>
        <w:spacing w:after="0" w:line="240" w:lineRule="auto"/>
        <w:jc w:val="center"/>
        <w:rPr>
          <w:rFonts w:ascii="Times New Roman" w:hAnsi="Times New Roman" w:cs="Times New Roman"/>
          <w:b/>
          <w:szCs w:val="18"/>
        </w:rPr>
      </w:pPr>
    </w:p>
    <w:p w:rsidR="00522F27" w:rsidRDefault="00522F27" w:rsidP="00522F27">
      <w:pPr>
        <w:spacing w:after="0" w:line="240" w:lineRule="auto"/>
        <w:jc w:val="center"/>
        <w:rPr>
          <w:rFonts w:ascii="Times New Roman" w:hAnsi="Times New Roman" w:cs="Times New Roman"/>
          <w:b/>
          <w:szCs w:val="18"/>
        </w:rPr>
      </w:pPr>
    </w:p>
    <w:p w:rsidR="00522F27" w:rsidRDefault="00522F27" w:rsidP="00522F27">
      <w:pPr>
        <w:spacing w:after="0" w:line="240" w:lineRule="auto"/>
        <w:jc w:val="center"/>
        <w:rPr>
          <w:rFonts w:ascii="Times New Roman" w:hAnsi="Times New Roman" w:cs="Times New Roman"/>
          <w:b/>
          <w:szCs w:val="18"/>
        </w:rPr>
      </w:pPr>
    </w:p>
    <w:p w:rsidR="00522F27" w:rsidRDefault="00522F27" w:rsidP="00522F27">
      <w:pPr>
        <w:spacing w:after="0" w:line="240" w:lineRule="auto"/>
        <w:jc w:val="center"/>
        <w:rPr>
          <w:rFonts w:ascii="Times New Roman" w:hAnsi="Times New Roman" w:cs="Times New Roman"/>
          <w:b/>
          <w:szCs w:val="18"/>
        </w:rPr>
      </w:pPr>
      <w:r>
        <w:rPr>
          <w:rFonts w:ascii="Times New Roman" w:hAnsi="Times New Roman" w:cs="Times New Roman"/>
          <w:b/>
          <w:szCs w:val="18"/>
        </w:rPr>
        <w:t>SUPPLEMENTAL MATERIAL</w:t>
      </w:r>
    </w:p>
    <w:p w:rsidR="00522F27" w:rsidRDefault="00522F27" w:rsidP="00522F27">
      <w:pPr>
        <w:spacing w:after="0" w:line="240" w:lineRule="auto"/>
        <w:rPr>
          <w:rFonts w:ascii="Times New Roman" w:hAnsi="Times New Roman" w:cs="Times New Roman"/>
          <w:b/>
          <w:szCs w:val="18"/>
        </w:rPr>
      </w:pPr>
    </w:p>
    <w:p w:rsidR="00522F27" w:rsidRDefault="00522F27" w:rsidP="00522F27">
      <w:pPr>
        <w:spacing w:after="0" w:line="240" w:lineRule="auto"/>
        <w:rPr>
          <w:rFonts w:ascii="Times New Roman" w:hAnsi="Times New Roman" w:cs="Times New Roman"/>
          <w:szCs w:val="18"/>
        </w:rPr>
      </w:pPr>
    </w:p>
    <w:p w:rsidR="00522F27" w:rsidRDefault="00522F27" w:rsidP="00522F27">
      <w:pPr>
        <w:spacing w:after="0" w:line="240" w:lineRule="auto"/>
        <w:rPr>
          <w:rFonts w:ascii="Times New Roman" w:hAnsi="Times New Roman" w:cs="Times New Roman"/>
          <w:szCs w:val="18"/>
        </w:rPr>
      </w:pPr>
    </w:p>
    <w:p w:rsidR="00522F27" w:rsidRDefault="00522F27" w:rsidP="00522F27">
      <w:pPr>
        <w:spacing w:after="0" w:line="240" w:lineRule="auto"/>
        <w:rPr>
          <w:rFonts w:ascii="Times New Roman" w:hAnsi="Times New Roman" w:cs="Times New Roman"/>
          <w:szCs w:val="18"/>
        </w:rPr>
      </w:pPr>
    </w:p>
    <w:p w:rsidR="00522F27" w:rsidRPr="00522F27" w:rsidRDefault="00522F27" w:rsidP="00522F27">
      <w:pPr>
        <w:spacing w:after="0" w:line="240" w:lineRule="auto"/>
        <w:rPr>
          <w:rFonts w:ascii="Times New Roman" w:hAnsi="Times New Roman" w:cs="Times New Roman"/>
          <w:szCs w:val="18"/>
        </w:rPr>
      </w:pPr>
      <w:r w:rsidRPr="00522F27">
        <w:rPr>
          <w:rFonts w:ascii="Times New Roman" w:hAnsi="Times New Roman" w:cs="Times New Roman"/>
          <w:szCs w:val="18"/>
        </w:rPr>
        <w:t>Time to treatment failure following initiation of fingolimod versus teriflunomide for multiple sclerosis: A retrospective U.S. claims study</w:t>
      </w:r>
    </w:p>
    <w:p w:rsidR="00522F27" w:rsidRPr="00522F27" w:rsidRDefault="00522F27" w:rsidP="00522F27">
      <w:pPr>
        <w:spacing w:after="0" w:line="240" w:lineRule="auto"/>
        <w:rPr>
          <w:rFonts w:ascii="Times New Roman" w:hAnsi="Times New Roman" w:cs="Times New Roman"/>
          <w:b/>
          <w:szCs w:val="18"/>
        </w:rPr>
      </w:pPr>
    </w:p>
    <w:p w:rsidR="00522F27" w:rsidRDefault="00522F27" w:rsidP="00522F27">
      <w:pPr>
        <w:spacing w:after="0" w:line="240" w:lineRule="auto"/>
        <w:rPr>
          <w:rFonts w:ascii="Times New Roman" w:hAnsi="Times New Roman" w:cs="Times New Roman"/>
          <w:b/>
          <w:szCs w:val="18"/>
        </w:rPr>
      </w:pPr>
    </w:p>
    <w:p w:rsidR="00522F27" w:rsidRDefault="00522F27">
      <w:pPr>
        <w:rPr>
          <w:rFonts w:ascii="Times New Roman" w:hAnsi="Times New Roman" w:cs="Times New Roman"/>
          <w:b/>
          <w:szCs w:val="18"/>
        </w:rPr>
      </w:pPr>
      <w:r>
        <w:rPr>
          <w:rFonts w:ascii="Times New Roman" w:hAnsi="Times New Roman" w:cs="Times New Roman"/>
          <w:b/>
          <w:szCs w:val="18"/>
        </w:rPr>
        <w:br w:type="page"/>
      </w:r>
    </w:p>
    <w:p w:rsidR="00522F27" w:rsidRPr="00993B2B" w:rsidRDefault="00522F27" w:rsidP="00522F27">
      <w:pPr>
        <w:spacing w:after="0" w:line="240" w:lineRule="auto"/>
        <w:rPr>
          <w:rFonts w:ascii="Times New Roman" w:hAnsi="Times New Roman" w:cs="Times New Roman"/>
          <w:b/>
          <w:szCs w:val="18"/>
        </w:rPr>
      </w:pPr>
      <w:r w:rsidRPr="00993B2B">
        <w:rPr>
          <w:rFonts w:ascii="Times New Roman" w:hAnsi="Times New Roman" w:cs="Times New Roman"/>
          <w:b/>
          <w:szCs w:val="18"/>
        </w:rPr>
        <w:lastRenderedPageBreak/>
        <w:t>Table S</w:t>
      </w:r>
      <w:r>
        <w:rPr>
          <w:rFonts w:ascii="Times New Roman" w:hAnsi="Times New Roman" w:cs="Times New Roman"/>
          <w:b/>
          <w:szCs w:val="18"/>
        </w:rPr>
        <w:t>1</w:t>
      </w:r>
      <w:r w:rsidRPr="00993B2B">
        <w:rPr>
          <w:rFonts w:ascii="Times New Roman" w:hAnsi="Times New Roman" w:cs="Times New Roman"/>
          <w:b/>
          <w:szCs w:val="18"/>
        </w:rPr>
        <w:t>. Codes used to identify MS treatments in medical and pharmacy claims</w:t>
      </w:r>
    </w:p>
    <w:p w:rsidR="00522F27" w:rsidRDefault="00522F27" w:rsidP="00522F27">
      <w:pPr>
        <w:spacing w:after="0" w:line="240" w:lineRule="auto"/>
        <w:rPr>
          <w:rFonts w:ascii="Times New Roman" w:hAnsi="Times New Roman" w:cs="Times New Roman"/>
          <w:szCs w:val="18"/>
        </w:rPr>
      </w:pPr>
    </w:p>
    <w:tbl>
      <w:tblPr>
        <w:tblW w:w="5000" w:type="pct"/>
        <w:tblLook w:val="04A0" w:firstRow="1" w:lastRow="0" w:firstColumn="1" w:lastColumn="0" w:noHBand="0" w:noVBand="1"/>
      </w:tblPr>
      <w:tblGrid>
        <w:gridCol w:w="3586"/>
        <w:gridCol w:w="2882"/>
        <w:gridCol w:w="2882"/>
      </w:tblGrid>
      <w:tr w:rsidR="00522F27" w:rsidRPr="00993B2B" w:rsidTr="00CD76FF">
        <w:trPr>
          <w:trHeight w:val="300"/>
        </w:trPr>
        <w:tc>
          <w:tcPr>
            <w:tcW w:w="1918"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522F27" w:rsidRPr="00993B2B" w:rsidRDefault="00522F27" w:rsidP="00CD76FF">
            <w:pPr>
              <w:spacing w:after="0" w:line="240" w:lineRule="auto"/>
              <w:rPr>
                <w:rFonts w:ascii="Times New Roman" w:eastAsia="Times New Roman" w:hAnsi="Times New Roman" w:cs="Times New Roman"/>
                <w:b/>
                <w:bCs/>
                <w:sz w:val="20"/>
              </w:rPr>
            </w:pPr>
            <w:r w:rsidRPr="00993B2B">
              <w:rPr>
                <w:rFonts w:ascii="Times New Roman" w:eastAsia="Times New Roman" w:hAnsi="Times New Roman" w:cs="Times New Roman"/>
                <w:b/>
                <w:bCs/>
                <w:sz w:val="20"/>
              </w:rPr>
              <w:t>Treatment</w:t>
            </w:r>
          </w:p>
        </w:tc>
        <w:tc>
          <w:tcPr>
            <w:tcW w:w="1541" w:type="pct"/>
            <w:tcBorders>
              <w:top w:val="single" w:sz="4" w:space="0" w:color="auto"/>
              <w:left w:val="nil"/>
              <w:bottom w:val="single" w:sz="4" w:space="0" w:color="auto"/>
              <w:right w:val="single" w:sz="4" w:space="0" w:color="auto"/>
            </w:tcBorders>
            <w:shd w:val="clear" w:color="000000" w:fill="A6A6A6"/>
            <w:vAlign w:val="center"/>
            <w:hideMark/>
          </w:tcPr>
          <w:p w:rsidR="00522F27" w:rsidRPr="00993B2B" w:rsidRDefault="00522F27" w:rsidP="00CD76FF">
            <w:pPr>
              <w:spacing w:after="0" w:line="240" w:lineRule="auto"/>
              <w:rPr>
                <w:rFonts w:ascii="Times New Roman" w:eastAsia="Times New Roman" w:hAnsi="Times New Roman" w:cs="Times New Roman"/>
                <w:b/>
                <w:bCs/>
                <w:sz w:val="20"/>
              </w:rPr>
            </w:pPr>
            <w:r w:rsidRPr="00993B2B">
              <w:rPr>
                <w:rFonts w:ascii="Times New Roman" w:eastAsia="Times New Roman" w:hAnsi="Times New Roman" w:cs="Times New Roman"/>
                <w:b/>
                <w:bCs/>
                <w:sz w:val="20"/>
              </w:rPr>
              <w:t>GPI codes</w:t>
            </w:r>
          </w:p>
        </w:tc>
        <w:tc>
          <w:tcPr>
            <w:tcW w:w="1541" w:type="pct"/>
            <w:tcBorders>
              <w:top w:val="single" w:sz="4" w:space="0" w:color="auto"/>
              <w:left w:val="nil"/>
              <w:bottom w:val="single" w:sz="4" w:space="0" w:color="auto"/>
              <w:right w:val="single" w:sz="4" w:space="0" w:color="auto"/>
            </w:tcBorders>
            <w:shd w:val="clear" w:color="000000" w:fill="A6A6A6"/>
            <w:vAlign w:val="center"/>
            <w:hideMark/>
          </w:tcPr>
          <w:p w:rsidR="00522F27" w:rsidRPr="00993B2B" w:rsidRDefault="00522F27" w:rsidP="00CD76FF">
            <w:pPr>
              <w:spacing w:after="0" w:line="240" w:lineRule="auto"/>
              <w:rPr>
                <w:rFonts w:ascii="Times New Roman" w:eastAsia="Times New Roman" w:hAnsi="Times New Roman" w:cs="Times New Roman"/>
                <w:b/>
                <w:bCs/>
                <w:sz w:val="20"/>
              </w:rPr>
            </w:pPr>
            <w:r w:rsidRPr="00993B2B">
              <w:rPr>
                <w:rFonts w:ascii="Times New Roman" w:eastAsia="Times New Roman" w:hAnsi="Times New Roman" w:cs="Times New Roman"/>
                <w:b/>
                <w:bCs/>
                <w:sz w:val="20"/>
              </w:rPr>
              <w:t>HCPCS codes</w:t>
            </w:r>
          </w:p>
        </w:tc>
      </w:tr>
      <w:tr w:rsidR="00522F27" w:rsidRPr="00993B2B" w:rsidTr="00CD76FF">
        <w:trPr>
          <w:trHeight w:val="300"/>
        </w:trPr>
        <w:tc>
          <w:tcPr>
            <w:tcW w:w="1918" w:type="pct"/>
            <w:tcBorders>
              <w:top w:val="nil"/>
              <w:left w:val="single" w:sz="4" w:space="0" w:color="auto"/>
              <w:bottom w:val="single" w:sz="4" w:space="0" w:color="auto"/>
              <w:right w:val="nil"/>
            </w:tcBorders>
            <w:shd w:val="clear" w:color="000000" w:fill="D9D9D9"/>
            <w:vAlign w:val="center"/>
            <w:hideMark/>
          </w:tcPr>
          <w:p w:rsidR="00522F27" w:rsidRPr="00993B2B" w:rsidRDefault="00522F27" w:rsidP="00CD76FF">
            <w:pPr>
              <w:spacing w:after="0" w:line="240" w:lineRule="auto"/>
              <w:rPr>
                <w:rFonts w:ascii="Times New Roman" w:eastAsia="Times New Roman" w:hAnsi="Times New Roman" w:cs="Times New Roman"/>
                <w:b/>
                <w:bCs/>
                <w:sz w:val="20"/>
              </w:rPr>
            </w:pPr>
            <w:r w:rsidRPr="00993B2B">
              <w:rPr>
                <w:rFonts w:ascii="Times New Roman" w:eastAsia="Times New Roman" w:hAnsi="Times New Roman" w:cs="Times New Roman"/>
                <w:b/>
                <w:bCs/>
                <w:sz w:val="20"/>
              </w:rPr>
              <w:t>Disease-modifying therapies</w:t>
            </w:r>
          </w:p>
        </w:tc>
        <w:tc>
          <w:tcPr>
            <w:tcW w:w="1541" w:type="pct"/>
            <w:tcBorders>
              <w:top w:val="nil"/>
              <w:left w:val="nil"/>
              <w:bottom w:val="single" w:sz="4" w:space="0" w:color="auto"/>
              <w:right w:val="nil"/>
            </w:tcBorders>
            <w:shd w:val="clear" w:color="000000" w:fill="D9D9D9"/>
            <w:vAlign w:val="center"/>
            <w:hideMark/>
          </w:tcPr>
          <w:p w:rsidR="00522F27" w:rsidRPr="00993B2B" w:rsidRDefault="00522F27" w:rsidP="00CD76FF">
            <w:pPr>
              <w:spacing w:after="0" w:line="240" w:lineRule="auto"/>
              <w:rPr>
                <w:rFonts w:ascii="Times New Roman" w:eastAsia="Times New Roman" w:hAnsi="Times New Roman" w:cs="Times New Roman"/>
                <w:b/>
                <w:bCs/>
                <w:sz w:val="20"/>
              </w:rPr>
            </w:pPr>
            <w:r w:rsidRPr="00993B2B">
              <w:rPr>
                <w:rFonts w:ascii="Times New Roman" w:eastAsia="Times New Roman" w:hAnsi="Times New Roman" w:cs="Times New Roman"/>
                <w:b/>
                <w:bCs/>
                <w:sz w:val="20"/>
              </w:rPr>
              <w:t> </w:t>
            </w:r>
          </w:p>
        </w:tc>
        <w:tc>
          <w:tcPr>
            <w:tcW w:w="1541" w:type="pct"/>
            <w:tcBorders>
              <w:top w:val="nil"/>
              <w:left w:val="nil"/>
              <w:bottom w:val="single" w:sz="4" w:space="0" w:color="auto"/>
              <w:right w:val="single" w:sz="4" w:space="0" w:color="auto"/>
            </w:tcBorders>
            <w:shd w:val="clear" w:color="000000" w:fill="D9D9D9"/>
            <w:vAlign w:val="center"/>
            <w:hideMark/>
          </w:tcPr>
          <w:p w:rsidR="00522F27" w:rsidRPr="00993B2B" w:rsidRDefault="00522F27" w:rsidP="00CD76FF">
            <w:pPr>
              <w:spacing w:after="0" w:line="240" w:lineRule="auto"/>
              <w:rPr>
                <w:rFonts w:ascii="Times New Roman" w:eastAsia="Times New Roman" w:hAnsi="Times New Roman" w:cs="Times New Roman"/>
                <w:b/>
                <w:bCs/>
                <w:sz w:val="20"/>
              </w:rPr>
            </w:pPr>
            <w:r w:rsidRPr="00993B2B">
              <w:rPr>
                <w:rFonts w:ascii="Times New Roman" w:eastAsia="Times New Roman" w:hAnsi="Times New Roman" w:cs="Times New Roman"/>
                <w:b/>
                <w:bCs/>
                <w:sz w:val="20"/>
              </w:rPr>
              <w:t> </w:t>
            </w:r>
          </w:p>
        </w:tc>
      </w:tr>
      <w:tr w:rsidR="00522F27" w:rsidRPr="00993B2B" w:rsidTr="00CD76FF">
        <w:trPr>
          <w:trHeight w:val="233"/>
        </w:trPr>
        <w:tc>
          <w:tcPr>
            <w:tcW w:w="1918" w:type="pct"/>
            <w:tcBorders>
              <w:top w:val="nil"/>
              <w:left w:val="single" w:sz="4" w:space="0" w:color="auto"/>
              <w:bottom w:val="single" w:sz="4" w:space="0" w:color="auto"/>
              <w:right w:val="single" w:sz="4" w:space="0" w:color="auto"/>
            </w:tcBorders>
            <w:shd w:val="clear" w:color="000000" w:fill="FFFFFF"/>
            <w:vAlign w:val="center"/>
            <w:hideMark/>
          </w:tcPr>
          <w:p w:rsidR="00522F27" w:rsidRPr="00993B2B" w:rsidRDefault="00522F27" w:rsidP="00CD76FF">
            <w:pPr>
              <w:spacing w:after="0" w:line="240" w:lineRule="auto"/>
              <w:rPr>
                <w:rFonts w:ascii="Times New Roman" w:eastAsia="Times New Roman" w:hAnsi="Times New Roman" w:cs="Times New Roman"/>
                <w:sz w:val="20"/>
              </w:rPr>
            </w:pPr>
            <w:proofErr w:type="spellStart"/>
            <w:r w:rsidRPr="00993B2B">
              <w:rPr>
                <w:rFonts w:ascii="Times New Roman" w:eastAsia="Times New Roman" w:hAnsi="Times New Roman" w:cs="Times New Roman"/>
                <w:sz w:val="20"/>
              </w:rPr>
              <w:t>Alemtuzumab</w:t>
            </w:r>
            <w:proofErr w:type="spellEnd"/>
          </w:p>
        </w:tc>
        <w:tc>
          <w:tcPr>
            <w:tcW w:w="1541" w:type="pct"/>
            <w:tcBorders>
              <w:top w:val="nil"/>
              <w:left w:val="nil"/>
              <w:bottom w:val="single" w:sz="4" w:space="0" w:color="auto"/>
              <w:right w:val="single" w:sz="4" w:space="0" w:color="auto"/>
            </w:tcBorders>
            <w:shd w:val="clear" w:color="000000" w:fill="FFFFFF"/>
            <w:vAlign w:val="center"/>
            <w:hideMark/>
          </w:tcPr>
          <w:p w:rsidR="00522F27" w:rsidRPr="00993B2B" w:rsidRDefault="00522F27" w:rsidP="00CD76FF">
            <w:pPr>
              <w:spacing w:after="0" w:line="240" w:lineRule="auto"/>
              <w:rPr>
                <w:rFonts w:ascii="Times New Roman" w:eastAsia="Times New Roman" w:hAnsi="Times New Roman" w:cs="Times New Roman"/>
                <w:sz w:val="20"/>
              </w:rPr>
            </w:pPr>
            <w:r w:rsidRPr="00993B2B">
              <w:rPr>
                <w:rFonts w:ascii="Times New Roman" w:eastAsia="Times New Roman" w:hAnsi="Times New Roman" w:cs="Times New Roman"/>
                <w:sz w:val="20"/>
              </w:rPr>
              <w:t xml:space="preserve">62 40 50 10 00 xx </w:t>
            </w:r>
            <w:proofErr w:type="spellStart"/>
            <w:r w:rsidRPr="00993B2B">
              <w:rPr>
                <w:rFonts w:ascii="Times New Roman" w:eastAsia="Times New Roman" w:hAnsi="Times New Roman" w:cs="Times New Roman"/>
                <w:sz w:val="20"/>
              </w:rPr>
              <w:t>xx</w:t>
            </w:r>
            <w:proofErr w:type="spellEnd"/>
          </w:p>
        </w:tc>
        <w:tc>
          <w:tcPr>
            <w:tcW w:w="1541" w:type="pct"/>
            <w:tcBorders>
              <w:top w:val="nil"/>
              <w:left w:val="nil"/>
              <w:bottom w:val="single" w:sz="4" w:space="0" w:color="auto"/>
              <w:right w:val="single" w:sz="4" w:space="0" w:color="auto"/>
            </w:tcBorders>
            <w:shd w:val="clear" w:color="000000" w:fill="FFFFFF"/>
            <w:vAlign w:val="center"/>
            <w:hideMark/>
          </w:tcPr>
          <w:p w:rsidR="00522F27" w:rsidRPr="00993B2B" w:rsidRDefault="00522F27" w:rsidP="00CD76FF">
            <w:pPr>
              <w:spacing w:after="0" w:line="240" w:lineRule="auto"/>
              <w:rPr>
                <w:rFonts w:ascii="Times New Roman" w:eastAsia="Times New Roman" w:hAnsi="Times New Roman" w:cs="Times New Roman"/>
                <w:sz w:val="20"/>
              </w:rPr>
            </w:pPr>
            <w:r w:rsidRPr="00993B2B">
              <w:rPr>
                <w:rFonts w:ascii="Times New Roman" w:eastAsia="Times New Roman" w:hAnsi="Times New Roman" w:cs="Times New Roman"/>
                <w:sz w:val="20"/>
              </w:rPr>
              <w:t>J0202, J9010, Q9979</w:t>
            </w:r>
          </w:p>
        </w:tc>
      </w:tr>
      <w:tr w:rsidR="00522F27" w:rsidRPr="00993B2B" w:rsidTr="00CD76FF">
        <w:trPr>
          <w:trHeight w:val="179"/>
        </w:trPr>
        <w:tc>
          <w:tcPr>
            <w:tcW w:w="1918" w:type="pct"/>
            <w:tcBorders>
              <w:top w:val="nil"/>
              <w:left w:val="single" w:sz="4" w:space="0" w:color="auto"/>
              <w:bottom w:val="single" w:sz="4" w:space="0" w:color="auto"/>
              <w:right w:val="single" w:sz="4" w:space="0" w:color="auto"/>
            </w:tcBorders>
            <w:shd w:val="clear" w:color="000000" w:fill="FFFFFF"/>
            <w:vAlign w:val="center"/>
            <w:hideMark/>
          </w:tcPr>
          <w:p w:rsidR="00522F27" w:rsidRPr="00993B2B" w:rsidRDefault="00522F27" w:rsidP="00CD76FF">
            <w:pPr>
              <w:spacing w:after="0" w:line="240" w:lineRule="auto"/>
              <w:rPr>
                <w:rFonts w:ascii="Times New Roman" w:eastAsia="Times New Roman" w:hAnsi="Times New Roman" w:cs="Times New Roman"/>
                <w:sz w:val="20"/>
              </w:rPr>
            </w:pPr>
            <w:proofErr w:type="spellStart"/>
            <w:r w:rsidRPr="00993B2B">
              <w:rPr>
                <w:rFonts w:ascii="Times New Roman" w:eastAsia="Times New Roman" w:hAnsi="Times New Roman" w:cs="Times New Roman"/>
                <w:sz w:val="20"/>
              </w:rPr>
              <w:t>Daclizumab</w:t>
            </w:r>
            <w:proofErr w:type="spellEnd"/>
          </w:p>
        </w:tc>
        <w:tc>
          <w:tcPr>
            <w:tcW w:w="1541" w:type="pct"/>
            <w:tcBorders>
              <w:top w:val="nil"/>
              <w:left w:val="nil"/>
              <w:bottom w:val="single" w:sz="4" w:space="0" w:color="auto"/>
              <w:right w:val="single" w:sz="4" w:space="0" w:color="auto"/>
            </w:tcBorders>
            <w:shd w:val="clear" w:color="000000" w:fill="FFFFFF"/>
            <w:vAlign w:val="center"/>
            <w:hideMark/>
          </w:tcPr>
          <w:p w:rsidR="00522F27" w:rsidRPr="00993B2B" w:rsidRDefault="00522F27" w:rsidP="00CD76FF">
            <w:pPr>
              <w:spacing w:after="0" w:line="240" w:lineRule="auto"/>
              <w:rPr>
                <w:rFonts w:ascii="Times New Roman" w:eastAsia="Times New Roman" w:hAnsi="Times New Roman" w:cs="Times New Roman"/>
                <w:sz w:val="20"/>
              </w:rPr>
            </w:pPr>
            <w:r w:rsidRPr="00993B2B">
              <w:rPr>
                <w:rFonts w:ascii="Times New Roman" w:eastAsia="Times New Roman" w:hAnsi="Times New Roman" w:cs="Times New Roman"/>
                <w:sz w:val="20"/>
              </w:rPr>
              <w:t xml:space="preserve">62 40 50 25 00 xx </w:t>
            </w:r>
            <w:proofErr w:type="spellStart"/>
            <w:r w:rsidRPr="00993B2B">
              <w:rPr>
                <w:rFonts w:ascii="Times New Roman" w:eastAsia="Times New Roman" w:hAnsi="Times New Roman" w:cs="Times New Roman"/>
                <w:sz w:val="20"/>
              </w:rPr>
              <w:t>xx</w:t>
            </w:r>
            <w:proofErr w:type="spellEnd"/>
          </w:p>
        </w:tc>
        <w:tc>
          <w:tcPr>
            <w:tcW w:w="1541" w:type="pct"/>
            <w:tcBorders>
              <w:top w:val="nil"/>
              <w:left w:val="nil"/>
              <w:bottom w:val="single" w:sz="4" w:space="0" w:color="auto"/>
              <w:right w:val="single" w:sz="4" w:space="0" w:color="auto"/>
            </w:tcBorders>
            <w:shd w:val="clear" w:color="000000" w:fill="FFFFFF"/>
            <w:vAlign w:val="center"/>
            <w:hideMark/>
          </w:tcPr>
          <w:p w:rsidR="00522F27" w:rsidRPr="00993B2B" w:rsidRDefault="00522F27" w:rsidP="00CD76FF">
            <w:pPr>
              <w:spacing w:after="0" w:line="240" w:lineRule="auto"/>
              <w:rPr>
                <w:rFonts w:ascii="Times New Roman" w:eastAsia="Times New Roman" w:hAnsi="Times New Roman" w:cs="Times New Roman"/>
                <w:sz w:val="20"/>
              </w:rPr>
            </w:pPr>
            <w:r w:rsidRPr="00993B2B">
              <w:rPr>
                <w:rFonts w:ascii="Times New Roman" w:eastAsia="Times New Roman" w:hAnsi="Times New Roman" w:cs="Times New Roman"/>
                <w:sz w:val="20"/>
              </w:rPr>
              <w:t>J7513</w:t>
            </w:r>
          </w:p>
        </w:tc>
      </w:tr>
      <w:tr w:rsidR="00522F27" w:rsidRPr="00993B2B" w:rsidTr="00CD76FF">
        <w:trPr>
          <w:trHeight w:val="458"/>
        </w:trPr>
        <w:tc>
          <w:tcPr>
            <w:tcW w:w="1918" w:type="pct"/>
            <w:tcBorders>
              <w:top w:val="nil"/>
              <w:left w:val="single" w:sz="4" w:space="0" w:color="auto"/>
              <w:bottom w:val="single" w:sz="4" w:space="0" w:color="auto"/>
              <w:right w:val="single" w:sz="4" w:space="0" w:color="auto"/>
            </w:tcBorders>
            <w:shd w:val="clear" w:color="auto" w:fill="auto"/>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Dimethyl fumarate</w:t>
            </w:r>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sz w:val="20"/>
              </w:rPr>
            </w:pPr>
            <w:r w:rsidRPr="00993B2B">
              <w:rPr>
                <w:rFonts w:ascii="Times New Roman" w:eastAsia="Times New Roman" w:hAnsi="Times New Roman" w:cs="Times New Roman"/>
                <w:sz w:val="20"/>
              </w:rPr>
              <w:t xml:space="preserve">62 40 55 25 00 xx </w:t>
            </w:r>
            <w:proofErr w:type="spellStart"/>
            <w:r w:rsidRPr="00993B2B">
              <w:rPr>
                <w:rFonts w:ascii="Times New Roman" w:eastAsia="Times New Roman" w:hAnsi="Times New Roman" w:cs="Times New Roman"/>
                <w:sz w:val="20"/>
              </w:rPr>
              <w:t>xx</w:t>
            </w:r>
            <w:proofErr w:type="spellEnd"/>
            <w:r w:rsidRPr="00993B2B">
              <w:rPr>
                <w:rFonts w:ascii="Times New Roman" w:eastAsia="Times New Roman" w:hAnsi="Times New Roman" w:cs="Times New Roman"/>
                <w:sz w:val="20"/>
              </w:rPr>
              <w:br/>
              <w:t xml:space="preserve">96 48 58 37 40 xx </w:t>
            </w:r>
            <w:proofErr w:type="spellStart"/>
            <w:r w:rsidRPr="00993B2B">
              <w:rPr>
                <w:rFonts w:ascii="Times New Roman" w:eastAsia="Times New Roman" w:hAnsi="Times New Roman" w:cs="Times New Roman"/>
                <w:sz w:val="20"/>
              </w:rPr>
              <w:t>xx</w:t>
            </w:r>
            <w:proofErr w:type="spellEnd"/>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 </w:t>
            </w:r>
          </w:p>
        </w:tc>
      </w:tr>
      <w:tr w:rsidR="00522F27" w:rsidRPr="00993B2B" w:rsidTr="00CD76FF">
        <w:trPr>
          <w:trHeight w:val="179"/>
        </w:trPr>
        <w:tc>
          <w:tcPr>
            <w:tcW w:w="1918" w:type="pct"/>
            <w:tcBorders>
              <w:top w:val="nil"/>
              <w:left w:val="single" w:sz="4" w:space="0" w:color="auto"/>
              <w:bottom w:val="single" w:sz="4" w:space="0" w:color="auto"/>
              <w:right w:val="single" w:sz="4" w:space="0" w:color="auto"/>
            </w:tcBorders>
            <w:shd w:val="clear" w:color="000000" w:fill="FFFFFF"/>
            <w:vAlign w:val="center"/>
            <w:hideMark/>
          </w:tcPr>
          <w:p w:rsidR="00522F27" w:rsidRPr="00993B2B" w:rsidRDefault="00522F27" w:rsidP="00CD76FF">
            <w:pPr>
              <w:spacing w:after="0" w:line="240" w:lineRule="auto"/>
              <w:rPr>
                <w:rFonts w:ascii="Times New Roman" w:eastAsia="Times New Roman" w:hAnsi="Times New Roman" w:cs="Times New Roman"/>
                <w:sz w:val="20"/>
              </w:rPr>
            </w:pPr>
            <w:r w:rsidRPr="00993B2B">
              <w:rPr>
                <w:rFonts w:ascii="Times New Roman" w:eastAsia="Times New Roman" w:hAnsi="Times New Roman" w:cs="Times New Roman"/>
                <w:sz w:val="20"/>
              </w:rPr>
              <w:t>Fingolimod</w:t>
            </w:r>
          </w:p>
        </w:tc>
        <w:tc>
          <w:tcPr>
            <w:tcW w:w="1541" w:type="pct"/>
            <w:tcBorders>
              <w:top w:val="nil"/>
              <w:left w:val="nil"/>
              <w:bottom w:val="single" w:sz="4" w:space="0" w:color="auto"/>
              <w:right w:val="single" w:sz="4" w:space="0" w:color="auto"/>
            </w:tcBorders>
            <w:shd w:val="clear" w:color="000000" w:fill="FFFFFF"/>
            <w:vAlign w:val="center"/>
            <w:hideMark/>
          </w:tcPr>
          <w:p w:rsidR="00522F27" w:rsidRPr="00993B2B" w:rsidRDefault="00522F27" w:rsidP="00CD76FF">
            <w:pPr>
              <w:spacing w:after="0" w:line="240" w:lineRule="auto"/>
              <w:rPr>
                <w:rFonts w:ascii="Times New Roman" w:eastAsia="Times New Roman" w:hAnsi="Times New Roman" w:cs="Times New Roman"/>
                <w:sz w:val="20"/>
              </w:rPr>
            </w:pPr>
            <w:r w:rsidRPr="00993B2B">
              <w:rPr>
                <w:rFonts w:ascii="Times New Roman" w:eastAsia="Times New Roman" w:hAnsi="Times New Roman" w:cs="Times New Roman"/>
                <w:sz w:val="20"/>
              </w:rPr>
              <w:t xml:space="preserve">62 40 70 25 10 xx </w:t>
            </w:r>
            <w:proofErr w:type="spellStart"/>
            <w:r w:rsidRPr="00993B2B">
              <w:rPr>
                <w:rFonts w:ascii="Times New Roman" w:eastAsia="Times New Roman" w:hAnsi="Times New Roman" w:cs="Times New Roman"/>
                <w:sz w:val="20"/>
              </w:rPr>
              <w:t>xx</w:t>
            </w:r>
            <w:proofErr w:type="spellEnd"/>
          </w:p>
        </w:tc>
        <w:tc>
          <w:tcPr>
            <w:tcW w:w="1541" w:type="pct"/>
            <w:tcBorders>
              <w:top w:val="nil"/>
              <w:left w:val="nil"/>
              <w:bottom w:val="single" w:sz="4" w:space="0" w:color="auto"/>
              <w:right w:val="single" w:sz="4" w:space="0" w:color="auto"/>
            </w:tcBorders>
            <w:shd w:val="clear" w:color="000000" w:fill="FFFFFF"/>
            <w:vAlign w:val="center"/>
            <w:hideMark/>
          </w:tcPr>
          <w:p w:rsidR="00522F27" w:rsidRPr="00993B2B" w:rsidRDefault="00522F27" w:rsidP="00CD76FF">
            <w:pPr>
              <w:spacing w:after="0" w:line="240" w:lineRule="auto"/>
              <w:rPr>
                <w:rFonts w:ascii="Times New Roman" w:eastAsia="Times New Roman" w:hAnsi="Times New Roman" w:cs="Times New Roman"/>
                <w:sz w:val="20"/>
              </w:rPr>
            </w:pPr>
            <w:r w:rsidRPr="00993B2B">
              <w:rPr>
                <w:rFonts w:ascii="Times New Roman" w:eastAsia="Times New Roman" w:hAnsi="Times New Roman" w:cs="Times New Roman"/>
                <w:sz w:val="20"/>
              </w:rPr>
              <w:t> </w:t>
            </w:r>
          </w:p>
        </w:tc>
      </w:tr>
      <w:tr w:rsidR="00522F27" w:rsidRPr="00993B2B" w:rsidTr="00CD76FF">
        <w:trPr>
          <w:trHeight w:val="215"/>
        </w:trPr>
        <w:tc>
          <w:tcPr>
            <w:tcW w:w="1918" w:type="pct"/>
            <w:tcBorders>
              <w:top w:val="nil"/>
              <w:left w:val="single" w:sz="4" w:space="0" w:color="auto"/>
              <w:bottom w:val="single" w:sz="4" w:space="0" w:color="auto"/>
              <w:right w:val="single" w:sz="4" w:space="0" w:color="auto"/>
            </w:tcBorders>
            <w:shd w:val="clear" w:color="auto" w:fill="auto"/>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Glatiramer acetate</w:t>
            </w:r>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 xml:space="preserve">62 40 00 30 10 xx </w:t>
            </w:r>
            <w:proofErr w:type="spellStart"/>
            <w:r w:rsidRPr="00993B2B">
              <w:rPr>
                <w:rFonts w:ascii="Times New Roman" w:eastAsia="Times New Roman" w:hAnsi="Times New Roman" w:cs="Times New Roman"/>
                <w:color w:val="000000"/>
                <w:sz w:val="20"/>
              </w:rPr>
              <w:t>xx</w:t>
            </w:r>
            <w:proofErr w:type="spellEnd"/>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J1595</w:t>
            </w:r>
          </w:p>
        </w:tc>
      </w:tr>
      <w:tr w:rsidR="00522F27" w:rsidRPr="00993B2B" w:rsidTr="00CD76FF">
        <w:trPr>
          <w:trHeight w:val="431"/>
        </w:trPr>
        <w:tc>
          <w:tcPr>
            <w:tcW w:w="1918" w:type="pct"/>
            <w:tcBorders>
              <w:top w:val="nil"/>
              <w:left w:val="single" w:sz="4" w:space="0" w:color="auto"/>
              <w:bottom w:val="single" w:sz="4" w:space="0" w:color="auto"/>
              <w:right w:val="single" w:sz="4" w:space="0" w:color="auto"/>
            </w:tcBorders>
            <w:shd w:val="clear" w:color="auto" w:fill="auto"/>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Interferon beta-1a</w:t>
            </w:r>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 xml:space="preserve">62 40 30 60 45 xx </w:t>
            </w:r>
            <w:proofErr w:type="spellStart"/>
            <w:r w:rsidRPr="00993B2B">
              <w:rPr>
                <w:rFonts w:ascii="Times New Roman" w:eastAsia="Times New Roman" w:hAnsi="Times New Roman" w:cs="Times New Roman"/>
                <w:color w:val="000000"/>
                <w:sz w:val="20"/>
              </w:rPr>
              <w:t>xx</w:t>
            </w:r>
            <w:proofErr w:type="spellEnd"/>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 xml:space="preserve">J1825, J1826, Q3025, Q3026, Q3027, Q3028  </w:t>
            </w:r>
          </w:p>
        </w:tc>
      </w:tr>
      <w:tr w:rsidR="00522F27" w:rsidRPr="00993B2B" w:rsidTr="00CD76FF">
        <w:trPr>
          <w:trHeight w:val="233"/>
        </w:trPr>
        <w:tc>
          <w:tcPr>
            <w:tcW w:w="1918" w:type="pct"/>
            <w:tcBorders>
              <w:top w:val="nil"/>
              <w:left w:val="single" w:sz="4" w:space="0" w:color="auto"/>
              <w:bottom w:val="single" w:sz="4" w:space="0" w:color="auto"/>
              <w:right w:val="single" w:sz="4" w:space="0" w:color="auto"/>
            </w:tcBorders>
            <w:shd w:val="clear" w:color="auto" w:fill="auto"/>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Interferon beta-1b</w:t>
            </w:r>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 xml:space="preserve">62 40 30 60 50 xx </w:t>
            </w:r>
            <w:proofErr w:type="spellStart"/>
            <w:r w:rsidRPr="00993B2B">
              <w:rPr>
                <w:rFonts w:ascii="Times New Roman" w:eastAsia="Times New Roman" w:hAnsi="Times New Roman" w:cs="Times New Roman"/>
                <w:color w:val="000000"/>
                <w:sz w:val="20"/>
              </w:rPr>
              <w:t>xx</w:t>
            </w:r>
            <w:proofErr w:type="spellEnd"/>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 xml:space="preserve">J1830 </w:t>
            </w:r>
          </w:p>
        </w:tc>
      </w:tr>
      <w:tr w:rsidR="00522F27" w:rsidRPr="00993B2B" w:rsidTr="00CD76FF">
        <w:trPr>
          <w:trHeight w:val="161"/>
        </w:trPr>
        <w:tc>
          <w:tcPr>
            <w:tcW w:w="1918" w:type="pct"/>
            <w:tcBorders>
              <w:top w:val="nil"/>
              <w:left w:val="single" w:sz="4" w:space="0" w:color="auto"/>
              <w:bottom w:val="single" w:sz="4" w:space="0" w:color="auto"/>
              <w:right w:val="single" w:sz="4" w:space="0" w:color="auto"/>
            </w:tcBorders>
            <w:shd w:val="clear" w:color="auto" w:fill="auto"/>
            <w:hideMark/>
          </w:tcPr>
          <w:p w:rsidR="00522F27" w:rsidRPr="00993B2B" w:rsidRDefault="00522F27" w:rsidP="00CD76FF">
            <w:pPr>
              <w:spacing w:after="0" w:line="240" w:lineRule="auto"/>
              <w:rPr>
                <w:rFonts w:ascii="Times New Roman" w:eastAsia="Times New Roman" w:hAnsi="Times New Roman" w:cs="Times New Roman"/>
                <w:color w:val="000000"/>
                <w:sz w:val="20"/>
              </w:rPr>
            </w:pPr>
            <w:proofErr w:type="spellStart"/>
            <w:r w:rsidRPr="00993B2B">
              <w:rPr>
                <w:rFonts w:ascii="Times New Roman" w:eastAsia="Times New Roman" w:hAnsi="Times New Roman" w:cs="Times New Roman"/>
                <w:color w:val="000000"/>
                <w:sz w:val="20"/>
              </w:rPr>
              <w:t>Mitoxantrone</w:t>
            </w:r>
            <w:proofErr w:type="spellEnd"/>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 xml:space="preserve">21 20 00 55 00 xx </w:t>
            </w:r>
            <w:proofErr w:type="spellStart"/>
            <w:r w:rsidRPr="00993B2B">
              <w:rPr>
                <w:rFonts w:ascii="Times New Roman" w:eastAsia="Times New Roman" w:hAnsi="Times New Roman" w:cs="Times New Roman"/>
                <w:color w:val="000000"/>
                <w:sz w:val="20"/>
              </w:rPr>
              <w:t>xx</w:t>
            </w:r>
            <w:proofErr w:type="spellEnd"/>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J9293</w:t>
            </w:r>
          </w:p>
        </w:tc>
      </w:tr>
      <w:tr w:rsidR="00522F27" w:rsidRPr="00993B2B" w:rsidTr="00CD76FF">
        <w:trPr>
          <w:trHeight w:val="197"/>
        </w:trPr>
        <w:tc>
          <w:tcPr>
            <w:tcW w:w="1918" w:type="pct"/>
            <w:tcBorders>
              <w:top w:val="nil"/>
              <w:left w:val="single" w:sz="4" w:space="0" w:color="auto"/>
              <w:bottom w:val="single" w:sz="4" w:space="0" w:color="auto"/>
              <w:right w:val="single" w:sz="4" w:space="0" w:color="auto"/>
            </w:tcBorders>
            <w:shd w:val="clear" w:color="auto" w:fill="auto"/>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Natalizumab</w:t>
            </w:r>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 xml:space="preserve">62 40 50 50 00 xx </w:t>
            </w:r>
            <w:proofErr w:type="spellStart"/>
            <w:r w:rsidRPr="00993B2B">
              <w:rPr>
                <w:rFonts w:ascii="Times New Roman" w:eastAsia="Times New Roman" w:hAnsi="Times New Roman" w:cs="Times New Roman"/>
                <w:color w:val="000000"/>
                <w:sz w:val="20"/>
              </w:rPr>
              <w:t>xx</w:t>
            </w:r>
            <w:proofErr w:type="spellEnd"/>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J2323, Q4079</w:t>
            </w:r>
          </w:p>
        </w:tc>
      </w:tr>
      <w:tr w:rsidR="00522F27" w:rsidRPr="00993B2B" w:rsidTr="00CD76FF">
        <w:trPr>
          <w:trHeight w:val="224"/>
        </w:trPr>
        <w:tc>
          <w:tcPr>
            <w:tcW w:w="1918" w:type="pct"/>
            <w:tcBorders>
              <w:top w:val="nil"/>
              <w:left w:val="single" w:sz="4" w:space="0" w:color="auto"/>
              <w:bottom w:val="single" w:sz="4" w:space="0" w:color="auto"/>
              <w:right w:val="single" w:sz="4" w:space="0" w:color="auto"/>
            </w:tcBorders>
            <w:shd w:val="clear" w:color="auto" w:fill="auto"/>
            <w:hideMark/>
          </w:tcPr>
          <w:p w:rsidR="00522F27" w:rsidRPr="00993B2B" w:rsidRDefault="00522F27" w:rsidP="00CD76FF">
            <w:pPr>
              <w:spacing w:after="0" w:line="240" w:lineRule="auto"/>
              <w:rPr>
                <w:rFonts w:ascii="Times New Roman" w:eastAsia="Times New Roman" w:hAnsi="Times New Roman" w:cs="Times New Roman"/>
                <w:color w:val="000000"/>
                <w:sz w:val="20"/>
              </w:rPr>
            </w:pPr>
            <w:proofErr w:type="spellStart"/>
            <w:r w:rsidRPr="00993B2B">
              <w:rPr>
                <w:rFonts w:ascii="Times New Roman" w:eastAsia="Times New Roman" w:hAnsi="Times New Roman" w:cs="Times New Roman"/>
                <w:color w:val="000000"/>
                <w:sz w:val="20"/>
              </w:rPr>
              <w:t>Peginterferon</w:t>
            </w:r>
            <w:proofErr w:type="spellEnd"/>
            <w:r w:rsidRPr="00993B2B">
              <w:rPr>
                <w:rFonts w:ascii="Times New Roman" w:eastAsia="Times New Roman" w:hAnsi="Times New Roman" w:cs="Times New Roman"/>
                <w:color w:val="000000"/>
                <w:sz w:val="20"/>
              </w:rPr>
              <w:t xml:space="preserve"> beta-1a</w:t>
            </w:r>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 xml:space="preserve">62 40 30 75 30 xx </w:t>
            </w:r>
            <w:proofErr w:type="spellStart"/>
            <w:r w:rsidRPr="00993B2B">
              <w:rPr>
                <w:rFonts w:ascii="Times New Roman" w:eastAsia="Times New Roman" w:hAnsi="Times New Roman" w:cs="Times New Roman"/>
                <w:color w:val="000000"/>
                <w:sz w:val="20"/>
              </w:rPr>
              <w:t>xx</w:t>
            </w:r>
            <w:proofErr w:type="spellEnd"/>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 </w:t>
            </w:r>
          </w:p>
        </w:tc>
      </w:tr>
      <w:tr w:rsidR="00522F27" w:rsidRPr="00993B2B" w:rsidTr="00CD76FF">
        <w:trPr>
          <w:trHeight w:val="170"/>
        </w:trPr>
        <w:tc>
          <w:tcPr>
            <w:tcW w:w="1918" w:type="pct"/>
            <w:tcBorders>
              <w:top w:val="nil"/>
              <w:left w:val="single" w:sz="4" w:space="0" w:color="auto"/>
              <w:bottom w:val="single" w:sz="4" w:space="0" w:color="auto"/>
              <w:right w:val="single" w:sz="4" w:space="0" w:color="auto"/>
            </w:tcBorders>
            <w:shd w:val="clear" w:color="auto" w:fill="auto"/>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Rituximab</w:t>
            </w:r>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 xml:space="preserve">21 35 30 60 00 xx </w:t>
            </w:r>
            <w:proofErr w:type="spellStart"/>
            <w:r w:rsidRPr="00993B2B">
              <w:rPr>
                <w:rFonts w:ascii="Times New Roman" w:eastAsia="Times New Roman" w:hAnsi="Times New Roman" w:cs="Times New Roman"/>
                <w:color w:val="000000"/>
                <w:sz w:val="20"/>
              </w:rPr>
              <w:t>xx</w:t>
            </w:r>
            <w:proofErr w:type="spellEnd"/>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J9310</w:t>
            </w:r>
          </w:p>
        </w:tc>
      </w:tr>
      <w:tr w:rsidR="00522F27" w:rsidRPr="00993B2B" w:rsidTr="00CD76FF">
        <w:trPr>
          <w:trHeight w:val="188"/>
        </w:trPr>
        <w:tc>
          <w:tcPr>
            <w:tcW w:w="1918" w:type="pct"/>
            <w:tcBorders>
              <w:top w:val="nil"/>
              <w:left w:val="single" w:sz="4" w:space="0" w:color="auto"/>
              <w:bottom w:val="single" w:sz="4" w:space="0" w:color="auto"/>
              <w:right w:val="single" w:sz="4" w:space="0" w:color="auto"/>
            </w:tcBorders>
            <w:shd w:val="clear" w:color="auto" w:fill="auto"/>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Teriflunomide</w:t>
            </w:r>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 xml:space="preserve">62 40 40 70 00 xx </w:t>
            </w:r>
            <w:proofErr w:type="spellStart"/>
            <w:r w:rsidRPr="00993B2B">
              <w:rPr>
                <w:rFonts w:ascii="Times New Roman" w:eastAsia="Times New Roman" w:hAnsi="Times New Roman" w:cs="Times New Roman"/>
                <w:color w:val="000000"/>
                <w:sz w:val="20"/>
              </w:rPr>
              <w:t>xx</w:t>
            </w:r>
            <w:proofErr w:type="spellEnd"/>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color w:val="000000"/>
                <w:sz w:val="20"/>
              </w:rPr>
            </w:pPr>
            <w:r w:rsidRPr="00993B2B">
              <w:rPr>
                <w:rFonts w:ascii="Times New Roman" w:eastAsia="Times New Roman" w:hAnsi="Times New Roman" w:cs="Times New Roman"/>
                <w:color w:val="000000"/>
                <w:sz w:val="20"/>
              </w:rPr>
              <w:t> </w:t>
            </w:r>
          </w:p>
        </w:tc>
      </w:tr>
      <w:tr w:rsidR="00522F27" w:rsidRPr="00993B2B" w:rsidTr="00CD76FF">
        <w:trPr>
          <w:trHeight w:val="300"/>
        </w:trPr>
        <w:tc>
          <w:tcPr>
            <w:tcW w:w="1918" w:type="pct"/>
            <w:tcBorders>
              <w:top w:val="nil"/>
              <w:left w:val="single" w:sz="4" w:space="0" w:color="auto"/>
              <w:bottom w:val="single" w:sz="4" w:space="0" w:color="auto"/>
              <w:right w:val="nil"/>
            </w:tcBorders>
            <w:shd w:val="clear" w:color="000000" w:fill="D9D9D9"/>
            <w:vAlign w:val="center"/>
            <w:hideMark/>
          </w:tcPr>
          <w:p w:rsidR="00522F27" w:rsidRPr="00993B2B" w:rsidRDefault="00522F27" w:rsidP="00CD76FF">
            <w:pPr>
              <w:spacing w:after="0" w:line="240" w:lineRule="auto"/>
              <w:rPr>
                <w:rFonts w:ascii="Times New Roman" w:eastAsia="Times New Roman" w:hAnsi="Times New Roman" w:cs="Times New Roman"/>
                <w:b/>
                <w:bCs/>
                <w:sz w:val="20"/>
              </w:rPr>
            </w:pPr>
            <w:r>
              <w:rPr>
                <w:rFonts w:ascii="Times New Roman" w:eastAsia="Times New Roman" w:hAnsi="Times New Roman" w:cs="Times New Roman"/>
                <w:b/>
                <w:bCs/>
                <w:sz w:val="20"/>
              </w:rPr>
              <w:t>Acute treatments for MS</w:t>
            </w:r>
          </w:p>
        </w:tc>
        <w:tc>
          <w:tcPr>
            <w:tcW w:w="1541" w:type="pct"/>
            <w:tcBorders>
              <w:top w:val="nil"/>
              <w:left w:val="nil"/>
              <w:bottom w:val="single" w:sz="4" w:space="0" w:color="auto"/>
              <w:right w:val="nil"/>
            </w:tcBorders>
            <w:shd w:val="clear" w:color="000000" w:fill="D9D9D9"/>
            <w:vAlign w:val="center"/>
            <w:hideMark/>
          </w:tcPr>
          <w:p w:rsidR="00522F27" w:rsidRPr="00993B2B" w:rsidRDefault="00522F27" w:rsidP="00CD76FF">
            <w:pPr>
              <w:spacing w:after="0" w:line="240" w:lineRule="auto"/>
              <w:rPr>
                <w:rFonts w:ascii="Times New Roman" w:eastAsia="Times New Roman" w:hAnsi="Times New Roman" w:cs="Times New Roman"/>
                <w:b/>
                <w:bCs/>
                <w:sz w:val="20"/>
              </w:rPr>
            </w:pPr>
            <w:r w:rsidRPr="00993B2B">
              <w:rPr>
                <w:rFonts w:ascii="Times New Roman" w:eastAsia="Times New Roman" w:hAnsi="Times New Roman" w:cs="Times New Roman"/>
                <w:b/>
                <w:bCs/>
                <w:sz w:val="20"/>
              </w:rPr>
              <w:t> </w:t>
            </w:r>
          </w:p>
        </w:tc>
        <w:tc>
          <w:tcPr>
            <w:tcW w:w="1541" w:type="pct"/>
            <w:tcBorders>
              <w:top w:val="nil"/>
              <w:left w:val="nil"/>
              <w:bottom w:val="single" w:sz="4" w:space="0" w:color="auto"/>
              <w:right w:val="single" w:sz="4" w:space="0" w:color="auto"/>
            </w:tcBorders>
            <w:shd w:val="clear" w:color="000000" w:fill="D9D9D9"/>
            <w:vAlign w:val="center"/>
            <w:hideMark/>
          </w:tcPr>
          <w:p w:rsidR="00522F27" w:rsidRPr="00993B2B" w:rsidRDefault="00522F27" w:rsidP="00CD76FF">
            <w:pPr>
              <w:spacing w:after="0" w:line="240" w:lineRule="auto"/>
              <w:rPr>
                <w:rFonts w:ascii="Times New Roman" w:eastAsia="Times New Roman" w:hAnsi="Times New Roman" w:cs="Times New Roman"/>
                <w:b/>
                <w:bCs/>
                <w:sz w:val="20"/>
              </w:rPr>
            </w:pPr>
            <w:r w:rsidRPr="00993B2B">
              <w:rPr>
                <w:rFonts w:ascii="Times New Roman" w:eastAsia="Times New Roman" w:hAnsi="Times New Roman" w:cs="Times New Roman"/>
                <w:b/>
                <w:bCs/>
                <w:sz w:val="20"/>
              </w:rPr>
              <w:t> </w:t>
            </w:r>
          </w:p>
        </w:tc>
      </w:tr>
      <w:tr w:rsidR="00522F27" w:rsidRPr="00993B2B" w:rsidTr="00CD76FF">
        <w:trPr>
          <w:trHeight w:val="2078"/>
        </w:trPr>
        <w:tc>
          <w:tcPr>
            <w:tcW w:w="1918" w:type="pct"/>
            <w:tcBorders>
              <w:top w:val="nil"/>
              <w:left w:val="single" w:sz="4" w:space="0" w:color="auto"/>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sz w:val="20"/>
              </w:rPr>
            </w:pPr>
            <w:r w:rsidRPr="00993B2B">
              <w:rPr>
                <w:rFonts w:ascii="Times New Roman" w:eastAsia="Times New Roman" w:hAnsi="Times New Roman" w:cs="Times New Roman"/>
                <w:sz w:val="20"/>
              </w:rPr>
              <w:t>Corticosteroids</w:t>
            </w:r>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sz w:val="20"/>
              </w:rPr>
            </w:pPr>
            <w:r w:rsidRPr="00993B2B">
              <w:rPr>
                <w:rFonts w:ascii="Times New Roman" w:eastAsia="Times New Roman" w:hAnsi="Times New Roman" w:cs="Times New Roman"/>
                <w:sz w:val="20"/>
              </w:rPr>
              <w:t xml:space="preserve">22 10 00 15 10 xx </w:t>
            </w:r>
            <w:proofErr w:type="spellStart"/>
            <w:r w:rsidRPr="00993B2B">
              <w:rPr>
                <w:rFonts w:ascii="Times New Roman" w:eastAsia="Times New Roman" w:hAnsi="Times New Roman" w:cs="Times New Roman"/>
                <w:sz w:val="20"/>
              </w:rPr>
              <w:t>xx</w:t>
            </w:r>
            <w:proofErr w:type="spellEnd"/>
            <w:r w:rsidRPr="00993B2B">
              <w:rPr>
                <w:rFonts w:ascii="Times New Roman" w:eastAsia="Times New Roman" w:hAnsi="Times New Roman" w:cs="Times New Roman"/>
                <w:sz w:val="20"/>
              </w:rPr>
              <w:br/>
              <w:t xml:space="preserve">22 10 00 20 00 xx </w:t>
            </w:r>
            <w:proofErr w:type="spellStart"/>
            <w:r w:rsidRPr="00993B2B">
              <w:rPr>
                <w:rFonts w:ascii="Times New Roman" w:eastAsia="Times New Roman" w:hAnsi="Times New Roman" w:cs="Times New Roman"/>
                <w:sz w:val="20"/>
              </w:rPr>
              <w:t>xx</w:t>
            </w:r>
            <w:proofErr w:type="spellEnd"/>
            <w:r w:rsidRPr="00993B2B">
              <w:rPr>
                <w:rFonts w:ascii="Times New Roman" w:eastAsia="Times New Roman" w:hAnsi="Times New Roman" w:cs="Times New Roman"/>
                <w:sz w:val="20"/>
              </w:rPr>
              <w:br/>
              <w:t xml:space="preserve">22 10 00 20 10 xx </w:t>
            </w:r>
            <w:proofErr w:type="spellStart"/>
            <w:r w:rsidRPr="00993B2B">
              <w:rPr>
                <w:rFonts w:ascii="Times New Roman" w:eastAsia="Times New Roman" w:hAnsi="Times New Roman" w:cs="Times New Roman"/>
                <w:sz w:val="20"/>
              </w:rPr>
              <w:t>xx</w:t>
            </w:r>
            <w:proofErr w:type="spellEnd"/>
            <w:r w:rsidRPr="00993B2B">
              <w:rPr>
                <w:rFonts w:ascii="Times New Roman" w:eastAsia="Times New Roman" w:hAnsi="Times New Roman" w:cs="Times New Roman"/>
                <w:sz w:val="20"/>
              </w:rPr>
              <w:br/>
              <w:t xml:space="preserve">22 10 00 20 20 xx </w:t>
            </w:r>
            <w:proofErr w:type="spellStart"/>
            <w:r w:rsidRPr="00993B2B">
              <w:rPr>
                <w:rFonts w:ascii="Times New Roman" w:eastAsia="Times New Roman" w:hAnsi="Times New Roman" w:cs="Times New Roman"/>
                <w:sz w:val="20"/>
              </w:rPr>
              <w:t>xx</w:t>
            </w:r>
            <w:proofErr w:type="spellEnd"/>
            <w:r w:rsidRPr="00993B2B">
              <w:rPr>
                <w:rFonts w:ascii="Times New Roman" w:eastAsia="Times New Roman" w:hAnsi="Times New Roman" w:cs="Times New Roman"/>
                <w:sz w:val="20"/>
              </w:rPr>
              <w:br/>
              <w:t xml:space="preserve">22 10 00 30 00 xx </w:t>
            </w:r>
            <w:proofErr w:type="spellStart"/>
            <w:r w:rsidRPr="00993B2B">
              <w:rPr>
                <w:rFonts w:ascii="Times New Roman" w:eastAsia="Times New Roman" w:hAnsi="Times New Roman" w:cs="Times New Roman"/>
                <w:sz w:val="20"/>
              </w:rPr>
              <w:t>xx</w:t>
            </w:r>
            <w:proofErr w:type="spellEnd"/>
            <w:r w:rsidRPr="00993B2B">
              <w:rPr>
                <w:rFonts w:ascii="Times New Roman" w:eastAsia="Times New Roman" w:hAnsi="Times New Roman" w:cs="Times New Roman"/>
                <w:sz w:val="20"/>
              </w:rPr>
              <w:br/>
              <w:t xml:space="preserve">22 10 00 30 10 xx </w:t>
            </w:r>
            <w:proofErr w:type="spellStart"/>
            <w:r w:rsidRPr="00993B2B">
              <w:rPr>
                <w:rFonts w:ascii="Times New Roman" w:eastAsia="Times New Roman" w:hAnsi="Times New Roman" w:cs="Times New Roman"/>
                <w:sz w:val="20"/>
              </w:rPr>
              <w:t>xx</w:t>
            </w:r>
            <w:proofErr w:type="spellEnd"/>
            <w:r w:rsidRPr="00993B2B">
              <w:rPr>
                <w:rFonts w:ascii="Times New Roman" w:eastAsia="Times New Roman" w:hAnsi="Times New Roman" w:cs="Times New Roman"/>
                <w:sz w:val="20"/>
              </w:rPr>
              <w:br/>
              <w:t xml:space="preserve">22 10 00 30 20 xx </w:t>
            </w:r>
            <w:proofErr w:type="spellStart"/>
            <w:r w:rsidRPr="00993B2B">
              <w:rPr>
                <w:rFonts w:ascii="Times New Roman" w:eastAsia="Times New Roman" w:hAnsi="Times New Roman" w:cs="Times New Roman"/>
                <w:sz w:val="20"/>
              </w:rPr>
              <w:t>xx</w:t>
            </w:r>
            <w:proofErr w:type="spellEnd"/>
            <w:r w:rsidRPr="00993B2B">
              <w:rPr>
                <w:rFonts w:ascii="Times New Roman" w:eastAsia="Times New Roman" w:hAnsi="Times New Roman" w:cs="Times New Roman"/>
                <w:sz w:val="20"/>
              </w:rPr>
              <w:br/>
              <w:t xml:space="preserve">22 10 00 45 00 xx </w:t>
            </w:r>
            <w:proofErr w:type="spellStart"/>
            <w:r w:rsidRPr="00993B2B">
              <w:rPr>
                <w:rFonts w:ascii="Times New Roman" w:eastAsia="Times New Roman" w:hAnsi="Times New Roman" w:cs="Times New Roman"/>
                <w:sz w:val="20"/>
              </w:rPr>
              <w:t>xx</w:t>
            </w:r>
            <w:proofErr w:type="spellEnd"/>
            <w:r w:rsidRPr="00993B2B">
              <w:rPr>
                <w:rFonts w:ascii="Times New Roman" w:eastAsia="Times New Roman" w:hAnsi="Times New Roman" w:cs="Times New Roman"/>
                <w:sz w:val="20"/>
              </w:rPr>
              <w:br/>
              <w:t xml:space="preserve">22 10 99 02 60 xx </w:t>
            </w:r>
            <w:proofErr w:type="spellStart"/>
            <w:r w:rsidRPr="00993B2B">
              <w:rPr>
                <w:rFonts w:ascii="Times New Roman" w:eastAsia="Times New Roman" w:hAnsi="Times New Roman" w:cs="Times New Roman"/>
                <w:sz w:val="20"/>
              </w:rPr>
              <w:t>xx</w:t>
            </w:r>
            <w:proofErr w:type="spellEnd"/>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sz w:val="20"/>
              </w:rPr>
            </w:pPr>
            <w:r w:rsidRPr="00993B2B">
              <w:rPr>
                <w:rFonts w:ascii="Times New Roman" w:eastAsia="Times New Roman" w:hAnsi="Times New Roman" w:cs="Times New Roman"/>
                <w:sz w:val="20"/>
              </w:rPr>
              <w:t>J1020, J1030, J1040, J1094, J1100, J2920, J2930, J7506, J7509, J7512, J8540</w:t>
            </w:r>
          </w:p>
        </w:tc>
      </w:tr>
      <w:tr w:rsidR="00522F27" w:rsidRPr="00993B2B" w:rsidTr="00CD76FF">
        <w:trPr>
          <w:trHeight w:val="350"/>
        </w:trPr>
        <w:tc>
          <w:tcPr>
            <w:tcW w:w="1918" w:type="pct"/>
            <w:tcBorders>
              <w:top w:val="nil"/>
              <w:left w:val="single" w:sz="4" w:space="0" w:color="auto"/>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Corticotropin</w:t>
            </w:r>
            <w:proofErr w:type="spellEnd"/>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sz w:val="20"/>
              </w:rPr>
            </w:pPr>
            <w:r w:rsidRPr="00993B2B">
              <w:rPr>
                <w:rFonts w:ascii="Times New Roman" w:eastAsia="Times New Roman" w:hAnsi="Times New Roman" w:cs="Times New Roman"/>
                <w:sz w:val="20"/>
              </w:rPr>
              <w:t xml:space="preserve">30 30 00 10 00 xx </w:t>
            </w:r>
            <w:proofErr w:type="spellStart"/>
            <w:r w:rsidRPr="00993B2B">
              <w:rPr>
                <w:rFonts w:ascii="Times New Roman" w:eastAsia="Times New Roman" w:hAnsi="Times New Roman" w:cs="Times New Roman"/>
                <w:sz w:val="20"/>
              </w:rPr>
              <w:t>xx</w:t>
            </w:r>
            <w:proofErr w:type="spellEnd"/>
            <w:r w:rsidRPr="00993B2B">
              <w:rPr>
                <w:rFonts w:ascii="Times New Roman" w:eastAsia="Times New Roman" w:hAnsi="Times New Roman" w:cs="Times New Roman"/>
                <w:sz w:val="20"/>
              </w:rPr>
              <w:br/>
              <w:t xml:space="preserve">30 30 00 20 10 xx </w:t>
            </w:r>
            <w:proofErr w:type="spellStart"/>
            <w:r w:rsidRPr="00993B2B">
              <w:rPr>
                <w:rFonts w:ascii="Times New Roman" w:eastAsia="Times New Roman" w:hAnsi="Times New Roman" w:cs="Times New Roman"/>
                <w:sz w:val="20"/>
              </w:rPr>
              <w:t>xx</w:t>
            </w:r>
            <w:proofErr w:type="spellEnd"/>
          </w:p>
        </w:tc>
        <w:tc>
          <w:tcPr>
            <w:tcW w:w="1541" w:type="pct"/>
            <w:tcBorders>
              <w:top w:val="nil"/>
              <w:left w:val="nil"/>
              <w:bottom w:val="single" w:sz="4" w:space="0" w:color="auto"/>
              <w:right w:val="single" w:sz="4" w:space="0" w:color="auto"/>
            </w:tcBorders>
            <w:shd w:val="clear" w:color="000000" w:fill="FFFFFF"/>
            <w:hideMark/>
          </w:tcPr>
          <w:p w:rsidR="00522F27" w:rsidRPr="00993B2B" w:rsidRDefault="00522F27" w:rsidP="00CD76FF">
            <w:pPr>
              <w:spacing w:after="0" w:line="240" w:lineRule="auto"/>
              <w:rPr>
                <w:rFonts w:ascii="Times New Roman" w:eastAsia="Times New Roman" w:hAnsi="Times New Roman" w:cs="Times New Roman"/>
                <w:sz w:val="20"/>
              </w:rPr>
            </w:pPr>
            <w:r w:rsidRPr="00993B2B">
              <w:rPr>
                <w:rFonts w:ascii="Times New Roman" w:eastAsia="Times New Roman" w:hAnsi="Times New Roman" w:cs="Times New Roman"/>
                <w:sz w:val="20"/>
              </w:rPr>
              <w:t>J0800</w:t>
            </w:r>
          </w:p>
        </w:tc>
      </w:tr>
      <w:tr w:rsidR="00522F27" w:rsidRPr="00993B2B" w:rsidTr="00CD76FF">
        <w:trPr>
          <w:trHeight w:val="300"/>
        </w:trPr>
        <w:tc>
          <w:tcPr>
            <w:tcW w:w="5000" w:type="pct"/>
            <w:gridSpan w:val="3"/>
            <w:tcBorders>
              <w:top w:val="nil"/>
              <w:left w:val="nil"/>
              <w:bottom w:val="nil"/>
              <w:right w:val="nil"/>
            </w:tcBorders>
            <w:shd w:val="clear" w:color="auto" w:fill="auto"/>
            <w:noWrap/>
            <w:vAlign w:val="bottom"/>
            <w:hideMark/>
          </w:tcPr>
          <w:p w:rsidR="00522F27" w:rsidRPr="00993B2B" w:rsidRDefault="00522F27" w:rsidP="00CD76FF">
            <w:pPr>
              <w:spacing w:after="0" w:line="240" w:lineRule="auto"/>
              <w:rPr>
                <w:rFonts w:ascii="Times New Roman" w:eastAsia="Times New Roman" w:hAnsi="Times New Roman" w:cs="Times New Roman"/>
                <w:i/>
                <w:iCs/>
                <w:color w:val="000000"/>
                <w:sz w:val="20"/>
              </w:rPr>
            </w:pPr>
            <w:r>
              <w:rPr>
                <w:rFonts w:ascii="Times New Roman" w:eastAsia="Times New Roman" w:hAnsi="Times New Roman" w:cs="Times New Roman"/>
                <w:i/>
                <w:iCs/>
                <w:color w:val="000000"/>
                <w:sz w:val="20"/>
              </w:rPr>
              <w:t>GPI</w:t>
            </w:r>
            <w:r w:rsidRPr="00993B2B">
              <w:rPr>
                <w:rFonts w:ascii="Times New Roman" w:eastAsia="Times New Roman" w:hAnsi="Times New Roman" w:cs="Times New Roman"/>
                <w:i/>
                <w:iCs/>
                <w:color w:val="000000"/>
                <w:sz w:val="20"/>
              </w:rPr>
              <w:t xml:space="preserve"> </w:t>
            </w:r>
            <w:r w:rsidRPr="00993B2B">
              <w:rPr>
                <w:rFonts w:ascii="Times New Roman" w:eastAsia="Times New Roman" w:hAnsi="Times New Roman" w:cs="Times New Roman"/>
                <w:iCs/>
                <w:color w:val="000000"/>
                <w:sz w:val="20"/>
              </w:rPr>
              <w:t>Generic Product Identifier,</w:t>
            </w:r>
            <w:r>
              <w:rPr>
                <w:rFonts w:ascii="Times New Roman" w:eastAsia="Times New Roman" w:hAnsi="Times New Roman" w:cs="Times New Roman"/>
                <w:i/>
                <w:iCs/>
                <w:color w:val="000000"/>
                <w:sz w:val="20"/>
              </w:rPr>
              <w:t xml:space="preserve"> HCPCS</w:t>
            </w:r>
            <w:r w:rsidRPr="00993B2B">
              <w:rPr>
                <w:rFonts w:ascii="Times New Roman" w:eastAsia="Times New Roman" w:hAnsi="Times New Roman" w:cs="Times New Roman"/>
                <w:i/>
                <w:iCs/>
                <w:color w:val="000000"/>
                <w:sz w:val="20"/>
              </w:rPr>
              <w:t xml:space="preserve"> </w:t>
            </w:r>
            <w:r w:rsidRPr="00993B2B">
              <w:rPr>
                <w:rFonts w:ascii="Times New Roman" w:eastAsia="Times New Roman" w:hAnsi="Times New Roman" w:cs="Times New Roman"/>
                <w:iCs/>
                <w:color w:val="000000"/>
                <w:sz w:val="20"/>
              </w:rPr>
              <w:t>Healthcare Common Procedure Coding System,</w:t>
            </w:r>
            <w:r>
              <w:rPr>
                <w:rFonts w:ascii="Times New Roman" w:eastAsia="Times New Roman" w:hAnsi="Times New Roman" w:cs="Times New Roman"/>
                <w:i/>
                <w:iCs/>
                <w:color w:val="000000"/>
                <w:sz w:val="20"/>
              </w:rPr>
              <w:t xml:space="preserve"> MS </w:t>
            </w:r>
            <w:r w:rsidRPr="00993B2B">
              <w:rPr>
                <w:rFonts w:ascii="Times New Roman" w:eastAsia="Times New Roman" w:hAnsi="Times New Roman" w:cs="Times New Roman"/>
                <w:iCs/>
                <w:color w:val="000000"/>
                <w:sz w:val="20"/>
              </w:rPr>
              <w:t>multiple sclerosis</w:t>
            </w:r>
          </w:p>
        </w:tc>
      </w:tr>
    </w:tbl>
    <w:p w:rsidR="00522F27" w:rsidRDefault="00522F27" w:rsidP="00522F27">
      <w:pPr>
        <w:spacing w:after="0" w:line="240" w:lineRule="auto"/>
        <w:rPr>
          <w:rFonts w:ascii="Times New Roman" w:hAnsi="Times New Roman" w:cs="Times New Roman"/>
          <w:szCs w:val="18"/>
        </w:rPr>
      </w:pPr>
    </w:p>
    <w:p w:rsidR="00522F27" w:rsidRDefault="00522F27" w:rsidP="00522F27">
      <w:pPr>
        <w:spacing w:after="0" w:line="240" w:lineRule="auto"/>
        <w:rPr>
          <w:rFonts w:ascii="Times New Roman" w:hAnsi="Times New Roman" w:cs="Times New Roman"/>
          <w:szCs w:val="18"/>
        </w:rPr>
      </w:pPr>
    </w:p>
    <w:p w:rsidR="00522F27" w:rsidRDefault="00522F27" w:rsidP="00522F27">
      <w:pPr>
        <w:spacing w:after="0" w:line="240" w:lineRule="auto"/>
        <w:rPr>
          <w:rFonts w:ascii="Times New Roman" w:hAnsi="Times New Roman" w:cs="Times New Roman"/>
          <w:szCs w:val="18"/>
        </w:rPr>
      </w:pPr>
      <w:r>
        <w:rPr>
          <w:rFonts w:ascii="Times New Roman" w:hAnsi="Times New Roman" w:cs="Times New Roman"/>
          <w:b/>
          <w:szCs w:val="18"/>
        </w:rPr>
        <w:t>Table S2. Codes used to identify MS symptoms in medical claims</w:t>
      </w:r>
    </w:p>
    <w:p w:rsidR="00522F27" w:rsidRDefault="00522F27" w:rsidP="00522F27">
      <w:pPr>
        <w:spacing w:after="0" w:line="240" w:lineRule="auto"/>
        <w:rPr>
          <w:rFonts w:ascii="Times New Roman" w:hAnsi="Times New Roman" w:cs="Times New Roman"/>
          <w:szCs w:val="18"/>
        </w:rPr>
      </w:pPr>
    </w:p>
    <w:tbl>
      <w:tblPr>
        <w:tblW w:w="5000" w:type="pct"/>
        <w:tblLook w:val="04A0" w:firstRow="1" w:lastRow="0" w:firstColumn="1" w:lastColumn="0" w:noHBand="0" w:noVBand="1"/>
      </w:tblPr>
      <w:tblGrid>
        <w:gridCol w:w="6603"/>
        <w:gridCol w:w="2747"/>
      </w:tblGrid>
      <w:tr w:rsidR="00522F27" w:rsidRPr="00F850CD" w:rsidTr="00CD76FF">
        <w:trPr>
          <w:trHeight w:val="233"/>
        </w:trPr>
        <w:tc>
          <w:tcPr>
            <w:tcW w:w="3547"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522F27" w:rsidRPr="00F850CD" w:rsidRDefault="00522F27" w:rsidP="00CD76FF">
            <w:pPr>
              <w:spacing w:after="0" w:line="240" w:lineRule="auto"/>
              <w:rPr>
                <w:rFonts w:ascii="Times New Roman" w:eastAsia="Times New Roman" w:hAnsi="Times New Roman" w:cs="Times New Roman"/>
                <w:b/>
                <w:bCs/>
                <w:sz w:val="20"/>
              </w:rPr>
            </w:pPr>
            <w:r w:rsidRPr="00F850CD">
              <w:rPr>
                <w:rFonts w:ascii="Times New Roman" w:eastAsia="Times New Roman" w:hAnsi="Times New Roman" w:cs="Times New Roman"/>
                <w:b/>
                <w:bCs/>
                <w:sz w:val="20"/>
              </w:rPr>
              <w:t>Condition</w:t>
            </w:r>
          </w:p>
        </w:tc>
        <w:tc>
          <w:tcPr>
            <w:tcW w:w="1453" w:type="pct"/>
            <w:tcBorders>
              <w:top w:val="single" w:sz="4" w:space="0" w:color="auto"/>
              <w:left w:val="nil"/>
              <w:bottom w:val="single" w:sz="4" w:space="0" w:color="auto"/>
              <w:right w:val="single" w:sz="4" w:space="0" w:color="auto"/>
            </w:tcBorders>
            <w:shd w:val="clear" w:color="000000" w:fill="A6A6A6"/>
            <w:vAlign w:val="center"/>
            <w:hideMark/>
          </w:tcPr>
          <w:p w:rsidR="00522F27" w:rsidRPr="00F850CD" w:rsidRDefault="00522F27" w:rsidP="00CD76FF">
            <w:pPr>
              <w:spacing w:after="0" w:line="240" w:lineRule="auto"/>
              <w:rPr>
                <w:rFonts w:ascii="Times New Roman" w:eastAsia="Times New Roman" w:hAnsi="Times New Roman" w:cs="Times New Roman"/>
                <w:b/>
                <w:bCs/>
                <w:sz w:val="20"/>
              </w:rPr>
            </w:pPr>
            <w:r w:rsidRPr="00F850CD">
              <w:rPr>
                <w:rFonts w:ascii="Times New Roman" w:eastAsia="Times New Roman" w:hAnsi="Times New Roman" w:cs="Times New Roman"/>
                <w:b/>
                <w:bCs/>
                <w:sz w:val="20"/>
              </w:rPr>
              <w:t>ICD-9-CM diagnosis codes</w:t>
            </w:r>
          </w:p>
        </w:tc>
      </w:tr>
      <w:tr w:rsidR="00522F27" w:rsidRPr="00F850CD" w:rsidTr="00CD76FF">
        <w:trPr>
          <w:trHeight w:val="197"/>
        </w:trPr>
        <w:tc>
          <w:tcPr>
            <w:tcW w:w="3547" w:type="pct"/>
            <w:tcBorders>
              <w:top w:val="nil"/>
              <w:left w:val="single" w:sz="4" w:space="0" w:color="auto"/>
              <w:bottom w:val="single" w:sz="4" w:space="0" w:color="auto"/>
              <w:right w:val="single" w:sz="4" w:space="0" w:color="auto"/>
            </w:tcBorders>
            <w:shd w:val="clear" w:color="auto" w:fill="auto"/>
            <w:vAlign w:val="center"/>
            <w:hideMark/>
          </w:tcPr>
          <w:p w:rsidR="00522F27" w:rsidRPr="00F850CD" w:rsidRDefault="00522F27" w:rsidP="00CD76FF">
            <w:pPr>
              <w:spacing w:after="0" w:line="240" w:lineRule="auto"/>
              <w:rPr>
                <w:rFonts w:ascii="Times New Roman" w:eastAsia="Times New Roman" w:hAnsi="Times New Roman" w:cs="Times New Roman"/>
                <w:color w:val="000000"/>
                <w:sz w:val="20"/>
              </w:rPr>
            </w:pPr>
            <w:r w:rsidRPr="00F850CD">
              <w:rPr>
                <w:rFonts w:ascii="Times New Roman" w:eastAsia="Times New Roman" w:hAnsi="Times New Roman" w:cs="Times New Roman"/>
                <w:color w:val="000000"/>
                <w:sz w:val="20"/>
              </w:rPr>
              <w:t>Demyelinating disease of CNS, unspecified</w:t>
            </w:r>
          </w:p>
        </w:tc>
        <w:tc>
          <w:tcPr>
            <w:tcW w:w="1453" w:type="pct"/>
            <w:tcBorders>
              <w:top w:val="nil"/>
              <w:left w:val="nil"/>
              <w:bottom w:val="single" w:sz="4" w:space="0" w:color="auto"/>
              <w:right w:val="single" w:sz="4" w:space="0" w:color="auto"/>
            </w:tcBorders>
            <w:shd w:val="clear" w:color="auto" w:fill="auto"/>
            <w:vAlign w:val="center"/>
            <w:hideMark/>
          </w:tcPr>
          <w:p w:rsidR="00522F27" w:rsidRPr="00F850CD" w:rsidRDefault="00522F27" w:rsidP="00CD76FF">
            <w:pPr>
              <w:spacing w:after="0" w:line="240" w:lineRule="auto"/>
              <w:rPr>
                <w:rFonts w:ascii="Times New Roman" w:eastAsia="Times New Roman" w:hAnsi="Times New Roman" w:cs="Times New Roman"/>
                <w:color w:val="000000"/>
                <w:sz w:val="20"/>
              </w:rPr>
            </w:pPr>
            <w:r w:rsidRPr="00F850CD">
              <w:rPr>
                <w:rFonts w:ascii="Times New Roman" w:eastAsia="Times New Roman" w:hAnsi="Times New Roman" w:cs="Times New Roman"/>
                <w:color w:val="000000"/>
                <w:sz w:val="20"/>
              </w:rPr>
              <w:t>341.9x</w:t>
            </w:r>
          </w:p>
        </w:tc>
      </w:tr>
      <w:tr w:rsidR="00522F27" w:rsidRPr="00F850CD" w:rsidTr="00CD76FF">
        <w:trPr>
          <w:trHeight w:val="152"/>
        </w:trPr>
        <w:tc>
          <w:tcPr>
            <w:tcW w:w="3547" w:type="pct"/>
            <w:tcBorders>
              <w:top w:val="nil"/>
              <w:left w:val="single" w:sz="4" w:space="0" w:color="auto"/>
              <w:bottom w:val="single" w:sz="4" w:space="0" w:color="auto"/>
              <w:right w:val="single" w:sz="4" w:space="0" w:color="auto"/>
            </w:tcBorders>
            <w:shd w:val="clear" w:color="auto" w:fill="auto"/>
            <w:vAlign w:val="center"/>
            <w:hideMark/>
          </w:tcPr>
          <w:p w:rsidR="00522F27" w:rsidRPr="00F850CD" w:rsidRDefault="00522F27" w:rsidP="00CD76FF">
            <w:pPr>
              <w:spacing w:after="0" w:line="240" w:lineRule="auto"/>
              <w:rPr>
                <w:rFonts w:ascii="Times New Roman" w:eastAsia="Times New Roman" w:hAnsi="Times New Roman" w:cs="Times New Roman"/>
                <w:color w:val="000000"/>
                <w:sz w:val="20"/>
              </w:rPr>
            </w:pPr>
            <w:r w:rsidRPr="00F850CD">
              <w:rPr>
                <w:rFonts w:ascii="Times New Roman" w:eastAsia="Times New Roman" w:hAnsi="Times New Roman" w:cs="Times New Roman"/>
                <w:color w:val="000000"/>
                <w:sz w:val="20"/>
              </w:rPr>
              <w:t>Disorders of optic nerve and visual pathways</w:t>
            </w:r>
          </w:p>
        </w:tc>
        <w:tc>
          <w:tcPr>
            <w:tcW w:w="1453" w:type="pct"/>
            <w:tcBorders>
              <w:top w:val="nil"/>
              <w:left w:val="nil"/>
              <w:bottom w:val="single" w:sz="4" w:space="0" w:color="auto"/>
              <w:right w:val="single" w:sz="4" w:space="0" w:color="auto"/>
            </w:tcBorders>
            <w:shd w:val="clear" w:color="auto" w:fill="auto"/>
            <w:vAlign w:val="center"/>
            <w:hideMark/>
          </w:tcPr>
          <w:p w:rsidR="00522F27" w:rsidRPr="00F850CD" w:rsidRDefault="00522F27" w:rsidP="00CD76FF">
            <w:pPr>
              <w:spacing w:after="0" w:line="240" w:lineRule="auto"/>
              <w:rPr>
                <w:rFonts w:ascii="Times New Roman" w:eastAsia="Times New Roman" w:hAnsi="Times New Roman" w:cs="Times New Roman"/>
                <w:color w:val="000000"/>
                <w:sz w:val="20"/>
              </w:rPr>
            </w:pPr>
            <w:r w:rsidRPr="00F850CD">
              <w:rPr>
                <w:rFonts w:ascii="Times New Roman" w:eastAsia="Times New Roman" w:hAnsi="Times New Roman" w:cs="Times New Roman"/>
                <w:color w:val="000000"/>
                <w:sz w:val="20"/>
              </w:rPr>
              <w:t>377.xx</w:t>
            </w:r>
          </w:p>
        </w:tc>
      </w:tr>
      <w:tr w:rsidR="00522F27" w:rsidRPr="00F850CD" w:rsidTr="00CD76FF">
        <w:trPr>
          <w:trHeight w:val="206"/>
        </w:trPr>
        <w:tc>
          <w:tcPr>
            <w:tcW w:w="3547" w:type="pct"/>
            <w:tcBorders>
              <w:top w:val="nil"/>
              <w:left w:val="single" w:sz="4" w:space="0" w:color="auto"/>
              <w:bottom w:val="single" w:sz="4" w:space="0" w:color="auto"/>
              <w:right w:val="single" w:sz="4" w:space="0" w:color="auto"/>
            </w:tcBorders>
            <w:shd w:val="clear" w:color="auto" w:fill="auto"/>
            <w:vAlign w:val="center"/>
            <w:hideMark/>
          </w:tcPr>
          <w:p w:rsidR="00522F27" w:rsidRPr="00F850CD" w:rsidRDefault="00522F27" w:rsidP="00CD76FF">
            <w:pPr>
              <w:spacing w:after="0" w:line="240" w:lineRule="auto"/>
              <w:rPr>
                <w:rFonts w:ascii="Times New Roman" w:eastAsia="Times New Roman" w:hAnsi="Times New Roman" w:cs="Times New Roman"/>
                <w:color w:val="000000"/>
                <w:sz w:val="20"/>
              </w:rPr>
            </w:pPr>
            <w:r w:rsidRPr="00F850CD">
              <w:rPr>
                <w:rFonts w:ascii="Times New Roman" w:eastAsia="Times New Roman" w:hAnsi="Times New Roman" w:cs="Times New Roman"/>
                <w:color w:val="000000"/>
                <w:sz w:val="20"/>
              </w:rPr>
              <w:t>General symptoms: dizziness and giddiness</w:t>
            </w:r>
          </w:p>
        </w:tc>
        <w:tc>
          <w:tcPr>
            <w:tcW w:w="1453" w:type="pct"/>
            <w:tcBorders>
              <w:top w:val="nil"/>
              <w:left w:val="nil"/>
              <w:bottom w:val="single" w:sz="4" w:space="0" w:color="auto"/>
              <w:right w:val="single" w:sz="4" w:space="0" w:color="auto"/>
            </w:tcBorders>
            <w:shd w:val="clear" w:color="auto" w:fill="auto"/>
            <w:vAlign w:val="center"/>
            <w:hideMark/>
          </w:tcPr>
          <w:p w:rsidR="00522F27" w:rsidRPr="00F850CD" w:rsidRDefault="00522F27" w:rsidP="00CD76FF">
            <w:pPr>
              <w:spacing w:after="0" w:line="240" w:lineRule="auto"/>
              <w:rPr>
                <w:rFonts w:ascii="Times New Roman" w:eastAsia="Times New Roman" w:hAnsi="Times New Roman" w:cs="Times New Roman"/>
                <w:color w:val="000000"/>
                <w:sz w:val="20"/>
              </w:rPr>
            </w:pPr>
            <w:r w:rsidRPr="00F850CD">
              <w:rPr>
                <w:rFonts w:ascii="Times New Roman" w:eastAsia="Times New Roman" w:hAnsi="Times New Roman" w:cs="Times New Roman"/>
                <w:color w:val="000000"/>
                <w:sz w:val="20"/>
              </w:rPr>
              <w:t>780.4x</w:t>
            </w:r>
          </w:p>
        </w:tc>
      </w:tr>
      <w:tr w:rsidR="00522F27" w:rsidRPr="00F850CD" w:rsidTr="00CD76FF">
        <w:trPr>
          <w:trHeight w:val="170"/>
        </w:trPr>
        <w:tc>
          <w:tcPr>
            <w:tcW w:w="3547" w:type="pct"/>
            <w:tcBorders>
              <w:top w:val="nil"/>
              <w:left w:val="single" w:sz="4" w:space="0" w:color="auto"/>
              <w:bottom w:val="single" w:sz="4" w:space="0" w:color="auto"/>
              <w:right w:val="single" w:sz="4" w:space="0" w:color="auto"/>
            </w:tcBorders>
            <w:shd w:val="clear" w:color="auto" w:fill="auto"/>
            <w:vAlign w:val="center"/>
            <w:hideMark/>
          </w:tcPr>
          <w:p w:rsidR="00522F27" w:rsidRPr="00F850CD" w:rsidRDefault="00522F27" w:rsidP="00CD76FF">
            <w:pPr>
              <w:spacing w:after="0" w:line="240" w:lineRule="auto"/>
              <w:rPr>
                <w:rFonts w:ascii="Times New Roman" w:eastAsia="Times New Roman" w:hAnsi="Times New Roman" w:cs="Times New Roman"/>
                <w:color w:val="000000"/>
                <w:sz w:val="20"/>
              </w:rPr>
            </w:pPr>
            <w:r w:rsidRPr="00F850CD">
              <w:rPr>
                <w:rFonts w:ascii="Times New Roman" w:eastAsia="Times New Roman" w:hAnsi="Times New Roman" w:cs="Times New Roman"/>
                <w:color w:val="000000"/>
                <w:sz w:val="20"/>
              </w:rPr>
              <w:t>General symptoms: fatigue/malaise</w:t>
            </w:r>
          </w:p>
        </w:tc>
        <w:tc>
          <w:tcPr>
            <w:tcW w:w="1453" w:type="pct"/>
            <w:tcBorders>
              <w:top w:val="nil"/>
              <w:left w:val="nil"/>
              <w:bottom w:val="single" w:sz="4" w:space="0" w:color="auto"/>
              <w:right w:val="single" w:sz="4" w:space="0" w:color="auto"/>
            </w:tcBorders>
            <w:shd w:val="clear" w:color="auto" w:fill="auto"/>
            <w:vAlign w:val="center"/>
            <w:hideMark/>
          </w:tcPr>
          <w:p w:rsidR="00522F27" w:rsidRPr="00F850CD" w:rsidRDefault="00522F27" w:rsidP="00CD76FF">
            <w:pPr>
              <w:spacing w:after="0" w:line="240" w:lineRule="auto"/>
              <w:rPr>
                <w:rFonts w:ascii="Times New Roman" w:eastAsia="Times New Roman" w:hAnsi="Times New Roman" w:cs="Times New Roman"/>
                <w:color w:val="000000"/>
                <w:sz w:val="20"/>
              </w:rPr>
            </w:pPr>
            <w:r w:rsidRPr="00F850CD">
              <w:rPr>
                <w:rFonts w:ascii="Times New Roman" w:eastAsia="Times New Roman" w:hAnsi="Times New Roman" w:cs="Times New Roman"/>
                <w:color w:val="000000"/>
                <w:sz w:val="20"/>
              </w:rPr>
              <w:t>780.7x</w:t>
            </w:r>
          </w:p>
        </w:tc>
      </w:tr>
      <w:tr w:rsidR="00522F27" w:rsidRPr="00F850CD" w:rsidTr="00CD76FF">
        <w:trPr>
          <w:trHeight w:val="134"/>
        </w:trPr>
        <w:tc>
          <w:tcPr>
            <w:tcW w:w="3547" w:type="pct"/>
            <w:tcBorders>
              <w:top w:val="nil"/>
              <w:left w:val="single" w:sz="4" w:space="0" w:color="auto"/>
              <w:bottom w:val="single" w:sz="4" w:space="0" w:color="auto"/>
              <w:right w:val="single" w:sz="4" w:space="0" w:color="auto"/>
            </w:tcBorders>
            <w:shd w:val="clear" w:color="auto" w:fill="auto"/>
            <w:vAlign w:val="center"/>
            <w:hideMark/>
          </w:tcPr>
          <w:p w:rsidR="00522F27" w:rsidRPr="00F850CD" w:rsidRDefault="00522F27" w:rsidP="00CD76FF">
            <w:pPr>
              <w:spacing w:after="0" w:line="240" w:lineRule="auto"/>
              <w:rPr>
                <w:rFonts w:ascii="Times New Roman" w:eastAsia="Times New Roman" w:hAnsi="Times New Roman" w:cs="Times New Roman"/>
                <w:color w:val="000000"/>
                <w:sz w:val="20"/>
              </w:rPr>
            </w:pPr>
            <w:r w:rsidRPr="00F850CD">
              <w:rPr>
                <w:rFonts w:ascii="Times New Roman" w:eastAsia="Times New Roman" w:hAnsi="Times New Roman" w:cs="Times New Roman"/>
                <w:color w:val="000000"/>
                <w:sz w:val="20"/>
              </w:rPr>
              <w:t>Neurogenic bladder NOS</w:t>
            </w:r>
          </w:p>
        </w:tc>
        <w:tc>
          <w:tcPr>
            <w:tcW w:w="1453" w:type="pct"/>
            <w:tcBorders>
              <w:top w:val="nil"/>
              <w:left w:val="nil"/>
              <w:bottom w:val="single" w:sz="4" w:space="0" w:color="auto"/>
              <w:right w:val="single" w:sz="4" w:space="0" w:color="auto"/>
            </w:tcBorders>
            <w:shd w:val="clear" w:color="auto" w:fill="auto"/>
            <w:vAlign w:val="center"/>
            <w:hideMark/>
          </w:tcPr>
          <w:p w:rsidR="00522F27" w:rsidRPr="00F850CD" w:rsidRDefault="00522F27" w:rsidP="00CD76FF">
            <w:pPr>
              <w:spacing w:after="0" w:line="240" w:lineRule="auto"/>
              <w:rPr>
                <w:rFonts w:ascii="Times New Roman" w:eastAsia="Times New Roman" w:hAnsi="Times New Roman" w:cs="Times New Roman"/>
                <w:color w:val="000000"/>
                <w:sz w:val="20"/>
              </w:rPr>
            </w:pPr>
            <w:r w:rsidRPr="00F850CD">
              <w:rPr>
                <w:rFonts w:ascii="Times New Roman" w:eastAsia="Times New Roman" w:hAnsi="Times New Roman" w:cs="Times New Roman"/>
                <w:color w:val="000000"/>
                <w:sz w:val="20"/>
              </w:rPr>
              <w:t>596.54</w:t>
            </w:r>
          </w:p>
        </w:tc>
      </w:tr>
      <w:tr w:rsidR="00522F27" w:rsidRPr="00F850CD" w:rsidTr="00CD76FF">
        <w:trPr>
          <w:trHeight w:val="179"/>
        </w:trPr>
        <w:tc>
          <w:tcPr>
            <w:tcW w:w="3547" w:type="pct"/>
            <w:tcBorders>
              <w:top w:val="nil"/>
              <w:left w:val="single" w:sz="4" w:space="0" w:color="auto"/>
              <w:bottom w:val="single" w:sz="4" w:space="0" w:color="auto"/>
              <w:right w:val="single" w:sz="4" w:space="0" w:color="auto"/>
            </w:tcBorders>
            <w:shd w:val="clear" w:color="auto" w:fill="auto"/>
            <w:vAlign w:val="center"/>
            <w:hideMark/>
          </w:tcPr>
          <w:p w:rsidR="00522F27" w:rsidRPr="00F850CD" w:rsidRDefault="00522F27" w:rsidP="00CD76FF">
            <w:pPr>
              <w:spacing w:after="0" w:line="240" w:lineRule="auto"/>
              <w:rPr>
                <w:rFonts w:ascii="Times New Roman" w:eastAsia="Times New Roman" w:hAnsi="Times New Roman" w:cs="Times New Roman"/>
                <w:color w:val="000000"/>
                <w:sz w:val="20"/>
              </w:rPr>
            </w:pPr>
            <w:r w:rsidRPr="00F850CD">
              <w:rPr>
                <w:rFonts w:ascii="Times New Roman" w:eastAsia="Times New Roman" w:hAnsi="Times New Roman" w:cs="Times New Roman"/>
                <w:color w:val="000000"/>
                <w:sz w:val="20"/>
              </w:rPr>
              <w:t>Other causes of myelitis</w:t>
            </w:r>
          </w:p>
        </w:tc>
        <w:tc>
          <w:tcPr>
            <w:tcW w:w="1453" w:type="pct"/>
            <w:tcBorders>
              <w:top w:val="nil"/>
              <w:left w:val="nil"/>
              <w:bottom w:val="single" w:sz="4" w:space="0" w:color="auto"/>
              <w:right w:val="single" w:sz="4" w:space="0" w:color="auto"/>
            </w:tcBorders>
            <w:shd w:val="clear" w:color="auto" w:fill="auto"/>
            <w:vAlign w:val="center"/>
            <w:hideMark/>
          </w:tcPr>
          <w:p w:rsidR="00522F27" w:rsidRPr="00F850CD" w:rsidRDefault="00522F27" w:rsidP="00CD76FF">
            <w:pPr>
              <w:spacing w:after="0" w:line="240" w:lineRule="auto"/>
              <w:rPr>
                <w:rFonts w:ascii="Times New Roman" w:eastAsia="Times New Roman" w:hAnsi="Times New Roman" w:cs="Times New Roman"/>
                <w:color w:val="000000"/>
                <w:sz w:val="20"/>
              </w:rPr>
            </w:pPr>
            <w:r w:rsidRPr="00F850CD">
              <w:rPr>
                <w:rFonts w:ascii="Times New Roman" w:eastAsia="Times New Roman" w:hAnsi="Times New Roman" w:cs="Times New Roman"/>
                <w:color w:val="000000"/>
                <w:sz w:val="20"/>
              </w:rPr>
              <w:t>323.82</w:t>
            </w:r>
          </w:p>
        </w:tc>
      </w:tr>
      <w:tr w:rsidR="00522F27" w:rsidRPr="00F850CD" w:rsidTr="00CD76FF">
        <w:trPr>
          <w:trHeight w:val="215"/>
        </w:trPr>
        <w:tc>
          <w:tcPr>
            <w:tcW w:w="3547" w:type="pct"/>
            <w:tcBorders>
              <w:top w:val="nil"/>
              <w:left w:val="single" w:sz="4" w:space="0" w:color="auto"/>
              <w:bottom w:val="single" w:sz="4" w:space="0" w:color="auto"/>
              <w:right w:val="single" w:sz="4" w:space="0" w:color="auto"/>
            </w:tcBorders>
            <w:shd w:val="clear" w:color="auto" w:fill="auto"/>
            <w:vAlign w:val="center"/>
            <w:hideMark/>
          </w:tcPr>
          <w:p w:rsidR="00522F27" w:rsidRPr="00F850CD" w:rsidRDefault="00522F27" w:rsidP="00CD76FF">
            <w:pPr>
              <w:spacing w:after="0" w:line="240" w:lineRule="auto"/>
              <w:rPr>
                <w:rFonts w:ascii="Times New Roman" w:eastAsia="Times New Roman" w:hAnsi="Times New Roman" w:cs="Times New Roman"/>
                <w:color w:val="000000"/>
                <w:sz w:val="20"/>
              </w:rPr>
            </w:pPr>
            <w:r w:rsidRPr="00F850CD">
              <w:rPr>
                <w:rFonts w:ascii="Times New Roman" w:eastAsia="Times New Roman" w:hAnsi="Times New Roman" w:cs="Times New Roman"/>
                <w:color w:val="000000"/>
                <w:sz w:val="20"/>
              </w:rPr>
              <w:t>Other disorders of soft tissues: neuralgia, neuritis, and radiculitis, unspecified</w:t>
            </w:r>
          </w:p>
        </w:tc>
        <w:tc>
          <w:tcPr>
            <w:tcW w:w="1453" w:type="pct"/>
            <w:tcBorders>
              <w:top w:val="nil"/>
              <w:left w:val="nil"/>
              <w:bottom w:val="single" w:sz="4" w:space="0" w:color="auto"/>
              <w:right w:val="single" w:sz="4" w:space="0" w:color="auto"/>
            </w:tcBorders>
            <w:shd w:val="clear" w:color="auto" w:fill="auto"/>
            <w:vAlign w:val="center"/>
            <w:hideMark/>
          </w:tcPr>
          <w:p w:rsidR="00522F27" w:rsidRPr="00F850CD" w:rsidRDefault="00522F27" w:rsidP="00CD76FF">
            <w:pPr>
              <w:spacing w:after="0" w:line="240" w:lineRule="auto"/>
              <w:rPr>
                <w:rFonts w:ascii="Times New Roman" w:eastAsia="Times New Roman" w:hAnsi="Times New Roman" w:cs="Times New Roman"/>
                <w:color w:val="000000"/>
                <w:sz w:val="20"/>
              </w:rPr>
            </w:pPr>
            <w:r w:rsidRPr="00F850CD">
              <w:rPr>
                <w:rFonts w:ascii="Times New Roman" w:eastAsia="Times New Roman" w:hAnsi="Times New Roman" w:cs="Times New Roman"/>
                <w:color w:val="000000"/>
                <w:sz w:val="20"/>
              </w:rPr>
              <w:t>729.2x</w:t>
            </w:r>
          </w:p>
        </w:tc>
      </w:tr>
      <w:tr w:rsidR="00522F27" w:rsidRPr="00F850CD" w:rsidTr="00CD76FF">
        <w:trPr>
          <w:trHeight w:val="300"/>
        </w:trPr>
        <w:tc>
          <w:tcPr>
            <w:tcW w:w="5000" w:type="pct"/>
            <w:gridSpan w:val="2"/>
            <w:tcBorders>
              <w:top w:val="single" w:sz="4" w:space="0" w:color="auto"/>
              <w:left w:val="nil"/>
              <w:bottom w:val="nil"/>
              <w:right w:val="nil"/>
            </w:tcBorders>
            <w:shd w:val="clear" w:color="auto" w:fill="auto"/>
            <w:noWrap/>
            <w:vAlign w:val="bottom"/>
            <w:hideMark/>
          </w:tcPr>
          <w:p w:rsidR="00522F27" w:rsidRPr="00F850CD" w:rsidRDefault="00522F27" w:rsidP="00CD76FF">
            <w:pPr>
              <w:spacing w:after="0" w:line="240" w:lineRule="auto"/>
              <w:rPr>
                <w:rFonts w:ascii="Times New Roman" w:eastAsia="Times New Roman" w:hAnsi="Times New Roman" w:cs="Times New Roman"/>
                <w:i/>
                <w:iCs/>
                <w:color w:val="000000"/>
                <w:sz w:val="20"/>
              </w:rPr>
            </w:pPr>
            <w:r w:rsidRPr="00993B2B">
              <w:rPr>
                <w:rFonts w:ascii="Times New Roman" w:eastAsia="Times New Roman" w:hAnsi="Times New Roman" w:cs="Times New Roman"/>
                <w:i/>
                <w:iCs/>
                <w:color w:val="000000"/>
                <w:sz w:val="20"/>
              </w:rPr>
              <w:t xml:space="preserve">CNS </w:t>
            </w:r>
            <w:r w:rsidRPr="00993B2B">
              <w:rPr>
                <w:rFonts w:ascii="Times New Roman" w:eastAsia="Times New Roman" w:hAnsi="Times New Roman" w:cs="Times New Roman"/>
                <w:iCs/>
                <w:color w:val="000000"/>
                <w:sz w:val="20"/>
              </w:rPr>
              <w:t>Central nervous system,</w:t>
            </w:r>
            <w:r w:rsidRPr="00993B2B">
              <w:rPr>
                <w:rFonts w:ascii="Times New Roman" w:eastAsia="Times New Roman" w:hAnsi="Times New Roman" w:cs="Times New Roman"/>
                <w:i/>
                <w:iCs/>
                <w:color w:val="000000"/>
                <w:sz w:val="20"/>
              </w:rPr>
              <w:t xml:space="preserve"> ICD-9-CM </w:t>
            </w:r>
            <w:r w:rsidRPr="00993B2B">
              <w:rPr>
                <w:rFonts w:ascii="Times New Roman" w:hAnsi="Times New Roman" w:cs="Times New Roman"/>
                <w:sz w:val="20"/>
              </w:rPr>
              <w:t>International Classification of Diseases, 9</w:t>
            </w:r>
            <w:r w:rsidRPr="00993B2B">
              <w:rPr>
                <w:rFonts w:ascii="Times New Roman" w:hAnsi="Times New Roman" w:cs="Times New Roman"/>
                <w:sz w:val="20"/>
                <w:vertAlign w:val="superscript"/>
              </w:rPr>
              <w:t>th</w:t>
            </w:r>
            <w:r w:rsidRPr="00993B2B">
              <w:rPr>
                <w:rFonts w:ascii="Times New Roman" w:hAnsi="Times New Roman" w:cs="Times New Roman"/>
                <w:sz w:val="20"/>
              </w:rPr>
              <w:t xml:space="preserve"> Revision, Clinical Modification</w:t>
            </w:r>
            <w:r w:rsidRPr="00993B2B">
              <w:rPr>
                <w:rFonts w:ascii="Times New Roman" w:eastAsia="Times New Roman" w:hAnsi="Times New Roman" w:cs="Times New Roman"/>
                <w:i/>
                <w:iCs/>
                <w:color w:val="000000"/>
                <w:sz w:val="20"/>
              </w:rPr>
              <w:t xml:space="preserve">, </w:t>
            </w:r>
            <w:r>
              <w:rPr>
                <w:rFonts w:ascii="Times New Roman" w:eastAsia="Times New Roman" w:hAnsi="Times New Roman" w:cs="Times New Roman"/>
                <w:i/>
                <w:iCs/>
                <w:color w:val="000000"/>
                <w:sz w:val="20"/>
              </w:rPr>
              <w:t xml:space="preserve">MS </w:t>
            </w:r>
            <w:r>
              <w:rPr>
                <w:rFonts w:ascii="Times New Roman" w:eastAsia="Times New Roman" w:hAnsi="Times New Roman" w:cs="Times New Roman"/>
                <w:iCs/>
                <w:color w:val="000000"/>
                <w:sz w:val="20"/>
              </w:rPr>
              <w:t>multiple sclerosis,</w:t>
            </w:r>
            <w:r>
              <w:rPr>
                <w:rFonts w:ascii="Times New Roman" w:eastAsia="Times New Roman" w:hAnsi="Times New Roman" w:cs="Times New Roman"/>
                <w:i/>
                <w:iCs/>
                <w:color w:val="000000"/>
                <w:sz w:val="20"/>
              </w:rPr>
              <w:t xml:space="preserve"> </w:t>
            </w:r>
            <w:r w:rsidRPr="00993B2B">
              <w:rPr>
                <w:rFonts w:ascii="Times New Roman" w:eastAsia="Times New Roman" w:hAnsi="Times New Roman" w:cs="Times New Roman"/>
                <w:i/>
                <w:iCs/>
                <w:color w:val="000000"/>
                <w:sz w:val="20"/>
              </w:rPr>
              <w:t>NOS</w:t>
            </w:r>
            <w:r w:rsidRPr="00F850CD">
              <w:rPr>
                <w:rFonts w:ascii="Times New Roman" w:eastAsia="Times New Roman" w:hAnsi="Times New Roman" w:cs="Times New Roman"/>
                <w:i/>
                <w:iCs/>
                <w:color w:val="000000"/>
                <w:sz w:val="20"/>
              </w:rPr>
              <w:t xml:space="preserve"> </w:t>
            </w:r>
            <w:r w:rsidRPr="00F850CD">
              <w:rPr>
                <w:rFonts w:ascii="Times New Roman" w:eastAsia="Times New Roman" w:hAnsi="Times New Roman" w:cs="Times New Roman"/>
                <w:iCs/>
                <w:color w:val="000000"/>
                <w:sz w:val="20"/>
              </w:rPr>
              <w:t>Not otherwise specified</w:t>
            </w:r>
          </w:p>
        </w:tc>
      </w:tr>
    </w:tbl>
    <w:p w:rsidR="00522F27" w:rsidRDefault="00522F27" w:rsidP="00522F27">
      <w:pPr>
        <w:spacing w:after="0" w:line="240" w:lineRule="auto"/>
        <w:rPr>
          <w:rFonts w:ascii="Times New Roman" w:hAnsi="Times New Roman" w:cs="Times New Roman"/>
          <w:szCs w:val="18"/>
        </w:rPr>
      </w:pPr>
    </w:p>
    <w:p w:rsidR="00522F27" w:rsidRDefault="00522F27" w:rsidP="00522F27">
      <w:pPr>
        <w:rPr>
          <w:rFonts w:ascii="Times New Roman" w:hAnsi="Times New Roman" w:cs="Times New Roman"/>
          <w:szCs w:val="18"/>
        </w:rPr>
      </w:pPr>
    </w:p>
    <w:p w:rsidR="00522F27" w:rsidRDefault="00522F27" w:rsidP="00522F27">
      <w:pPr>
        <w:rPr>
          <w:rFonts w:ascii="Times New Roman" w:hAnsi="Times New Roman" w:cs="Times New Roman"/>
          <w:b/>
          <w:szCs w:val="18"/>
        </w:rPr>
      </w:pPr>
      <w:r>
        <w:rPr>
          <w:rFonts w:ascii="Times New Roman" w:hAnsi="Times New Roman" w:cs="Times New Roman"/>
          <w:b/>
          <w:szCs w:val="18"/>
        </w:rPr>
        <w:br w:type="page"/>
      </w:r>
    </w:p>
    <w:p w:rsidR="009965C2" w:rsidRDefault="009965C2" w:rsidP="009965C2">
      <w:pPr>
        <w:spacing w:after="0" w:line="240" w:lineRule="auto"/>
        <w:rPr>
          <w:rFonts w:ascii="Times New Roman" w:hAnsi="Times New Roman" w:cs="Times New Roman"/>
          <w:b/>
          <w:szCs w:val="18"/>
        </w:rPr>
      </w:pPr>
      <w:r w:rsidRPr="0093254B">
        <w:rPr>
          <w:rFonts w:ascii="Times New Roman" w:hAnsi="Times New Roman" w:cs="Times New Roman"/>
          <w:b/>
          <w:szCs w:val="18"/>
        </w:rPr>
        <w:lastRenderedPageBreak/>
        <w:t xml:space="preserve">Table S3. </w:t>
      </w:r>
      <w:r w:rsidRPr="009965C2">
        <w:rPr>
          <w:rFonts w:ascii="Times New Roman" w:hAnsi="Times New Roman" w:cs="Times New Roman"/>
          <w:b/>
          <w:szCs w:val="18"/>
        </w:rPr>
        <w:t xml:space="preserve">Kaplan-Meier analysis of time to treatment failure </w:t>
      </w:r>
      <w:r>
        <w:rPr>
          <w:rFonts w:ascii="Times New Roman" w:hAnsi="Times New Roman" w:cs="Times New Roman"/>
          <w:b/>
          <w:szCs w:val="18"/>
        </w:rPr>
        <w:t>by age group</w:t>
      </w:r>
    </w:p>
    <w:p w:rsidR="009965C2" w:rsidRDefault="009965C2" w:rsidP="009965C2">
      <w:pPr>
        <w:spacing w:after="0" w:line="240" w:lineRule="auto"/>
        <w:rPr>
          <w:rFonts w:ascii="Times New Roman" w:hAnsi="Times New Roman" w:cs="Times New Roman"/>
          <w:b/>
          <w:szCs w:val="18"/>
        </w:rPr>
      </w:pPr>
    </w:p>
    <w:tbl>
      <w:tblPr>
        <w:tblW w:w="8900" w:type="dxa"/>
        <w:tblCellMar>
          <w:left w:w="0" w:type="dxa"/>
          <w:right w:w="0" w:type="dxa"/>
        </w:tblCellMar>
        <w:tblLook w:val="04A0" w:firstRow="1" w:lastRow="0" w:firstColumn="1" w:lastColumn="0" w:noHBand="0" w:noVBand="1"/>
      </w:tblPr>
      <w:tblGrid>
        <w:gridCol w:w="1841"/>
        <w:gridCol w:w="640"/>
        <w:gridCol w:w="1370"/>
        <w:gridCol w:w="864"/>
        <w:gridCol w:w="1200"/>
        <w:gridCol w:w="1200"/>
        <w:gridCol w:w="1200"/>
        <w:gridCol w:w="593"/>
        <w:gridCol w:w="156"/>
      </w:tblGrid>
      <w:tr w:rsidR="009965C2" w:rsidTr="009965C2">
        <w:trPr>
          <w:trHeight w:val="330"/>
        </w:trPr>
        <w:tc>
          <w:tcPr>
            <w:tcW w:w="1700" w:type="dxa"/>
            <w:vMerge w:val="restart"/>
            <w:tcBorders>
              <w:top w:val="single" w:sz="8" w:space="0" w:color="auto"/>
              <w:left w:val="nil"/>
              <w:bottom w:val="double" w:sz="6" w:space="0" w:color="000000"/>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rPr>
                <w:rFonts w:ascii="Times New Roman" w:hAnsi="Times New Roman" w:cs="Times New Roman"/>
                <w:b/>
                <w:bCs/>
                <w:color w:val="000000"/>
                <w:sz w:val="20"/>
                <w:szCs w:val="20"/>
              </w:rPr>
            </w:pPr>
            <w:r w:rsidRPr="009965C2">
              <w:rPr>
                <w:rFonts w:ascii="Times New Roman" w:hAnsi="Times New Roman" w:cs="Times New Roman"/>
                <w:b/>
                <w:bCs/>
                <w:color w:val="000000"/>
                <w:sz w:val="20"/>
                <w:szCs w:val="20"/>
              </w:rPr>
              <w:t>Age group / cohort</w:t>
            </w:r>
          </w:p>
        </w:tc>
        <w:tc>
          <w:tcPr>
            <w:tcW w:w="640" w:type="dxa"/>
            <w:vMerge w:val="restart"/>
            <w:tcBorders>
              <w:top w:val="single" w:sz="8" w:space="0" w:color="auto"/>
              <w:left w:val="nil"/>
              <w:bottom w:val="double" w:sz="6" w:space="0" w:color="000000"/>
              <w:right w:val="nil"/>
            </w:tcBorders>
            <w:shd w:val="clear" w:color="auto" w:fill="auto"/>
            <w:noWrap/>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b/>
                <w:bCs/>
                <w:color w:val="000000"/>
                <w:sz w:val="20"/>
                <w:szCs w:val="20"/>
              </w:rPr>
            </w:pPr>
            <w:r w:rsidRPr="009965C2">
              <w:rPr>
                <w:rFonts w:ascii="Times New Roman" w:hAnsi="Times New Roman" w:cs="Times New Roman"/>
                <w:b/>
                <w:bCs/>
                <w:color w:val="000000"/>
                <w:sz w:val="20"/>
                <w:szCs w:val="20"/>
              </w:rPr>
              <w:t>N</w:t>
            </w:r>
          </w:p>
        </w:tc>
        <w:tc>
          <w:tcPr>
            <w:tcW w:w="1020" w:type="dxa"/>
            <w:vMerge w:val="restart"/>
            <w:tcBorders>
              <w:top w:val="single" w:sz="8" w:space="0" w:color="auto"/>
              <w:left w:val="nil"/>
              <w:bottom w:val="double" w:sz="6" w:space="0" w:color="000000"/>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b/>
                <w:bCs/>
                <w:color w:val="000000"/>
                <w:sz w:val="20"/>
                <w:szCs w:val="20"/>
              </w:rPr>
            </w:pPr>
            <w:r w:rsidRPr="009965C2">
              <w:rPr>
                <w:rFonts w:ascii="Times New Roman" w:hAnsi="Times New Roman" w:cs="Times New Roman"/>
                <w:b/>
                <w:bCs/>
                <w:color w:val="000000"/>
                <w:sz w:val="20"/>
                <w:szCs w:val="20"/>
              </w:rPr>
              <w:t>Median</w:t>
            </w:r>
            <w:r w:rsidRPr="009965C2">
              <w:rPr>
                <w:rFonts w:ascii="Times New Roman" w:hAnsi="Times New Roman" w:cs="Times New Roman"/>
                <w:b/>
                <w:bCs/>
                <w:color w:val="000000"/>
                <w:sz w:val="20"/>
                <w:szCs w:val="20"/>
              </w:rPr>
              <w:br/>
              <w:t>(months)</w:t>
            </w:r>
          </w:p>
        </w:tc>
        <w:tc>
          <w:tcPr>
            <w:tcW w:w="980" w:type="dxa"/>
            <w:vMerge w:val="restart"/>
            <w:tcBorders>
              <w:top w:val="single" w:sz="8" w:space="0" w:color="auto"/>
              <w:left w:val="nil"/>
              <w:bottom w:val="double" w:sz="6" w:space="0" w:color="000000"/>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b/>
                <w:bCs/>
                <w:color w:val="000000"/>
                <w:sz w:val="20"/>
                <w:szCs w:val="20"/>
              </w:rPr>
            </w:pPr>
            <w:r w:rsidRPr="009965C2">
              <w:rPr>
                <w:rFonts w:ascii="Times New Roman" w:hAnsi="Times New Roman" w:cs="Times New Roman"/>
                <w:b/>
                <w:bCs/>
                <w:color w:val="000000"/>
                <w:sz w:val="20"/>
                <w:szCs w:val="20"/>
              </w:rPr>
              <w:t>IQR (months)</w:t>
            </w:r>
          </w:p>
        </w:tc>
        <w:tc>
          <w:tcPr>
            <w:tcW w:w="3600" w:type="dxa"/>
            <w:gridSpan w:val="3"/>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b/>
                <w:bCs/>
                <w:color w:val="000000"/>
                <w:sz w:val="20"/>
                <w:szCs w:val="20"/>
              </w:rPr>
            </w:pPr>
            <w:r w:rsidRPr="009965C2">
              <w:rPr>
                <w:rFonts w:ascii="Times New Roman" w:hAnsi="Times New Roman" w:cs="Times New Roman"/>
                <w:b/>
                <w:bCs/>
                <w:color w:val="000000"/>
                <w:sz w:val="20"/>
                <w:szCs w:val="20"/>
              </w:rPr>
              <w:t>Proportion of patients with event (%)</w:t>
            </w:r>
          </w:p>
        </w:tc>
        <w:tc>
          <w:tcPr>
            <w:tcW w:w="960" w:type="dxa"/>
            <w:gridSpan w:val="2"/>
            <w:vMerge w:val="restart"/>
            <w:tcBorders>
              <w:top w:val="single" w:sz="8" w:space="0" w:color="auto"/>
              <w:left w:val="nil"/>
              <w:bottom w:val="double" w:sz="6" w:space="0" w:color="000000"/>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b/>
                <w:bCs/>
                <w:color w:val="000000"/>
                <w:sz w:val="20"/>
                <w:szCs w:val="20"/>
              </w:rPr>
            </w:pPr>
            <w:r w:rsidRPr="009965C2">
              <w:rPr>
                <w:rFonts w:ascii="Times New Roman" w:hAnsi="Times New Roman" w:cs="Times New Roman"/>
                <w:b/>
                <w:bCs/>
                <w:color w:val="000000"/>
                <w:sz w:val="20"/>
                <w:szCs w:val="20"/>
              </w:rPr>
              <w:t>Log-rank</w:t>
            </w:r>
            <w:r w:rsidRPr="009965C2">
              <w:rPr>
                <w:rFonts w:ascii="Times New Roman" w:hAnsi="Times New Roman" w:cs="Times New Roman"/>
                <w:b/>
                <w:bCs/>
                <w:color w:val="000000"/>
                <w:sz w:val="20"/>
                <w:szCs w:val="20"/>
              </w:rPr>
              <w:br/>
              <w:t>p-value</w:t>
            </w:r>
          </w:p>
        </w:tc>
      </w:tr>
      <w:tr w:rsidR="009965C2" w:rsidTr="009965C2">
        <w:trPr>
          <w:trHeight w:val="330"/>
        </w:trPr>
        <w:tc>
          <w:tcPr>
            <w:tcW w:w="0" w:type="auto"/>
            <w:vMerge/>
            <w:tcBorders>
              <w:top w:val="single" w:sz="8" w:space="0" w:color="auto"/>
              <w:left w:val="nil"/>
              <w:bottom w:val="double" w:sz="6" w:space="0" w:color="000000"/>
              <w:right w:val="nil"/>
            </w:tcBorders>
            <w:vAlign w:val="center"/>
            <w:hideMark/>
          </w:tcPr>
          <w:p w:rsidR="009965C2" w:rsidRPr="009965C2" w:rsidRDefault="009965C2" w:rsidP="009965C2">
            <w:pPr>
              <w:spacing w:after="0" w:line="240" w:lineRule="auto"/>
              <w:rPr>
                <w:rFonts w:ascii="Times New Roman" w:hAnsi="Times New Roman" w:cs="Times New Roman"/>
                <w:b/>
                <w:bCs/>
                <w:color w:val="000000"/>
                <w:sz w:val="20"/>
                <w:szCs w:val="20"/>
              </w:rPr>
            </w:pPr>
          </w:p>
        </w:tc>
        <w:tc>
          <w:tcPr>
            <w:tcW w:w="0" w:type="auto"/>
            <w:vMerge/>
            <w:tcBorders>
              <w:top w:val="single" w:sz="8" w:space="0" w:color="auto"/>
              <w:left w:val="nil"/>
              <w:bottom w:val="double" w:sz="6" w:space="0" w:color="000000"/>
              <w:right w:val="nil"/>
            </w:tcBorders>
            <w:vAlign w:val="center"/>
            <w:hideMark/>
          </w:tcPr>
          <w:p w:rsidR="009965C2" w:rsidRPr="009965C2" w:rsidRDefault="009965C2" w:rsidP="009965C2">
            <w:pPr>
              <w:spacing w:after="0" w:line="240" w:lineRule="auto"/>
              <w:rPr>
                <w:rFonts w:ascii="Times New Roman" w:hAnsi="Times New Roman" w:cs="Times New Roman"/>
                <w:b/>
                <w:bCs/>
                <w:color w:val="000000"/>
                <w:sz w:val="20"/>
                <w:szCs w:val="20"/>
              </w:rPr>
            </w:pPr>
          </w:p>
        </w:tc>
        <w:tc>
          <w:tcPr>
            <w:tcW w:w="0" w:type="auto"/>
            <w:vMerge/>
            <w:tcBorders>
              <w:top w:val="single" w:sz="8" w:space="0" w:color="auto"/>
              <w:left w:val="nil"/>
              <w:bottom w:val="double" w:sz="6" w:space="0" w:color="000000"/>
              <w:right w:val="nil"/>
            </w:tcBorders>
            <w:vAlign w:val="center"/>
            <w:hideMark/>
          </w:tcPr>
          <w:p w:rsidR="009965C2" w:rsidRPr="009965C2" w:rsidRDefault="009965C2" w:rsidP="009965C2">
            <w:pPr>
              <w:spacing w:after="0" w:line="240" w:lineRule="auto"/>
              <w:rPr>
                <w:rFonts w:ascii="Times New Roman" w:hAnsi="Times New Roman" w:cs="Times New Roman"/>
                <w:b/>
                <w:bCs/>
                <w:color w:val="000000"/>
                <w:sz w:val="20"/>
                <w:szCs w:val="20"/>
              </w:rPr>
            </w:pPr>
          </w:p>
        </w:tc>
        <w:tc>
          <w:tcPr>
            <w:tcW w:w="0" w:type="auto"/>
            <w:vMerge/>
            <w:tcBorders>
              <w:top w:val="single" w:sz="8" w:space="0" w:color="auto"/>
              <w:left w:val="nil"/>
              <w:bottom w:val="double" w:sz="6" w:space="0" w:color="000000"/>
              <w:right w:val="nil"/>
            </w:tcBorders>
            <w:vAlign w:val="center"/>
            <w:hideMark/>
          </w:tcPr>
          <w:p w:rsidR="009965C2" w:rsidRPr="009965C2" w:rsidRDefault="009965C2" w:rsidP="009965C2">
            <w:pPr>
              <w:spacing w:after="0" w:line="240" w:lineRule="auto"/>
              <w:rPr>
                <w:rFonts w:ascii="Times New Roman" w:hAnsi="Times New Roman" w:cs="Times New Roman"/>
                <w:b/>
                <w:bCs/>
                <w:color w:val="000000"/>
                <w:sz w:val="20"/>
                <w:szCs w:val="20"/>
              </w:rPr>
            </w:pPr>
          </w:p>
        </w:tc>
        <w:tc>
          <w:tcPr>
            <w:tcW w:w="12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b/>
                <w:bCs/>
                <w:color w:val="000000"/>
                <w:sz w:val="20"/>
                <w:szCs w:val="20"/>
              </w:rPr>
            </w:pPr>
            <w:r w:rsidRPr="009965C2">
              <w:rPr>
                <w:rFonts w:ascii="Times New Roman" w:hAnsi="Times New Roman" w:cs="Times New Roman"/>
                <w:b/>
                <w:bCs/>
                <w:color w:val="000000"/>
                <w:sz w:val="20"/>
                <w:szCs w:val="20"/>
              </w:rPr>
              <w:t>12-month</w:t>
            </w:r>
          </w:p>
        </w:tc>
        <w:tc>
          <w:tcPr>
            <w:tcW w:w="12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b/>
                <w:bCs/>
                <w:color w:val="000000"/>
                <w:sz w:val="20"/>
                <w:szCs w:val="20"/>
              </w:rPr>
            </w:pPr>
            <w:r w:rsidRPr="009965C2">
              <w:rPr>
                <w:rFonts w:ascii="Times New Roman" w:hAnsi="Times New Roman" w:cs="Times New Roman"/>
                <w:b/>
                <w:bCs/>
                <w:color w:val="000000"/>
                <w:sz w:val="20"/>
                <w:szCs w:val="20"/>
              </w:rPr>
              <w:t>18-month</w:t>
            </w:r>
          </w:p>
        </w:tc>
        <w:tc>
          <w:tcPr>
            <w:tcW w:w="1200" w:type="dxa"/>
            <w:tcBorders>
              <w:top w:val="nil"/>
              <w:left w:val="nil"/>
              <w:bottom w:val="double" w:sz="6" w:space="0" w:color="auto"/>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b/>
                <w:bCs/>
                <w:color w:val="000000"/>
                <w:sz w:val="20"/>
                <w:szCs w:val="20"/>
              </w:rPr>
            </w:pPr>
            <w:r w:rsidRPr="009965C2">
              <w:rPr>
                <w:rFonts w:ascii="Times New Roman" w:hAnsi="Times New Roman" w:cs="Times New Roman"/>
                <w:b/>
                <w:bCs/>
                <w:color w:val="000000"/>
                <w:sz w:val="20"/>
                <w:szCs w:val="20"/>
              </w:rPr>
              <w:t>24-month</w:t>
            </w:r>
          </w:p>
        </w:tc>
        <w:tc>
          <w:tcPr>
            <w:tcW w:w="0" w:type="auto"/>
            <w:gridSpan w:val="2"/>
            <w:vMerge/>
            <w:tcBorders>
              <w:top w:val="nil"/>
              <w:left w:val="nil"/>
              <w:bottom w:val="double" w:sz="6" w:space="0" w:color="auto"/>
              <w:right w:val="nil"/>
            </w:tcBorders>
            <w:vAlign w:val="center"/>
            <w:hideMark/>
          </w:tcPr>
          <w:p w:rsidR="009965C2" w:rsidRPr="009965C2" w:rsidRDefault="009965C2" w:rsidP="009965C2">
            <w:pPr>
              <w:spacing w:after="0" w:line="240" w:lineRule="auto"/>
              <w:rPr>
                <w:rFonts w:ascii="Times New Roman" w:hAnsi="Times New Roman" w:cs="Times New Roman"/>
                <w:b/>
                <w:bCs/>
                <w:color w:val="000000"/>
                <w:sz w:val="20"/>
                <w:szCs w:val="20"/>
              </w:rPr>
            </w:pPr>
          </w:p>
        </w:tc>
      </w:tr>
      <w:tr w:rsidR="009965C2" w:rsidTr="009965C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b/>
                <w:bCs/>
                <w:color w:val="000000"/>
                <w:sz w:val="20"/>
                <w:szCs w:val="20"/>
              </w:rPr>
            </w:pPr>
            <w:r w:rsidRPr="009965C2">
              <w:rPr>
                <w:rFonts w:ascii="Times New Roman" w:hAnsi="Times New Roman" w:cs="Times New Roman"/>
                <w:b/>
                <w:bCs/>
                <w:color w:val="000000"/>
                <w:sz w:val="20"/>
                <w:szCs w:val="20"/>
              </w:rPr>
              <w:t>18 to &lt;35 years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b/>
                <w:bCs/>
                <w:color w:val="000000"/>
                <w:sz w:val="20"/>
                <w:szCs w:val="20"/>
              </w:rPr>
            </w:pPr>
          </w:p>
        </w:tc>
        <w:tc>
          <w:tcPr>
            <w:tcW w:w="102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98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74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22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r>
      <w:tr w:rsidR="009965C2" w:rsidTr="009965C2">
        <w:trPr>
          <w:trHeight w:val="300"/>
        </w:trPr>
        <w:tc>
          <w:tcPr>
            <w:tcW w:w="0" w:type="auto"/>
            <w:tcBorders>
              <w:top w:val="nil"/>
              <w:left w:val="nil"/>
              <w:bottom w:val="nil"/>
              <w:right w:val="nil"/>
            </w:tcBorders>
            <w:shd w:val="clear" w:color="auto" w:fill="auto"/>
            <w:noWrap/>
            <w:tcMar>
              <w:top w:w="15" w:type="dxa"/>
              <w:left w:w="270" w:type="dxa"/>
              <w:bottom w:w="0" w:type="dxa"/>
              <w:right w:w="15" w:type="dxa"/>
            </w:tcMar>
            <w:vAlign w:val="bottom"/>
            <w:hideMark/>
          </w:tcPr>
          <w:p w:rsidR="009965C2" w:rsidRPr="009965C2" w:rsidRDefault="009965C2" w:rsidP="009965C2">
            <w:pPr>
              <w:spacing w:after="0" w:line="240" w:lineRule="auto"/>
              <w:ind w:firstLineChars="200" w:firstLine="400"/>
              <w:rPr>
                <w:rFonts w:ascii="Times New Roman" w:hAnsi="Times New Roman" w:cs="Times New Roman"/>
                <w:color w:val="000000"/>
                <w:sz w:val="20"/>
                <w:szCs w:val="20"/>
              </w:rPr>
            </w:pPr>
            <w:r w:rsidRPr="009965C2">
              <w:rPr>
                <w:rFonts w:ascii="Times New Roman" w:hAnsi="Times New Roman" w:cs="Times New Roman"/>
                <w:color w:val="000000"/>
                <w:sz w:val="20"/>
                <w:szCs w:val="20"/>
              </w:rPr>
              <w:t>Teriflunomide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142</w:t>
            </w:r>
          </w:p>
        </w:tc>
        <w:tc>
          <w:tcPr>
            <w:tcW w:w="0" w:type="auto"/>
            <w:tcBorders>
              <w:top w:val="nil"/>
              <w:left w:val="nil"/>
              <w:bottom w:val="nil"/>
              <w:right w:val="nil"/>
            </w:tcBorders>
            <w:shd w:val="clear" w:color="auto" w:fill="auto"/>
            <w:noWrap/>
            <w:tcMar>
              <w:top w:w="15" w:type="dxa"/>
              <w:left w:w="15" w:type="dxa"/>
              <w:bottom w:w="0" w:type="dxa"/>
              <w:right w:w="405" w:type="dxa"/>
            </w:tcMar>
            <w:vAlign w:val="bottom"/>
            <w:hideMark/>
          </w:tcPr>
          <w:p w:rsidR="009965C2" w:rsidRPr="009965C2" w:rsidRDefault="009965C2" w:rsidP="009965C2">
            <w:pPr>
              <w:spacing w:after="0" w:line="240" w:lineRule="auto"/>
              <w:ind w:firstLineChars="300" w:firstLine="600"/>
              <w:jc w:val="right"/>
              <w:rPr>
                <w:rFonts w:ascii="Times New Roman" w:hAnsi="Times New Roman" w:cs="Times New Roman"/>
                <w:color w:val="000000"/>
                <w:sz w:val="20"/>
                <w:szCs w:val="20"/>
              </w:rPr>
            </w:pPr>
            <w:r w:rsidRPr="009965C2">
              <w:rPr>
                <w:rFonts w:ascii="Times New Roman" w:hAnsi="Times New Roman" w:cs="Times New Roman"/>
                <w:color w:val="000000"/>
                <w:sz w:val="20"/>
                <w:szCs w:val="20"/>
              </w:rPr>
              <w:t>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(2.8, 16.3)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63.7%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77.0%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84.8%</w:t>
            </w:r>
          </w:p>
        </w:tc>
        <w:tc>
          <w:tcPr>
            <w:tcW w:w="0" w:type="auto"/>
            <w:tcBorders>
              <w:top w:val="nil"/>
              <w:left w:val="nil"/>
              <w:bottom w:val="nil"/>
              <w:right w:val="nil"/>
            </w:tcBorders>
            <w:shd w:val="clear" w:color="auto" w:fill="auto"/>
            <w:noWrap/>
            <w:tcMar>
              <w:top w:w="15" w:type="dxa"/>
              <w:left w:w="15" w:type="dxa"/>
              <w:bottom w:w="0" w:type="dxa"/>
              <w:right w:w="135" w:type="dxa"/>
            </w:tcMar>
            <w:vAlign w:val="bottom"/>
            <w:hideMark/>
          </w:tcPr>
          <w:p w:rsidR="009965C2" w:rsidRPr="009965C2" w:rsidRDefault="009965C2" w:rsidP="009965C2">
            <w:pPr>
              <w:spacing w:after="0" w:line="240" w:lineRule="auto"/>
              <w:ind w:firstLineChars="100" w:firstLine="200"/>
              <w:jc w:val="right"/>
              <w:rPr>
                <w:rFonts w:ascii="Times New Roman" w:hAnsi="Times New Roman" w:cs="Times New Roman"/>
                <w:color w:val="000000"/>
                <w:sz w:val="20"/>
                <w:szCs w:val="20"/>
              </w:rPr>
            </w:pPr>
            <w:r w:rsidRPr="009965C2">
              <w:rPr>
                <w:rFonts w:ascii="Times New Roman" w:hAnsi="Times New Roman" w:cs="Times New Roman"/>
                <w:color w:val="000000"/>
                <w:sz w:val="20"/>
                <w:szCs w:val="20"/>
              </w:rPr>
              <w:t>-</w:t>
            </w:r>
          </w:p>
        </w:tc>
        <w:tc>
          <w:tcPr>
            <w:tcW w:w="0" w:type="auto"/>
            <w:tcBorders>
              <w:top w:val="nil"/>
              <w:left w:val="nil"/>
              <w:bottom w:val="nil"/>
              <w:right w:val="nil"/>
            </w:tcBorders>
            <w:shd w:val="clear" w:color="auto" w:fill="auto"/>
            <w:noWrap/>
            <w:tcMar>
              <w:top w:w="15" w:type="dxa"/>
              <w:left w:w="15" w:type="dxa"/>
              <w:bottom w:w="0" w:type="dxa"/>
              <w:right w:w="135" w:type="dxa"/>
            </w:tcMar>
            <w:vAlign w:val="bottom"/>
            <w:hideMark/>
          </w:tcPr>
          <w:p w:rsidR="009965C2" w:rsidRPr="009965C2" w:rsidRDefault="009965C2" w:rsidP="009965C2">
            <w:pPr>
              <w:spacing w:after="0" w:line="240" w:lineRule="auto"/>
              <w:ind w:firstLineChars="100" w:firstLine="200"/>
              <w:jc w:val="right"/>
              <w:rPr>
                <w:rFonts w:ascii="Times New Roman" w:hAnsi="Times New Roman" w:cs="Times New Roman"/>
                <w:color w:val="000000"/>
                <w:sz w:val="20"/>
                <w:szCs w:val="20"/>
              </w:rPr>
            </w:pPr>
          </w:p>
        </w:tc>
      </w:tr>
      <w:tr w:rsidR="009965C2" w:rsidTr="009965C2">
        <w:trPr>
          <w:trHeight w:val="300"/>
        </w:trPr>
        <w:tc>
          <w:tcPr>
            <w:tcW w:w="0" w:type="auto"/>
            <w:tcBorders>
              <w:top w:val="nil"/>
              <w:left w:val="nil"/>
              <w:bottom w:val="nil"/>
              <w:right w:val="nil"/>
            </w:tcBorders>
            <w:shd w:val="clear" w:color="auto" w:fill="auto"/>
            <w:noWrap/>
            <w:tcMar>
              <w:top w:w="15" w:type="dxa"/>
              <w:left w:w="270" w:type="dxa"/>
              <w:bottom w:w="0" w:type="dxa"/>
              <w:right w:w="15" w:type="dxa"/>
            </w:tcMar>
            <w:vAlign w:val="bottom"/>
            <w:hideMark/>
          </w:tcPr>
          <w:p w:rsidR="009965C2" w:rsidRPr="009965C2" w:rsidRDefault="009965C2" w:rsidP="009965C2">
            <w:pPr>
              <w:spacing w:after="0" w:line="240" w:lineRule="auto"/>
              <w:ind w:firstLineChars="200" w:firstLine="400"/>
              <w:rPr>
                <w:rFonts w:ascii="Times New Roman" w:hAnsi="Times New Roman" w:cs="Times New Roman"/>
                <w:color w:val="000000"/>
                <w:sz w:val="20"/>
                <w:szCs w:val="20"/>
              </w:rPr>
            </w:pPr>
            <w:r w:rsidRPr="009965C2">
              <w:rPr>
                <w:rFonts w:ascii="Times New Roman" w:hAnsi="Times New Roman" w:cs="Times New Roman"/>
                <w:color w:val="000000"/>
                <w:sz w:val="20"/>
                <w:szCs w:val="20"/>
              </w:rPr>
              <w:t>Fingolimod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620</w:t>
            </w:r>
          </w:p>
        </w:tc>
        <w:tc>
          <w:tcPr>
            <w:tcW w:w="0" w:type="auto"/>
            <w:tcBorders>
              <w:top w:val="nil"/>
              <w:left w:val="nil"/>
              <w:bottom w:val="nil"/>
              <w:right w:val="nil"/>
            </w:tcBorders>
            <w:shd w:val="clear" w:color="auto" w:fill="auto"/>
            <w:noWrap/>
            <w:tcMar>
              <w:top w:w="15" w:type="dxa"/>
              <w:left w:w="15" w:type="dxa"/>
              <w:bottom w:w="0" w:type="dxa"/>
              <w:right w:w="405" w:type="dxa"/>
            </w:tcMar>
            <w:vAlign w:val="bottom"/>
            <w:hideMark/>
          </w:tcPr>
          <w:p w:rsidR="009965C2" w:rsidRPr="009965C2" w:rsidRDefault="009965C2" w:rsidP="009965C2">
            <w:pPr>
              <w:spacing w:after="0" w:line="240" w:lineRule="auto"/>
              <w:ind w:firstLineChars="300" w:firstLine="600"/>
              <w:jc w:val="right"/>
              <w:rPr>
                <w:rFonts w:ascii="Times New Roman" w:hAnsi="Times New Roman" w:cs="Times New Roman"/>
                <w:color w:val="000000"/>
                <w:sz w:val="20"/>
                <w:szCs w:val="20"/>
              </w:rPr>
            </w:pPr>
            <w:r w:rsidRPr="009965C2">
              <w:rPr>
                <w:rFonts w:ascii="Times New Roman" w:hAnsi="Times New Roman" w:cs="Times New Roman"/>
                <w:color w:val="000000"/>
                <w:sz w:val="20"/>
                <w:szCs w:val="20"/>
              </w:rPr>
              <w:t>18.0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(5.9, NR)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38.7%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50.3%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56.5%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right"/>
              <w:rPr>
                <w:rFonts w:ascii="Times New Roman" w:hAnsi="Times New Roman" w:cs="Times New Roman"/>
                <w:color w:val="000000"/>
                <w:sz w:val="20"/>
                <w:szCs w:val="20"/>
              </w:rPr>
            </w:pPr>
            <w:r w:rsidRPr="009965C2">
              <w:rPr>
                <w:rFonts w:ascii="Times New Roman" w:hAnsi="Times New Roman" w:cs="Times New Roman"/>
                <w:color w:val="000000"/>
                <w:sz w:val="20"/>
                <w:szCs w:val="20"/>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color w:val="000000"/>
                <w:sz w:val="20"/>
                <w:szCs w:val="20"/>
              </w:rPr>
            </w:pPr>
            <w:r w:rsidRPr="009965C2">
              <w:rPr>
                <w:rFonts w:ascii="Times New Roman" w:hAnsi="Times New Roman" w:cs="Times New Roman"/>
                <w:color w:val="000000"/>
                <w:sz w:val="20"/>
                <w:szCs w:val="20"/>
              </w:rPr>
              <w:t>*</w:t>
            </w:r>
          </w:p>
        </w:tc>
      </w:tr>
      <w:tr w:rsidR="009965C2" w:rsidTr="009965C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r>
      <w:tr w:rsidR="009965C2" w:rsidTr="009965C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b/>
                <w:bCs/>
                <w:color w:val="000000"/>
                <w:sz w:val="20"/>
                <w:szCs w:val="20"/>
              </w:rPr>
            </w:pPr>
            <w:r w:rsidRPr="009965C2">
              <w:rPr>
                <w:rFonts w:ascii="Times New Roman" w:hAnsi="Times New Roman" w:cs="Times New Roman"/>
                <w:b/>
                <w:bCs/>
                <w:color w:val="000000"/>
                <w:sz w:val="20"/>
                <w:szCs w:val="20"/>
              </w:rPr>
              <w:t>35 to &lt;45 years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b/>
                <w:bCs/>
                <w:color w:val="000000"/>
                <w:sz w:val="20"/>
                <w:szCs w:val="20"/>
              </w:rPr>
            </w:pPr>
          </w:p>
        </w:tc>
        <w:tc>
          <w:tcPr>
            <w:tcW w:w="102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98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74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22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r>
      <w:tr w:rsidR="009965C2" w:rsidTr="009965C2">
        <w:trPr>
          <w:trHeight w:val="300"/>
        </w:trPr>
        <w:tc>
          <w:tcPr>
            <w:tcW w:w="0" w:type="auto"/>
            <w:tcBorders>
              <w:top w:val="nil"/>
              <w:left w:val="nil"/>
              <w:bottom w:val="nil"/>
              <w:right w:val="nil"/>
            </w:tcBorders>
            <w:shd w:val="clear" w:color="auto" w:fill="auto"/>
            <w:noWrap/>
            <w:tcMar>
              <w:top w:w="15" w:type="dxa"/>
              <w:left w:w="270" w:type="dxa"/>
              <w:bottom w:w="0" w:type="dxa"/>
              <w:right w:w="15" w:type="dxa"/>
            </w:tcMar>
            <w:vAlign w:val="bottom"/>
            <w:hideMark/>
          </w:tcPr>
          <w:p w:rsidR="009965C2" w:rsidRPr="009965C2" w:rsidRDefault="009965C2" w:rsidP="009965C2">
            <w:pPr>
              <w:spacing w:after="0" w:line="240" w:lineRule="auto"/>
              <w:ind w:firstLineChars="200" w:firstLine="400"/>
              <w:rPr>
                <w:rFonts w:ascii="Times New Roman" w:hAnsi="Times New Roman" w:cs="Times New Roman"/>
                <w:color w:val="000000"/>
                <w:sz w:val="20"/>
                <w:szCs w:val="20"/>
              </w:rPr>
            </w:pPr>
            <w:r w:rsidRPr="009965C2">
              <w:rPr>
                <w:rFonts w:ascii="Times New Roman" w:hAnsi="Times New Roman" w:cs="Times New Roman"/>
                <w:color w:val="000000"/>
                <w:sz w:val="20"/>
                <w:szCs w:val="20"/>
              </w:rPr>
              <w:t>Teriflunomide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393</w:t>
            </w:r>
          </w:p>
        </w:tc>
        <w:tc>
          <w:tcPr>
            <w:tcW w:w="0" w:type="auto"/>
            <w:tcBorders>
              <w:top w:val="nil"/>
              <w:left w:val="nil"/>
              <w:bottom w:val="nil"/>
              <w:right w:val="nil"/>
            </w:tcBorders>
            <w:shd w:val="clear" w:color="auto" w:fill="auto"/>
            <w:noWrap/>
            <w:tcMar>
              <w:top w:w="15" w:type="dxa"/>
              <w:left w:w="15" w:type="dxa"/>
              <w:bottom w:w="0" w:type="dxa"/>
              <w:right w:w="405" w:type="dxa"/>
            </w:tcMar>
            <w:vAlign w:val="bottom"/>
            <w:hideMark/>
          </w:tcPr>
          <w:p w:rsidR="009965C2" w:rsidRPr="009965C2" w:rsidRDefault="009965C2" w:rsidP="009965C2">
            <w:pPr>
              <w:spacing w:after="0" w:line="240" w:lineRule="auto"/>
              <w:ind w:firstLineChars="300" w:firstLine="600"/>
              <w:jc w:val="right"/>
              <w:rPr>
                <w:rFonts w:ascii="Times New Roman" w:hAnsi="Times New Roman" w:cs="Times New Roman"/>
                <w:color w:val="000000"/>
                <w:sz w:val="20"/>
                <w:szCs w:val="20"/>
              </w:rPr>
            </w:pPr>
            <w:r w:rsidRPr="009965C2">
              <w:rPr>
                <w:rFonts w:ascii="Times New Roman" w:hAnsi="Times New Roman" w:cs="Times New Roman"/>
                <w:color w:val="000000"/>
                <w:sz w:val="20"/>
                <w:szCs w:val="20"/>
              </w:rPr>
              <w:t>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(2.8, 28.8)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54.5%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65.0%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70.7%</w:t>
            </w:r>
          </w:p>
        </w:tc>
        <w:tc>
          <w:tcPr>
            <w:tcW w:w="0" w:type="auto"/>
            <w:tcBorders>
              <w:top w:val="nil"/>
              <w:left w:val="nil"/>
              <w:bottom w:val="nil"/>
              <w:right w:val="nil"/>
            </w:tcBorders>
            <w:shd w:val="clear" w:color="auto" w:fill="auto"/>
            <w:noWrap/>
            <w:tcMar>
              <w:top w:w="15" w:type="dxa"/>
              <w:left w:w="15" w:type="dxa"/>
              <w:bottom w:w="0" w:type="dxa"/>
              <w:right w:w="135" w:type="dxa"/>
            </w:tcMar>
            <w:vAlign w:val="bottom"/>
            <w:hideMark/>
          </w:tcPr>
          <w:p w:rsidR="009965C2" w:rsidRPr="009965C2" w:rsidRDefault="009965C2" w:rsidP="009965C2">
            <w:pPr>
              <w:spacing w:after="0" w:line="240" w:lineRule="auto"/>
              <w:ind w:firstLineChars="100" w:firstLine="200"/>
              <w:jc w:val="right"/>
              <w:rPr>
                <w:rFonts w:ascii="Times New Roman" w:hAnsi="Times New Roman" w:cs="Times New Roman"/>
                <w:color w:val="000000"/>
                <w:sz w:val="20"/>
                <w:szCs w:val="20"/>
              </w:rPr>
            </w:pPr>
            <w:r w:rsidRPr="009965C2">
              <w:rPr>
                <w:rFonts w:ascii="Times New Roman" w:hAnsi="Times New Roman" w:cs="Times New Roman"/>
                <w:color w:val="000000"/>
                <w:sz w:val="20"/>
                <w:szCs w:val="20"/>
              </w:rPr>
              <w:t>-</w:t>
            </w:r>
          </w:p>
        </w:tc>
        <w:tc>
          <w:tcPr>
            <w:tcW w:w="0" w:type="auto"/>
            <w:tcBorders>
              <w:top w:val="nil"/>
              <w:left w:val="nil"/>
              <w:bottom w:val="nil"/>
              <w:right w:val="nil"/>
            </w:tcBorders>
            <w:shd w:val="clear" w:color="auto" w:fill="auto"/>
            <w:noWrap/>
            <w:tcMar>
              <w:top w:w="15" w:type="dxa"/>
              <w:left w:w="15" w:type="dxa"/>
              <w:bottom w:w="0" w:type="dxa"/>
              <w:right w:w="135" w:type="dxa"/>
            </w:tcMar>
            <w:vAlign w:val="bottom"/>
            <w:hideMark/>
          </w:tcPr>
          <w:p w:rsidR="009965C2" w:rsidRPr="009965C2" w:rsidRDefault="009965C2" w:rsidP="009965C2">
            <w:pPr>
              <w:spacing w:after="0" w:line="240" w:lineRule="auto"/>
              <w:ind w:firstLineChars="100" w:firstLine="200"/>
              <w:jc w:val="right"/>
              <w:rPr>
                <w:rFonts w:ascii="Times New Roman" w:hAnsi="Times New Roman" w:cs="Times New Roman"/>
                <w:color w:val="000000"/>
                <w:sz w:val="20"/>
                <w:szCs w:val="20"/>
              </w:rPr>
            </w:pPr>
          </w:p>
        </w:tc>
      </w:tr>
      <w:tr w:rsidR="009965C2" w:rsidTr="009965C2">
        <w:trPr>
          <w:trHeight w:val="300"/>
        </w:trPr>
        <w:tc>
          <w:tcPr>
            <w:tcW w:w="0" w:type="auto"/>
            <w:tcBorders>
              <w:top w:val="nil"/>
              <w:left w:val="nil"/>
              <w:bottom w:val="nil"/>
              <w:right w:val="nil"/>
            </w:tcBorders>
            <w:shd w:val="clear" w:color="auto" w:fill="auto"/>
            <w:noWrap/>
            <w:tcMar>
              <w:top w:w="15" w:type="dxa"/>
              <w:left w:w="270" w:type="dxa"/>
              <w:bottom w:w="0" w:type="dxa"/>
              <w:right w:w="15" w:type="dxa"/>
            </w:tcMar>
            <w:vAlign w:val="bottom"/>
            <w:hideMark/>
          </w:tcPr>
          <w:p w:rsidR="009965C2" w:rsidRPr="009965C2" w:rsidRDefault="009965C2" w:rsidP="009965C2">
            <w:pPr>
              <w:spacing w:after="0" w:line="240" w:lineRule="auto"/>
              <w:ind w:firstLineChars="200" w:firstLine="400"/>
              <w:rPr>
                <w:rFonts w:ascii="Times New Roman" w:hAnsi="Times New Roman" w:cs="Times New Roman"/>
                <w:color w:val="000000"/>
                <w:sz w:val="20"/>
                <w:szCs w:val="20"/>
              </w:rPr>
            </w:pPr>
            <w:r w:rsidRPr="009965C2">
              <w:rPr>
                <w:rFonts w:ascii="Times New Roman" w:hAnsi="Times New Roman" w:cs="Times New Roman"/>
                <w:color w:val="000000"/>
                <w:sz w:val="20"/>
                <w:szCs w:val="20"/>
              </w:rPr>
              <w:t>Fingolimod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822</w:t>
            </w:r>
          </w:p>
        </w:tc>
        <w:tc>
          <w:tcPr>
            <w:tcW w:w="0" w:type="auto"/>
            <w:tcBorders>
              <w:top w:val="nil"/>
              <w:left w:val="nil"/>
              <w:bottom w:val="nil"/>
              <w:right w:val="nil"/>
            </w:tcBorders>
            <w:shd w:val="clear" w:color="auto" w:fill="auto"/>
            <w:noWrap/>
            <w:tcMar>
              <w:top w:w="15" w:type="dxa"/>
              <w:left w:w="15" w:type="dxa"/>
              <w:bottom w:w="0" w:type="dxa"/>
              <w:right w:w="405" w:type="dxa"/>
            </w:tcMar>
            <w:vAlign w:val="bottom"/>
            <w:hideMark/>
          </w:tcPr>
          <w:p w:rsidR="009965C2" w:rsidRPr="009965C2" w:rsidRDefault="009965C2" w:rsidP="009965C2">
            <w:pPr>
              <w:spacing w:after="0" w:line="240" w:lineRule="auto"/>
              <w:ind w:firstLineChars="300" w:firstLine="600"/>
              <w:jc w:val="right"/>
              <w:rPr>
                <w:rFonts w:ascii="Times New Roman" w:hAnsi="Times New Roman" w:cs="Times New Roman"/>
                <w:color w:val="000000"/>
                <w:sz w:val="20"/>
                <w:szCs w:val="20"/>
              </w:rPr>
            </w:pPr>
            <w:r w:rsidRPr="009965C2">
              <w:rPr>
                <w:rFonts w:ascii="Times New Roman" w:hAnsi="Times New Roman" w:cs="Times New Roman"/>
                <w:color w:val="000000"/>
                <w:sz w:val="20"/>
                <w:szCs w:val="20"/>
              </w:rPr>
              <w:t>24.6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(7.7, NR)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34.3%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43.6%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49.4%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right"/>
              <w:rPr>
                <w:rFonts w:ascii="Times New Roman" w:hAnsi="Times New Roman" w:cs="Times New Roman"/>
                <w:color w:val="000000"/>
                <w:sz w:val="20"/>
                <w:szCs w:val="20"/>
              </w:rPr>
            </w:pPr>
            <w:r w:rsidRPr="009965C2">
              <w:rPr>
                <w:rFonts w:ascii="Times New Roman" w:hAnsi="Times New Roman" w:cs="Times New Roman"/>
                <w:color w:val="000000"/>
                <w:sz w:val="20"/>
                <w:szCs w:val="20"/>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color w:val="000000"/>
                <w:sz w:val="20"/>
                <w:szCs w:val="20"/>
              </w:rPr>
            </w:pPr>
            <w:r w:rsidRPr="009965C2">
              <w:rPr>
                <w:rFonts w:ascii="Times New Roman" w:hAnsi="Times New Roman" w:cs="Times New Roman"/>
                <w:color w:val="000000"/>
                <w:sz w:val="20"/>
                <w:szCs w:val="20"/>
              </w:rPr>
              <w:t>*</w:t>
            </w:r>
          </w:p>
        </w:tc>
      </w:tr>
      <w:tr w:rsidR="009965C2" w:rsidTr="009965C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r>
      <w:tr w:rsidR="009965C2" w:rsidTr="009965C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b/>
                <w:bCs/>
                <w:color w:val="000000"/>
                <w:sz w:val="20"/>
                <w:szCs w:val="20"/>
              </w:rPr>
            </w:pPr>
            <w:r w:rsidRPr="009965C2">
              <w:rPr>
                <w:rFonts w:ascii="Times New Roman" w:hAnsi="Times New Roman" w:cs="Times New Roman"/>
                <w:b/>
                <w:bCs/>
                <w:color w:val="000000"/>
                <w:sz w:val="20"/>
                <w:szCs w:val="20"/>
              </w:rPr>
              <w:t>45 to &lt;55 years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b/>
                <w:bCs/>
                <w:color w:val="000000"/>
                <w:sz w:val="20"/>
                <w:szCs w:val="20"/>
              </w:rPr>
            </w:pPr>
          </w:p>
        </w:tc>
        <w:tc>
          <w:tcPr>
            <w:tcW w:w="102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98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74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22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r>
      <w:tr w:rsidR="009965C2" w:rsidTr="009965C2">
        <w:trPr>
          <w:trHeight w:val="300"/>
        </w:trPr>
        <w:tc>
          <w:tcPr>
            <w:tcW w:w="0" w:type="auto"/>
            <w:tcBorders>
              <w:top w:val="nil"/>
              <w:left w:val="nil"/>
              <w:bottom w:val="nil"/>
              <w:right w:val="nil"/>
            </w:tcBorders>
            <w:shd w:val="clear" w:color="auto" w:fill="auto"/>
            <w:noWrap/>
            <w:tcMar>
              <w:top w:w="15" w:type="dxa"/>
              <w:left w:w="270" w:type="dxa"/>
              <w:bottom w:w="0" w:type="dxa"/>
              <w:right w:w="15" w:type="dxa"/>
            </w:tcMar>
            <w:vAlign w:val="bottom"/>
            <w:hideMark/>
          </w:tcPr>
          <w:p w:rsidR="009965C2" w:rsidRPr="009965C2" w:rsidRDefault="009965C2" w:rsidP="009965C2">
            <w:pPr>
              <w:spacing w:after="0" w:line="240" w:lineRule="auto"/>
              <w:ind w:firstLineChars="200" w:firstLine="400"/>
              <w:rPr>
                <w:rFonts w:ascii="Times New Roman" w:hAnsi="Times New Roman" w:cs="Times New Roman"/>
                <w:color w:val="000000"/>
                <w:sz w:val="20"/>
                <w:szCs w:val="20"/>
              </w:rPr>
            </w:pPr>
            <w:r w:rsidRPr="009965C2">
              <w:rPr>
                <w:rFonts w:ascii="Times New Roman" w:hAnsi="Times New Roman" w:cs="Times New Roman"/>
                <w:color w:val="000000"/>
                <w:sz w:val="20"/>
                <w:szCs w:val="20"/>
              </w:rPr>
              <w:t>Teriflunomide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701</w:t>
            </w:r>
          </w:p>
        </w:tc>
        <w:tc>
          <w:tcPr>
            <w:tcW w:w="0" w:type="auto"/>
            <w:tcBorders>
              <w:top w:val="nil"/>
              <w:left w:val="nil"/>
              <w:bottom w:val="nil"/>
              <w:right w:val="nil"/>
            </w:tcBorders>
            <w:shd w:val="clear" w:color="auto" w:fill="auto"/>
            <w:noWrap/>
            <w:tcMar>
              <w:top w:w="15" w:type="dxa"/>
              <w:left w:w="15" w:type="dxa"/>
              <w:bottom w:w="0" w:type="dxa"/>
              <w:right w:w="405" w:type="dxa"/>
            </w:tcMar>
            <w:vAlign w:val="bottom"/>
            <w:hideMark/>
          </w:tcPr>
          <w:p w:rsidR="009965C2" w:rsidRPr="009965C2" w:rsidRDefault="009965C2" w:rsidP="009965C2">
            <w:pPr>
              <w:spacing w:after="0" w:line="240" w:lineRule="auto"/>
              <w:ind w:firstLineChars="300" w:firstLine="600"/>
              <w:jc w:val="right"/>
              <w:rPr>
                <w:rFonts w:ascii="Times New Roman" w:hAnsi="Times New Roman" w:cs="Times New Roman"/>
                <w:color w:val="000000"/>
                <w:sz w:val="20"/>
                <w:szCs w:val="20"/>
              </w:rPr>
            </w:pPr>
            <w:r w:rsidRPr="009965C2">
              <w:rPr>
                <w:rFonts w:ascii="Times New Roman" w:hAnsi="Times New Roman" w:cs="Times New Roman"/>
                <w:color w:val="000000"/>
                <w:sz w:val="20"/>
                <w:szCs w:val="20"/>
              </w:rPr>
              <w:t>10.4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(3.0, 35.5)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53.7%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62.0%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69.5%</w:t>
            </w:r>
          </w:p>
        </w:tc>
        <w:tc>
          <w:tcPr>
            <w:tcW w:w="0" w:type="auto"/>
            <w:tcBorders>
              <w:top w:val="nil"/>
              <w:left w:val="nil"/>
              <w:bottom w:val="nil"/>
              <w:right w:val="nil"/>
            </w:tcBorders>
            <w:shd w:val="clear" w:color="auto" w:fill="auto"/>
            <w:noWrap/>
            <w:tcMar>
              <w:top w:w="15" w:type="dxa"/>
              <w:left w:w="15" w:type="dxa"/>
              <w:bottom w:w="0" w:type="dxa"/>
              <w:right w:w="135" w:type="dxa"/>
            </w:tcMar>
            <w:vAlign w:val="bottom"/>
            <w:hideMark/>
          </w:tcPr>
          <w:p w:rsidR="009965C2" w:rsidRPr="009965C2" w:rsidRDefault="009965C2" w:rsidP="009965C2">
            <w:pPr>
              <w:spacing w:after="0" w:line="240" w:lineRule="auto"/>
              <w:ind w:firstLineChars="100" w:firstLine="200"/>
              <w:jc w:val="right"/>
              <w:rPr>
                <w:rFonts w:ascii="Times New Roman" w:hAnsi="Times New Roman" w:cs="Times New Roman"/>
                <w:color w:val="000000"/>
                <w:sz w:val="20"/>
                <w:szCs w:val="20"/>
              </w:rPr>
            </w:pPr>
            <w:r w:rsidRPr="009965C2">
              <w:rPr>
                <w:rFonts w:ascii="Times New Roman" w:hAnsi="Times New Roman" w:cs="Times New Roman"/>
                <w:color w:val="000000"/>
                <w:sz w:val="20"/>
                <w:szCs w:val="20"/>
              </w:rPr>
              <w:t>-</w:t>
            </w:r>
          </w:p>
        </w:tc>
        <w:tc>
          <w:tcPr>
            <w:tcW w:w="0" w:type="auto"/>
            <w:tcBorders>
              <w:top w:val="nil"/>
              <w:left w:val="nil"/>
              <w:bottom w:val="nil"/>
              <w:right w:val="nil"/>
            </w:tcBorders>
            <w:shd w:val="clear" w:color="auto" w:fill="auto"/>
            <w:noWrap/>
            <w:tcMar>
              <w:top w:w="15" w:type="dxa"/>
              <w:left w:w="15" w:type="dxa"/>
              <w:bottom w:w="0" w:type="dxa"/>
              <w:right w:w="135" w:type="dxa"/>
            </w:tcMar>
            <w:vAlign w:val="bottom"/>
            <w:hideMark/>
          </w:tcPr>
          <w:p w:rsidR="009965C2" w:rsidRPr="009965C2" w:rsidRDefault="009965C2" w:rsidP="009965C2">
            <w:pPr>
              <w:spacing w:after="0" w:line="240" w:lineRule="auto"/>
              <w:ind w:firstLineChars="100" w:firstLine="200"/>
              <w:jc w:val="right"/>
              <w:rPr>
                <w:rFonts w:ascii="Times New Roman" w:hAnsi="Times New Roman" w:cs="Times New Roman"/>
                <w:color w:val="000000"/>
                <w:sz w:val="20"/>
                <w:szCs w:val="20"/>
              </w:rPr>
            </w:pPr>
          </w:p>
        </w:tc>
      </w:tr>
      <w:tr w:rsidR="009965C2" w:rsidTr="009965C2">
        <w:trPr>
          <w:trHeight w:val="300"/>
        </w:trPr>
        <w:tc>
          <w:tcPr>
            <w:tcW w:w="0" w:type="auto"/>
            <w:tcBorders>
              <w:top w:val="nil"/>
              <w:left w:val="nil"/>
              <w:bottom w:val="nil"/>
              <w:right w:val="nil"/>
            </w:tcBorders>
            <w:shd w:val="clear" w:color="auto" w:fill="auto"/>
            <w:noWrap/>
            <w:tcMar>
              <w:top w:w="15" w:type="dxa"/>
              <w:left w:w="270" w:type="dxa"/>
              <w:bottom w:w="0" w:type="dxa"/>
              <w:right w:w="15" w:type="dxa"/>
            </w:tcMar>
            <w:vAlign w:val="bottom"/>
            <w:hideMark/>
          </w:tcPr>
          <w:p w:rsidR="009965C2" w:rsidRPr="009965C2" w:rsidRDefault="009965C2" w:rsidP="009965C2">
            <w:pPr>
              <w:spacing w:after="0" w:line="240" w:lineRule="auto"/>
              <w:ind w:firstLineChars="200" w:firstLine="400"/>
              <w:rPr>
                <w:rFonts w:ascii="Times New Roman" w:hAnsi="Times New Roman" w:cs="Times New Roman"/>
                <w:color w:val="000000"/>
                <w:sz w:val="20"/>
                <w:szCs w:val="20"/>
              </w:rPr>
            </w:pPr>
            <w:r w:rsidRPr="009965C2">
              <w:rPr>
                <w:rFonts w:ascii="Times New Roman" w:hAnsi="Times New Roman" w:cs="Times New Roman"/>
                <w:color w:val="000000"/>
                <w:sz w:val="20"/>
                <w:szCs w:val="20"/>
              </w:rPr>
              <w:t>Fingolimod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842</w:t>
            </w:r>
          </w:p>
        </w:tc>
        <w:tc>
          <w:tcPr>
            <w:tcW w:w="0" w:type="auto"/>
            <w:tcBorders>
              <w:top w:val="nil"/>
              <w:left w:val="nil"/>
              <w:bottom w:val="nil"/>
              <w:right w:val="nil"/>
            </w:tcBorders>
            <w:shd w:val="clear" w:color="auto" w:fill="auto"/>
            <w:noWrap/>
            <w:tcMar>
              <w:top w:w="15" w:type="dxa"/>
              <w:left w:w="15" w:type="dxa"/>
              <w:bottom w:w="0" w:type="dxa"/>
              <w:right w:w="405" w:type="dxa"/>
            </w:tcMar>
            <w:vAlign w:val="bottom"/>
            <w:hideMark/>
          </w:tcPr>
          <w:p w:rsidR="009965C2" w:rsidRPr="009965C2" w:rsidRDefault="009965C2" w:rsidP="009965C2">
            <w:pPr>
              <w:spacing w:after="0" w:line="240" w:lineRule="auto"/>
              <w:ind w:firstLineChars="300" w:firstLine="600"/>
              <w:jc w:val="right"/>
              <w:rPr>
                <w:rFonts w:ascii="Times New Roman" w:hAnsi="Times New Roman" w:cs="Times New Roman"/>
                <w:color w:val="000000"/>
                <w:sz w:val="20"/>
                <w:szCs w:val="20"/>
              </w:rPr>
            </w:pPr>
            <w:r w:rsidRPr="009965C2">
              <w:rPr>
                <w:rFonts w:ascii="Times New Roman" w:hAnsi="Times New Roman" w:cs="Times New Roman"/>
                <w:color w:val="000000"/>
                <w:sz w:val="20"/>
                <w:szCs w:val="20"/>
              </w:rPr>
              <w:t>18.3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(5.9, 40.5)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40.9%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49.3%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59.0%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right"/>
              <w:rPr>
                <w:rFonts w:ascii="Times New Roman" w:hAnsi="Times New Roman" w:cs="Times New Roman"/>
                <w:color w:val="000000"/>
                <w:sz w:val="20"/>
                <w:szCs w:val="20"/>
              </w:rPr>
            </w:pPr>
            <w:r w:rsidRPr="009965C2">
              <w:rPr>
                <w:rFonts w:ascii="Times New Roman" w:hAnsi="Times New Roman" w:cs="Times New Roman"/>
                <w:color w:val="000000"/>
                <w:sz w:val="20"/>
                <w:szCs w:val="20"/>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color w:val="000000"/>
                <w:sz w:val="20"/>
                <w:szCs w:val="20"/>
              </w:rPr>
            </w:pPr>
            <w:r w:rsidRPr="009965C2">
              <w:rPr>
                <w:rFonts w:ascii="Times New Roman" w:hAnsi="Times New Roman" w:cs="Times New Roman"/>
                <w:color w:val="000000"/>
                <w:sz w:val="20"/>
                <w:szCs w:val="20"/>
              </w:rPr>
              <w:t>*</w:t>
            </w:r>
          </w:p>
        </w:tc>
      </w:tr>
      <w:tr w:rsidR="009965C2" w:rsidTr="009965C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sz w:val="20"/>
                <w:szCs w:val="20"/>
              </w:rPr>
            </w:pPr>
          </w:p>
        </w:tc>
      </w:tr>
      <w:tr w:rsidR="009965C2" w:rsidTr="009965C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b/>
                <w:bCs/>
                <w:color w:val="000000"/>
                <w:sz w:val="20"/>
                <w:szCs w:val="20"/>
              </w:rPr>
            </w:pPr>
            <w:r w:rsidRPr="009965C2">
              <w:rPr>
                <w:rFonts w:ascii="Times New Roman" w:hAnsi="Times New Roman" w:cs="Times New Roman"/>
                <w:b/>
                <w:bCs/>
                <w:color w:val="000000"/>
                <w:sz w:val="20"/>
                <w:szCs w:val="20"/>
              </w:rPr>
              <w:t>55 to &lt;65 years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b/>
                <w:bCs/>
                <w:color w:val="000000"/>
                <w:sz w:val="20"/>
                <w:szCs w:val="20"/>
              </w:rPr>
            </w:pPr>
          </w:p>
        </w:tc>
        <w:tc>
          <w:tcPr>
            <w:tcW w:w="102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98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74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c>
          <w:tcPr>
            <w:tcW w:w="220" w:type="dxa"/>
            <w:tcBorders>
              <w:top w:val="nil"/>
              <w:left w:val="nil"/>
              <w:bottom w:val="nil"/>
              <w:right w:val="nil"/>
            </w:tcBorders>
            <w:shd w:val="clear" w:color="auto" w:fill="auto"/>
            <w:tcMar>
              <w:top w:w="15" w:type="dxa"/>
              <w:left w:w="15" w:type="dxa"/>
              <w:bottom w:w="0" w:type="dxa"/>
              <w:right w:w="15" w:type="dxa"/>
            </w:tcMar>
            <w:vAlign w:val="center"/>
            <w:hideMark/>
          </w:tcPr>
          <w:p w:rsidR="009965C2" w:rsidRPr="009965C2" w:rsidRDefault="009965C2" w:rsidP="009965C2">
            <w:pPr>
              <w:spacing w:after="0" w:line="240" w:lineRule="auto"/>
              <w:jc w:val="center"/>
              <w:rPr>
                <w:rFonts w:ascii="Times New Roman" w:hAnsi="Times New Roman" w:cs="Times New Roman"/>
                <w:sz w:val="20"/>
                <w:szCs w:val="20"/>
              </w:rPr>
            </w:pPr>
          </w:p>
        </w:tc>
      </w:tr>
      <w:tr w:rsidR="009965C2" w:rsidTr="009965C2">
        <w:trPr>
          <w:trHeight w:val="300"/>
        </w:trPr>
        <w:tc>
          <w:tcPr>
            <w:tcW w:w="0" w:type="auto"/>
            <w:tcBorders>
              <w:top w:val="nil"/>
              <w:left w:val="nil"/>
              <w:bottom w:val="nil"/>
              <w:right w:val="nil"/>
            </w:tcBorders>
            <w:shd w:val="clear" w:color="auto" w:fill="auto"/>
            <w:noWrap/>
            <w:tcMar>
              <w:top w:w="15" w:type="dxa"/>
              <w:left w:w="270" w:type="dxa"/>
              <w:bottom w:w="0" w:type="dxa"/>
              <w:right w:w="15" w:type="dxa"/>
            </w:tcMar>
            <w:vAlign w:val="bottom"/>
            <w:hideMark/>
          </w:tcPr>
          <w:p w:rsidR="009965C2" w:rsidRPr="009965C2" w:rsidRDefault="009965C2" w:rsidP="009965C2">
            <w:pPr>
              <w:spacing w:after="0" w:line="240" w:lineRule="auto"/>
              <w:ind w:firstLineChars="200" w:firstLine="400"/>
              <w:rPr>
                <w:rFonts w:ascii="Times New Roman" w:hAnsi="Times New Roman" w:cs="Times New Roman"/>
                <w:color w:val="000000"/>
                <w:sz w:val="20"/>
                <w:szCs w:val="20"/>
              </w:rPr>
            </w:pPr>
            <w:r w:rsidRPr="009965C2">
              <w:rPr>
                <w:rFonts w:ascii="Times New Roman" w:hAnsi="Times New Roman" w:cs="Times New Roman"/>
                <w:color w:val="000000"/>
                <w:sz w:val="20"/>
                <w:szCs w:val="20"/>
              </w:rPr>
              <w:t>Teriflunomide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623</w:t>
            </w:r>
          </w:p>
        </w:tc>
        <w:tc>
          <w:tcPr>
            <w:tcW w:w="0" w:type="auto"/>
            <w:tcBorders>
              <w:top w:val="nil"/>
              <w:left w:val="nil"/>
              <w:bottom w:val="nil"/>
              <w:right w:val="nil"/>
            </w:tcBorders>
            <w:shd w:val="clear" w:color="auto" w:fill="auto"/>
            <w:noWrap/>
            <w:tcMar>
              <w:top w:w="15" w:type="dxa"/>
              <w:left w:w="15" w:type="dxa"/>
              <w:bottom w:w="0" w:type="dxa"/>
              <w:right w:w="405" w:type="dxa"/>
            </w:tcMar>
            <w:vAlign w:val="bottom"/>
            <w:hideMark/>
          </w:tcPr>
          <w:p w:rsidR="009965C2" w:rsidRPr="009965C2" w:rsidRDefault="009965C2" w:rsidP="009965C2">
            <w:pPr>
              <w:spacing w:after="0" w:line="240" w:lineRule="auto"/>
              <w:ind w:firstLineChars="300" w:firstLine="600"/>
              <w:jc w:val="right"/>
              <w:rPr>
                <w:rFonts w:ascii="Times New Roman" w:hAnsi="Times New Roman" w:cs="Times New Roman"/>
                <w:color w:val="000000"/>
                <w:sz w:val="20"/>
                <w:szCs w:val="20"/>
              </w:rPr>
            </w:pPr>
            <w:r w:rsidRPr="009965C2">
              <w:rPr>
                <w:rFonts w:ascii="Times New Roman" w:hAnsi="Times New Roman" w:cs="Times New Roman"/>
                <w:color w:val="000000"/>
                <w:sz w:val="20"/>
                <w:szCs w:val="20"/>
              </w:rPr>
              <w:t>10.1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(2.8, 34.1)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54.5%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63.4%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69.6%</w:t>
            </w:r>
          </w:p>
        </w:tc>
        <w:tc>
          <w:tcPr>
            <w:tcW w:w="0" w:type="auto"/>
            <w:tcBorders>
              <w:top w:val="nil"/>
              <w:left w:val="nil"/>
              <w:bottom w:val="nil"/>
              <w:right w:val="nil"/>
            </w:tcBorders>
            <w:shd w:val="clear" w:color="auto" w:fill="auto"/>
            <w:noWrap/>
            <w:tcMar>
              <w:top w:w="15" w:type="dxa"/>
              <w:left w:w="15" w:type="dxa"/>
              <w:bottom w:w="0" w:type="dxa"/>
              <w:right w:w="135" w:type="dxa"/>
            </w:tcMar>
            <w:vAlign w:val="bottom"/>
            <w:hideMark/>
          </w:tcPr>
          <w:p w:rsidR="009965C2" w:rsidRPr="009965C2" w:rsidRDefault="009965C2" w:rsidP="009965C2">
            <w:pPr>
              <w:spacing w:after="0" w:line="240" w:lineRule="auto"/>
              <w:ind w:firstLineChars="100" w:firstLine="200"/>
              <w:jc w:val="right"/>
              <w:rPr>
                <w:rFonts w:ascii="Times New Roman" w:hAnsi="Times New Roman" w:cs="Times New Roman"/>
                <w:color w:val="000000"/>
                <w:sz w:val="20"/>
                <w:szCs w:val="20"/>
              </w:rPr>
            </w:pPr>
            <w:r w:rsidRPr="009965C2">
              <w:rPr>
                <w:rFonts w:ascii="Times New Roman" w:hAnsi="Times New Roman" w:cs="Times New Roman"/>
                <w:color w:val="000000"/>
                <w:sz w:val="20"/>
                <w:szCs w:val="20"/>
              </w:rPr>
              <w:t>-</w:t>
            </w:r>
          </w:p>
        </w:tc>
        <w:tc>
          <w:tcPr>
            <w:tcW w:w="0" w:type="auto"/>
            <w:tcBorders>
              <w:top w:val="nil"/>
              <w:left w:val="nil"/>
              <w:bottom w:val="nil"/>
              <w:right w:val="nil"/>
            </w:tcBorders>
            <w:shd w:val="clear" w:color="auto" w:fill="auto"/>
            <w:noWrap/>
            <w:tcMar>
              <w:top w:w="15" w:type="dxa"/>
              <w:left w:w="15" w:type="dxa"/>
              <w:bottom w:w="0" w:type="dxa"/>
              <w:right w:w="135" w:type="dxa"/>
            </w:tcMar>
            <w:vAlign w:val="bottom"/>
            <w:hideMark/>
          </w:tcPr>
          <w:p w:rsidR="009965C2" w:rsidRPr="009965C2" w:rsidRDefault="009965C2" w:rsidP="009965C2">
            <w:pPr>
              <w:spacing w:after="0" w:line="240" w:lineRule="auto"/>
              <w:ind w:firstLineChars="100" w:firstLine="200"/>
              <w:jc w:val="right"/>
              <w:rPr>
                <w:rFonts w:ascii="Times New Roman" w:hAnsi="Times New Roman" w:cs="Times New Roman"/>
                <w:color w:val="000000"/>
                <w:sz w:val="20"/>
                <w:szCs w:val="20"/>
              </w:rPr>
            </w:pPr>
          </w:p>
        </w:tc>
      </w:tr>
      <w:tr w:rsidR="009965C2" w:rsidTr="009965C2">
        <w:trPr>
          <w:trHeight w:val="315"/>
        </w:trPr>
        <w:tc>
          <w:tcPr>
            <w:tcW w:w="0" w:type="auto"/>
            <w:tcBorders>
              <w:top w:val="nil"/>
              <w:left w:val="nil"/>
              <w:bottom w:val="single" w:sz="8" w:space="0" w:color="auto"/>
              <w:right w:val="nil"/>
            </w:tcBorders>
            <w:shd w:val="clear" w:color="auto" w:fill="auto"/>
            <w:noWrap/>
            <w:tcMar>
              <w:top w:w="15" w:type="dxa"/>
              <w:left w:w="270" w:type="dxa"/>
              <w:bottom w:w="0" w:type="dxa"/>
              <w:right w:w="15" w:type="dxa"/>
            </w:tcMar>
            <w:vAlign w:val="bottom"/>
            <w:hideMark/>
          </w:tcPr>
          <w:p w:rsidR="009965C2" w:rsidRPr="009965C2" w:rsidRDefault="009965C2" w:rsidP="009965C2">
            <w:pPr>
              <w:spacing w:after="0" w:line="240" w:lineRule="auto"/>
              <w:ind w:firstLineChars="200" w:firstLine="400"/>
              <w:rPr>
                <w:rFonts w:ascii="Times New Roman" w:hAnsi="Times New Roman" w:cs="Times New Roman"/>
                <w:color w:val="000000"/>
                <w:sz w:val="20"/>
                <w:szCs w:val="20"/>
              </w:rPr>
            </w:pPr>
            <w:r w:rsidRPr="009965C2">
              <w:rPr>
                <w:rFonts w:ascii="Times New Roman" w:hAnsi="Times New Roman" w:cs="Times New Roman"/>
                <w:color w:val="000000"/>
                <w:sz w:val="20"/>
                <w:szCs w:val="20"/>
              </w:rPr>
              <w:t>Fingolimod</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420</w:t>
            </w:r>
          </w:p>
        </w:tc>
        <w:tc>
          <w:tcPr>
            <w:tcW w:w="0" w:type="auto"/>
            <w:tcBorders>
              <w:top w:val="nil"/>
              <w:left w:val="nil"/>
              <w:bottom w:val="single" w:sz="8" w:space="0" w:color="auto"/>
              <w:right w:val="nil"/>
            </w:tcBorders>
            <w:shd w:val="clear" w:color="auto" w:fill="auto"/>
            <w:noWrap/>
            <w:tcMar>
              <w:top w:w="15" w:type="dxa"/>
              <w:left w:w="15" w:type="dxa"/>
              <w:bottom w:w="0" w:type="dxa"/>
              <w:right w:w="405" w:type="dxa"/>
            </w:tcMar>
            <w:vAlign w:val="bottom"/>
            <w:hideMark/>
          </w:tcPr>
          <w:p w:rsidR="009965C2" w:rsidRPr="009965C2" w:rsidRDefault="009965C2" w:rsidP="009965C2">
            <w:pPr>
              <w:spacing w:after="0" w:line="240" w:lineRule="auto"/>
              <w:ind w:firstLineChars="300" w:firstLine="600"/>
              <w:jc w:val="right"/>
              <w:rPr>
                <w:rFonts w:ascii="Times New Roman" w:hAnsi="Times New Roman" w:cs="Times New Roman"/>
                <w:color w:val="000000"/>
                <w:sz w:val="20"/>
                <w:szCs w:val="20"/>
              </w:rPr>
            </w:pPr>
            <w:r w:rsidRPr="009965C2">
              <w:rPr>
                <w:rFonts w:ascii="Times New Roman" w:hAnsi="Times New Roman" w:cs="Times New Roman"/>
                <w:color w:val="000000"/>
                <w:sz w:val="20"/>
                <w:szCs w:val="20"/>
              </w:rPr>
              <w:t>18.8</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(6.0, 41.3)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39.9%</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49.4%</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center"/>
              <w:rPr>
                <w:rFonts w:ascii="Times New Roman" w:hAnsi="Times New Roman" w:cs="Times New Roman"/>
                <w:color w:val="000000"/>
                <w:sz w:val="20"/>
                <w:szCs w:val="20"/>
              </w:rPr>
            </w:pPr>
            <w:r w:rsidRPr="009965C2">
              <w:rPr>
                <w:rFonts w:ascii="Times New Roman" w:hAnsi="Times New Roman" w:cs="Times New Roman"/>
                <w:color w:val="000000"/>
                <w:sz w:val="20"/>
                <w:szCs w:val="20"/>
              </w:rPr>
              <w:t>55.8%</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jc w:val="right"/>
              <w:rPr>
                <w:rFonts w:ascii="Times New Roman" w:hAnsi="Times New Roman" w:cs="Times New Roman"/>
                <w:color w:val="000000"/>
                <w:sz w:val="20"/>
                <w:szCs w:val="20"/>
              </w:rPr>
            </w:pPr>
            <w:r w:rsidRPr="009965C2">
              <w:rPr>
                <w:rFonts w:ascii="Times New Roman" w:hAnsi="Times New Roman" w:cs="Times New Roman"/>
                <w:color w:val="000000"/>
                <w:sz w:val="20"/>
                <w:szCs w:val="20"/>
              </w:rPr>
              <w:t>&lt;0.001</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9965C2" w:rsidRPr="009965C2" w:rsidRDefault="009965C2" w:rsidP="009965C2">
            <w:pPr>
              <w:spacing w:after="0" w:line="240" w:lineRule="auto"/>
              <w:rPr>
                <w:rFonts w:ascii="Times New Roman" w:hAnsi="Times New Roman" w:cs="Times New Roman"/>
                <w:color w:val="000000"/>
                <w:sz w:val="20"/>
                <w:szCs w:val="20"/>
              </w:rPr>
            </w:pPr>
            <w:r w:rsidRPr="009965C2">
              <w:rPr>
                <w:rFonts w:ascii="Times New Roman" w:hAnsi="Times New Roman" w:cs="Times New Roman"/>
                <w:color w:val="000000"/>
                <w:sz w:val="20"/>
                <w:szCs w:val="20"/>
              </w:rPr>
              <w:t>*</w:t>
            </w:r>
          </w:p>
        </w:tc>
      </w:tr>
    </w:tbl>
    <w:p w:rsidR="006156C9" w:rsidRDefault="006156C9" w:rsidP="006156C9">
      <w:pPr>
        <w:spacing w:after="0" w:line="240" w:lineRule="auto"/>
        <w:rPr>
          <w:rFonts w:ascii="Times New Roman" w:hAnsi="Times New Roman" w:cs="Times New Roman"/>
          <w:b/>
          <w:szCs w:val="18"/>
        </w:rPr>
      </w:pPr>
    </w:p>
    <w:p w:rsidR="006156C9" w:rsidRPr="00507FB9" w:rsidRDefault="009965C2" w:rsidP="006156C9">
      <w:pPr>
        <w:spacing w:after="0" w:line="240" w:lineRule="auto"/>
        <w:rPr>
          <w:rFonts w:ascii="Times New Roman" w:hAnsi="Times New Roman" w:cs="Times New Roman"/>
          <w:sz w:val="18"/>
          <w:szCs w:val="18"/>
        </w:rPr>
      </w:pPr>
      <w:r>
        <w:rPr>
          <w:rFonts w:ascii="Times New Roman" w:hAnsi="Times New Roman" w:cs="Times New Roman"/>
          <w:b/>
          <w:szCs w:val="18"/>
        </w:rPr>
        <w:t xml:space="preserve"> </w:t>
      </w:r>
      <w:r w:rsidR="006156C9" w:rsidRPr="00507FB9">
        <w:rPr>
          <w:rFonts w:ascii="Times New Roman" w:hAnsi="Times New Roman" w:cs="Times New Roman"/>
          <w:i/>
          <w:sz w:val="18"/>
          <w:szCs w:val="18"/>
        </w:rPr>
        <w:t>IQR</w:t>
      </w:r>
      <w:r w:rsidR="006156C9" w:rsidRPr="00507FB9">
        <w:rPr>
          <w:rFonts w:ascii="Times New Roman" w:hAnsi="Times New Roman" w:cs="Times New Roman"/>
          <w:sz w:val="18"/>
          <w:szCs w:val="18"/>
        </w:rPr>
        <w:t xml:space="preserve"> interquartile range, </w:t>
      </w:r>
      <w:r w:rsidR="006156C9" w:rsidRPr="00507FB9">
        <w:rPr>
          <w:rFonts w:ascii="Times New Roman" w:hAnsi="Times New Roman" w:cs="Times New Roman"/>
          <w:i/>
          <w:sz w:val="18"/>
          <w:szCs w:val="18"/>
        </w:rPr>
        <w:t>NR</w:t>
      </w:r>
      <w:r w:rsidR="006156C9" w:rsidRPr="00507FB9">
        <w:rPr>
          <w:rFonts w:ascii="Times New Roman" w:hAnsi="Times New Roman" w:cs="Times New Roman"/>
          <w:sz w:val="18"/>
          <w:szCs w:val="18"/>
        </w:rPr>
        <w:t xml:space="preserve"> not reached</w:t>
      </w:r>
    </w:p>
    <w:p w:rsidR="009965C2" w:rsidRDefault="009965C2" w:rsidP="009965C2">
      <w:pPr>
        <w:spacing w:after="0" w:line="240" w:lineRule="auto"/>
        <w:rPr>
          <w:rFonts w:ascii="Times New Roman" w:hAnsi="Times New Roman" w:cs="Times New Roman"/>
          <w:b/>
          <w:szCs w:val="18"/>
        </w:rPr>
      </w:pPr>
      <w:r>
        <w:rPr>
          <w:rFonts w:ascii="Times New Roman" w:hAnsi="Times New Roman" w:cs="Times New Roman"/>
          <w:b/>
          <w:szCs w:val="18"/>
        </w:rPr>
        <w:br w:type="page"/>
      </w:r>
    </w:p>
    <w:p w:rsidR="00FA51C6" w:rsidRPr="008D10A0" w:rsidRDefault="00FA51C6" w:rsidP="00FA51C6">
      <w:pPr>
        <w:spacing w:after="0" w:line="240" w:lineRule="auto"/>
        <w:rPr>
          <w:rFonts w:ascii="Times New Roman" w:hAnsi="Times New Roman" w:cs="Times New Roman"/>
          <w:b/>
        </w:rPr>
      </w:pPr>
      <w:r w:rsidRPr="008D10A0">
        <w:rPr>
          <w:rFonts w:ascii="Times New Roman" w:hAnsi="Times New Roman" w:cs="Times New Roman"/>
          <w:b/>
        </w:rPr>
        <w:t>Table S</w:t>
      </w:r>
      <w:r>
        <w:rPr>
          <w:rFonts w:ascii="Times New Roman" w:hAnsi="Times New Roman" w:cs="Times New Roman"/>
          <w:b/>
        </w:rPr>
        <w:t>4</w:t>
      </w:r>
      <w:r w:rsidRPr="008D10A0">
        <w:rPr>
          <w:rFonts w:ascii="Times New Roman" w:hAnsi="Times New Roman" w:cs="Times New Roman"/>
          <w:b/>
        </w:rPr>
        <w:t xml:space="preserve">. Multivariable Cox proportional hazards model </w:t>
      </w:r>
      <w:r>
        <w:rPr>
          <w:rFonts w:ascii="Times New Roman" w:hAnsi="Times New Roman" w:cs="Times New Roman"/>
          <w:b/>
        </w:rPr>
        <w:t xml:space="preserve">of time to </w:t>
      </w:r>
      <w:r w:rsidRPr="008D10A0">
        <w:rPr>
          <w:rFonts w:ascii="Times New Roman" w:hAnsi="Times New Roman" w:cs="Times New Roman"/>
          <w:b/>
        </w:rPr>
        <w:t>first relapse</w:t>
      </w:r>
    </w:p>
    <w:tbl>
      <w:tblPr>
        <w:tblW w:w="5000" w:type="pct"/>
        <w:tblLook w:val="04A0" w:firstRow="1" w:lastRow="0" w:firstColumn="1" w:lastColumn="0" w:noHBand="0" w:noVBand="1"/>
      </w:tblPr>
      <w:tblGrid>
        <w:gridCol w:w="5998"/>
        <w:gridCol w:w="849"/>
        <w:gridCol w:w="1379"/>
        <w:gridCol w:w="105"/>
        <w:gridCol w:w="723"/>
        <w:gridCol w:w="306"/>
      </w:tblGrid>
      <w:tr w:rsidR="00FA51C6" w:rsidRPr="00FC064A" w:rsidTr="00FA51C6">
        <w:trPr>
          <w:trHeight w:val="315"/>
        </w:trPr>
        <w:tc>
          <w:tcPr>
            <w:tcW w:w="3214" w:type="pct"/>
            <w:tcBorders>
              <w:top w:val="single" w:sz="4" w:space="0" w:color="auto"/>
              <w:left w:val="nil"/>
              <w:bottom w:val="double" w:sz="6" w:space="0" w:color="auto"/>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 </w:t>
            </w:r>
          </w:p>
        </w:tc>
        <w:tc>
          <w:tcPr>
            <w:tcW w:w="463" w:type="pct"/>
            <w:tcBorders>
              <w:top w:val="single" w:sz="4" w:space="0" w:color="auto"/>
              <w:left w:val="nil"/>
              <w:bottom w:val="double" w:sz="6" w:space="0" w:color="auto"/>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b/>
                <w:bCs/>
                <w:color w:val="000000"/>
                <w:sz w:val="18"/>
                <w:szCs w:val="18"/>
              </w:rPr>
            </w:pPr>
            <w:r w:rsidRPr="00542407">
              <w:rPr>
                <w:rFonts w:ascii="Times New Roman" w:eastAsia="Times New Roman" w:hAnsi="Times New Roman" w:cs="Times New Roman"/>
                <w:b/>
                <w:bCs/>
                <w:color w:val="000000"/>
                <w:sz w:val="18"/>
                <w:szCs w:val="18"/>
              </w:rPr>
              <w:t>HR</w:t>
            </w:r>
          </w:p>
        </w:tc>
        <w:tc>
          <w:tcPr>
            <w:tcW w:w="746" w:type="pct"/>
            <w:tcBorders>
              <w:top w:val="single" w:sz="4" w:space="0" w:color="auto"/>
              <w:left w:val="nil"/>
              <w:bottom w:val="double" w:sz="6" w:space="0" w:color="auto"/>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b/>
                <w:bCs/>
                <w:color w:val="000000"/>
                <w:sz w:val="18"/>
                <w:szCs w:val="18"/>
              </w:rPr>
            </w:pPr>
            <w:r w:rsidRPr="00542407">
              <w:rPr>
                <w:rFonts w:ascii="Times New Roman" w:eastAsia="Times New Roman" w:hAnsi="Times New Roman" w:cs="Times New Roman"/>
                <w:b/>
                <w:bCs/>
                <w:color w:val="000000"/>
                <w:sz w:val="18"/>
                <w:szCs w:val="18"/>
              </w:rPr>
              <w:t>95% CI</w:t>
            </w:r>
          </w:p>
        </w:tc>
        <w:tc>
          <w:tcPr>
            <w:tcW w:w="577" w:type="pct"/>
            <w:gridSpan w:val="3"/>
            <w:tcBorders>
              <w:top w:val="single" w:sz="4" w:space="0" w:color="auto"/>
              <w:left w:val="nil"/>
              <w:bottom w:val="double" w:sz="6" w:space="0" w:color="auto"/>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b/>
                <w:bCs/>
                <w:color w:val="000000"/>
                <w:sz w:val="18"/>
                <w:szCs w:val="18"/>
              </w:rPr>
            </w:pPr>
            <w:r w:rsidRPr="00542407">
              <w:rPr>
                <w:rFonts w:ascii="Times New Roman" w:eastAsia="Times New Roman" w:hAnsi="Times New Roman" w:cs="Times New Roman"/>
                <w:b/>
                <w:bCs/>
                <w:color w:val="000000"/>
                <w:sz w:val="18"/>
                <w:szCs w:val="18"/>
              </w:rPr>
              <w:t>P-value</w:t>
            </w:r>
          </w:p>
        </w:tc>
      </w:tr>
      <w:tr w:rsidR="00FA51C6" w:rsidRPr="00FC064A" w:rsidTr="00FA51C6">
        <w:trPr>
          <w:trHeight w:val="6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b/>
                <w:bCs/>
                <w:color w:val="000000"/>
                <w:sz w:val="18"/>
                <w:szCs w:val="18"/>
              </w:rPr>
            </w:pP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b/>
                <w:bCs/>
                <w:color w:val="000000"/>
                <w:sz w:val="18"/>
                <w:szCs w:val="18"/>
              </w:rPr>
            </w:pPr>
            <w:r w:rsidRPr="00542407">
              <w:rPr>
                <w:rFonts w:ascii="Times New Roman" w:eastAsia="Times New Roman" w:hAnsi="Times New Roman" w:cs="Times New Roman"/>
                <w:b/>
                <w:bCs/>
                <w:color w:val="000000"/>
                <w:sz w:val="18"/>
                <w:szCs w:val="18"/>
              </w:rPr>
              <w:t>Estimated effect of fingolimod (vs. teriflunomide), unadjusted</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0.772</w:t>
            </w:r>
          </w:p>
        </w:tc>
        <w:tc>
          <w:tcPr>
            <w:tcW w:w="811"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(0.694, 0.860)</w:t>
            </w:r>
          </w:p>
        </w:tc>
        <w:tc>
          <w:tcPr>
            <w:tcW w:w="39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&lt;0.001</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w:t>
            </w: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b/>
                <w:bCs/>
                <w:color w:val="000000"/>
                <w:sz w:val="18"/>
                <w:szCs w:val="18"/>
              </w:rPr>
            </w:pPr>
            <w:r w:rsidRPr="00542407">
              <w:rPr>
                <w:rFonts w:ascii="Times New Roman" w:eastAsia="Times New Roman" w:hAnsi="Times New Roman" w:cs="Times New Roman"/>
                <w:b/>
                <w:bCs/>
                <w:color w:val="000000"/>
                <w:sz w:val="18"/>
                <w:szCs w:val="18"/>
              </w:rPr>
              <w:t>Estimated effect of fingolimod (vs. teriflunomide), adjusted</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0.757</w:t>
            </w:r>
          </w:p>
        </w:tc>
        <w:tc>
          <w:tcPr>
            <w:tcW w:w="811"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(0.674, 0.849)</w:t>
            </w:r>
          </w:p>
        </w:tc>
        <w:tc>
          <w:tcPr>
            <w:tcW w:w="39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&lt;0.001</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w:t>
            </w: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Age (years)</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0.997</w:t>
            </w:r>
          </w:p>
        </w:tc>
        <w:tc>
          <w:tcPr>
            <w:tcW w:w="811"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(0.992, 1.003)</w:t>
            </w:r>
          </w:p>
        </w:tc>
        <w:tc>
          <w:tcPr>
            <w:tcW w:w="39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0.352</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Female</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1.111</w:t>
            </w:r>
          </w:p>
        </w:tc>
        <w:tc>
          <w:tcPr>
            <w:tcW w:w="811"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(0.972, 1.271)</w:t>
            </w:r>
          </w:p>
        </w:tc>
        <w:tc>
          <w:tcPr>
            <w:tcW w:w="39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0.124</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US geographic region (vs. South)</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p>
        </w:tc>
        <w:tc>
          <w:tcPr>
            <w:tcW w:w="811"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sz w:val="18"/>
                <w:szCs w:val="18"/>
              </w:rPr>
            </w:pPr>
          </w:p>
        </w:tc>
        <w:tc>
          <w:tcPr>
            <w:tcW w:w="39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sz w:val="18"/>
                <w:szCs w:val="18"/>
              </w:rPr>
            </w:pP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Northeast</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1.023</w:t>
            </w:r>
          </w:p>
        </w:tc>
        <w:tc>
          <w:tcPr>
            <w:tcW w:w="811"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(0.882, 1.186)</w:t>
            </w:r>
          </w:p>
        </w:tc>
        <w:tc>
          <w:tcPr>
            <w:tcW w:w="39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0.767</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North central</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1.137</w:t>
            </w:r>
          </w:p>
        </w:tc>
        <w:tc>
          <w:tcPr>
            <w:tcW w:w="811"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(0.991, 1.305)</w:t>
            </w:r>
          </w:p>
        </w:tc>
        <w:tc>
          <w:tcPr>
            <w:tcW w:w="39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0.068</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Other (i.e., West or unknown)</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0.984</w:t>
            </w: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(0.838, 1.155)</w:t>
            </w: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0.843</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Insurance type (vs. preferred provider organization)</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sz w:val="18"/>
                <w:szCs w:val="18"/>
              </w:rPr>
            </w:pP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sz w:val="18"/>
                <w:szCs w:val="18"/>
              </w:rPr>
            </w:pP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Health maintenance organization (HMO)</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1.145</w:t>
            </w: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(0.971, 1.352)</w:t>
            </w: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0.108</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Other</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1.022</w:t>
            </w: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(0.900, 1.161)</w:t>
            </w: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0.734</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Index year (vs. 2012)</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sz w:val="18"/>
                <w:szCs w:val="18"/>
              </w:rPr>
            </w:pP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sz w:val="18"/>
                <w:szCs w:val="18"/>
              </w:rPr>
            </w:pP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2013</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0.972</w:t>
            </w: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(0.805, 1.174)</w:t>
            </w: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0.768</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2014</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0.990</w:t>
            </w: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(0.811, 1.209)</w:t>
            </w: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0.925</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2015</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1.066</w:t>
            </w: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(0.861, 1.319)</w:t>
            </w: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0.557</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Symptoms during the 1-year baseline period</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sz w:val="18"/>
                <w:szCs w:val="18"/>
              </w:rPr>
            </w:pP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sz w:val="18"/>
                <w:szCs w:val="18"/>
              </w:rPr>
            </w:pP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Demyelinating disease of CNS, unspecified</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0.853</w:t>
            </w: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(0.701, 1.039)</w:t>
            </w: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0.114</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Disorders of optic nerve and visual pathways</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1.034</w:t>
            </w: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(0.899, 1.188)</w:t>
            </w: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0.640</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General symptoms: dizziness and giddiness</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1.057</w:t>
            </w: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(0.886, 1.261)</w:t>
            </w: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0.539</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General symptoms: fatigue/malaise</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1.318</w:t>
            </w: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(1.174, 1.479)</w:t>
            </w: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left="-288"/>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&lt;0.001</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w:t>
            </w: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Neurogenic bladder NOS</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1.354</w:t>
            </w: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(1.119, 1.639)</w:t>
            </w: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0.002</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w:t>
            </w: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Other causes of myelitis</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1.445</w:t>
            </w: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(0.878, 2.379)</w:t>
            </w: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0.147</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FC064A" w:rsidTr="00FA51C6">
        <w:trPr>
          <w:trHeight w:val="333"/>
        </w:trPr>
        <w:tc>
          <w:tcPr>
            <w:tcW w:w="3214" w:type="pct"/>
            <w:tcBorders>
              <w:top w:val="nil"/>
              <w:left w:val="nil"/>
              <w:bottom w:val="nil"/>
              <w:right w:val="nil"/>
            </w:tcBorders>
            <w:shd w:val="clear" w:color="auto" w:fill="auto"/>
            <w:vAlign w:val="center"/>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Other disorders of soft tissues: neuralgia, neuritis, and radiculitis, unspecified</w:t>
            </w:r>
          </w:p>
        </w:tc>
        <w:tc>
          <w:tcPr>
            <w:tcW w:w="463" w:type="pct"/>
            <w:tcBorders>
              <w:top w:val="nil"/>
              <w:left w:val="nil"/>
              <w:bottom w:val="nil"/>
              <w:right w:val="nil"/>
            </w:tcBorders>
            <w:shd w:val="clear" w:color="auto" w:fill="auto"/>
            <w:noWrap/>
            <w:vAlign w:val="center"/>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0.989</w:t>
            </w:r>
          </w:p>
        </w:tc>
        <w:tc>
          <w:tcPr>
            <w:tcW w:w="746" w:type="pct"/>
            <w:tcBorders>
              <w:top w:val="nil"/>
              <w:left w:val="nil"/>
              <w:bottom w:val="nil"/>
              <w:right w:val="nil"/>
            </w:tcBorders>
            <w:shd w:val="clear" w:color="auto" w:fill="auto"/>
            <w:noWrap/>
            <w:vAlign w:val="center"/>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(0.734, 1.333)</w:t>
            </w:r>
          </w:p>
        </w:tc>
        <w:tc>
          <w:tcPr>
            <w:tcW w:w="456" w:type="pct"/>
            <w:gridSpan w:val="2"/>
            <w:tcBorders>
              <w:top w:val="nil"/>
              <w:left w:val="nil"/>
              <w:bottom w:val="nil"/>
              <w:right w:val="nil"/>
            </w:tcBorders>
            <w:shd w:val="clear" w:color="auto" w:fill="auto"/>
            <w:noWrap/>
            <w:vAlign w:val="center"/>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0.944</w:t>
            </w:r>
          </w:p>
        </w:tc>
        <w:tc>
          <w:tcPr>
            <w:tcW w:w="121" w:type="pct"/>
            <w:tcBorders>
              <w:top w:val="nil"/>
              <w:left w:val="nil"/>
              <w:bottom w:val="nil"/>
              <w:right w:val="nil"/>
            </w:tcBorders>
            <w:shd w:val="clear" w:color="auto" w:fill="auto"/>
            <w:noWrap/>
            <w:vAlign w:val="center"/>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FC064A" w:rsidTr="00FA51C6">
        <w:trPr>
          <w:trHeight w:val="27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CCI</w:t>
            </w:r>
            <w:r w:rsidRPr="00542407">
              <w:rPr>
                <w:rFonts w:ascii="Times New Roman" w:eastAsia="Times New Roman" w:hAnsi="Times New Roman" w:cs="Times New Roman"/>
                <w:color w:val="000000"/>
                <w:sz w:val="18"/>
                <w:szCs w:val="18"/>
                <w:vertAlign w:val="superscript"/>
              </w:rPr>
              <w:t>1</w:t>
            </w:r>
            <w:r w:rsidRPr="00542407">
              <w:rPr>
                <w:rFonts w:ascii="Times New Roman" w:eastAsia="Times New Roman" w:hAnsi="Times New Roman" w:cs="Times New Roman"/>
                <w:color w:val="000000"/>
                <w:sz w:val="18"/>
                <w:szCs w:val="18"/>
              </w:rPr>
              <w:t xml:space="preserve"> during the 1-year baseline period</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1.079</w:t>
            </w: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(1.029, 1.131)</w:t>
            </w: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0.002</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w:t>
            </w: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Number of relapses during the 1-year baseline period</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1.544</w:t>
            </w: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(1.459, 1.633)</w:t>
            </w: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&lt;0.001</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w:t>
            </w:r>
          </w:p>
        </w:tc>
      </w:tr>
      <w:tr w:rsidR="00FA51C6" w:rsidRPr="00FC064A" w:rsidTr="00FA51C6">
        <w:trPr>
          <w:trHeight w:val="30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Use of ≥1 DMT during the 1-year baseline period</w:t>
            </w: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1.014</w:t>
            </w: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(0.904, 1.137)</w:t>
            </w: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0.817</w:t>
            </w: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FC064A" w:rsidTr="00FA51C6">
        <w:trPr>
          <w:trHeight w:val="60"/>
        </w:trPr>
        <w:tc>
          <w:tcPr>
            <w:tcW w:w="3214" w:type="pct"/>
            <w:tcBorders>
              <w:top w:val="nil"/>
              <w:left w:val="nil"/>
              <w:bottom w:val="single" w:sz="4" w:space="0" w:color="auto"/>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 </w:t>
            </w:r>
          </w:p>
        </w:tc>
        <w:tc>
          <w:tcPr>
            <w:tcW w:w="463" w:type="pct"/>
            <w:tcBorders>
              <w:top w:val="nil"/>
              <w:left w:val="nil"/>
              <w:bottom w:val="single" w:sz="4" w:space="0" w:color="auto"/>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 </w:t>
            </w:r>
          </w:p>
        </w:tc>
        <w:tc>
          <w:tcPr>
            <w:tcW w:w="746" w:type="pct"/>
            <w:tcBorders>
              <w:top w:val="nil"/>
              <w:left w:val="nil"/>
              <w:bottom w:val="single" w:sz="4" w:space="0" w:color="auto"/>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 </w:t>
            </w:r>
          </w:p>
        </w:tc>
        <w:tc>
          <w:tcPr>
            <w:tcW w:w="456" w:type="pct"/>
            <w:gridSpan w:val="2"/>
            <w:tcBorders>
              <w:top w:val="nil"/>
              <w:left w:val="nil"/>
              <w:bottom w:val="single" w:sz="4" w:space="0" w:color="auto"/>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 </w:t>
            </w:r>
          </w:p>
        </w:tc>
        <w:tc>
          <w:tcPr>
            <w:tcW w:w="121" w:type="pct"/>
            <w:tcBorders>
              <w:top w:val="nil"/>
              <w:left w:val="nil"/>
              <w:bottom w:val="single" w:sz="4" w:space="0" w:color="auto"/>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 </w:t>
            </w:r>
          </w:p>
        </w:tc>
      </w:tr>
      <w:tr w:rsidR="00FA51C6" w:rsidRPr="00FC064A" w:rsidTr="00FA51C6">
        <w:trPr>
          <w:trHeight w:val="60"/>
        </w:trPr>
        <w:tc>
          <w:tcPr>
            <w:tcW w:w="3214"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c>
          <w:tcPr>
            <w:tcW w:w="46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c>
          <w:tcPr>
            <w:tcW w:w="746"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c>
          <w:tcPr>
            <w:tcW w:w="456" w:type="pct"/>
            <w:gridSpan w:val="2"/>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c>
          <w:tcPr>
            <w:tcW w:w="12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r>
      <w:tr w:rsidR="00FA51C6" w:rsidRPr="00FC064A" w:rsidTr="00FA51C6">
        <w:trPr>
          <w:trHeight w:val="80"/>
        </w:trPr>
        <w:tc>
          <w:tcPr>
            <w:tcW w:w="5000" w:type="pct"/>
            <w:gridSpan w:val="6"/>
            <w:tcBorders>
              <w:top w:val="nil"/>
              <w:left w:val="nil"/>
              <w:bottom w:val="nil"/>
              <w:right w:val="nil"/>
            </w:tcBorders>
            <w:shd w:val="clear" w:color="auto" w:fill="auto"/>
            <w:hideMark/>
          </w:tcPr>
          <w:p w:rsidR="00FA51C6" w:rsidRPr="00542407" w:rsidRDefault="00FA51C6" w:rsidP="00CD76FF">
            <w:pPr>
              <w:spacing w:after="0" w:line="240" w:lineRule="auto"/>
              <w:rPr>
                <w:rFonts w:ascii="Times New Roman" w:eastAsia="Times New Roman" w:hAnsi="Times New Roman" w:cs="Times New Roman"/>
                <w:i/>
                <w:iCs/>
                <w:color w:val="000000"/>
                <w:sz w:val="18"/>
                <w:szCs w:val="18"/>
              </w:rPr>
            </w:pPr>
            <w:r w:rsidRPr="00542407">
              <w:rPr>
                <w:rFonts w:ascii="Times New Roman" w:eastAsia="Times New Roman" w:hAnsi="Times New Roman" w:cs="Times New Roman"/>
                <w:i/>
                <w:iCs/>
                <w:color w:val="000000"/>
                <w:sz w:val="18"/>
                <w:szCs w:val="18"/>
              </w:rPr>
              <w:t>* p-value &lt; 0.05; HR: Hazard ratio; CI: Confidence interval; US: United States; CNS: Central nervous system; NOS: Not otherwise specified; CCI: Charlson comorbidity index; DMT: Disease modifying therapy</w:t>
            </w:r>
          </w:p>
        </w:tc>
      </w:tr>
    </w:tbl>
    <w:p w:rsidR="00FA51C6" w:rsidRDefault="00FA51C6">
      <w:pPr>
        <w:rPr>
          <w:rFonts w:ascii="Times New Roman" w:hAnsi="Times New Roman" w:cs="Times New Roman"/>
          <w:b/>
          <w:szCs w:val="18"/>
        </w:rPr>
      </w:pPr>
      <w:r>
        <w:rPr>
          <w:rFonts w:ascii="Times New Roman" w:hAnsi="Times New Roman" w:cs="Times New Roman"/>
          <w:b/>
          <w:szCs w:val="18"/>
        </w:rPr>
        <w:br w:type="page"/>
      </w:r>
    </w:p>
    <w:p w:rsidR="00FA51C6" w:rsidRDefault="00FA51C6" w:rsidP="00FA51C6">
      <w:pPr>
        <w:spacing w:after="0" w:line="240" w:lineRule="auto"/>
        <w:rPr>
          <w:rFonts w:ascii="Times New Roman" w:hAnsi="Times New Roman" w:cs="Times New Roman"/>
          <w:b/>
          <w:szCs w:val="18"/>
        </w:rPr>
      </w:pPr>
      <w:r>
        <w:rPr>
          <w:rFonts w:ascii="Times New Roman" w:hAnsi="Times New Roman" w:cs="Times New Roman"/>
          <w:b/>
          <w:szCs w:val="18"/>
        </w:rPr>
        <w:t>Table S5. Multivariable Cox proportional hazards model of time to treatment discontinuation</w:t>
      </w:r>
    </w:p>
    <w:tbl>
      <w:tblPr>
        <w:tblW w:w="5000" w:type="pct"/>
        <w:tblLook w:val="04A0" w:firstRow="1" w:lastRow="0" w:firstColumn="1" w:lastColumn="0" w:noHBand="0" w:noVBand="1"/>
      </w:tblPr>
      <w:tblGrid>
        <w:gridCol w:w="5972"/>
        <w:gridCol w:w="856"/>
        <w:gridCol w:w="1382"/>
        <w:gridCol w:w="844"/>
        <w:gridCol w:w="306"/>
      </w:tblGrid>
      <w:tr w:rsidR="00FA51C6" w:rsidRPr="00255349" w:rsidTr="00FA51C6">
        <w:trPr>
          <w:trHeight w:val="315"/>
        </w:trPr>
        <w:tc>
          <w:tcPr>
            <w:tcW w:w="3193" w:type="pct"/>
            <w:tcBorders>
              <w:top w:val="single" w:sz="4" w:space="0" w:color="auto"/>
              <w:left w:val="nil"/>
              <w:bottom w:val="double" w:sz="6" w:space="0" w:color="auto"/>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 </w:t>
            </w:r>
          </w:p>
        </w:tc>
        <w:tc>
          <w:tcPr>
            <w:tcW w:w="460" w:type="pct"/>
            <w:tcBorders>
              <w:top w:val="single" w:sz="4" w:space="0" w:color="auto"/>
              <w:left w:val="nil"/>
              <w:bottom w:val="double" w:sz="6" w:space="0" w:color="auto"/>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b/>
                <w:bCs/>
                <w:color w:val="000000"/>
                <w:sz w:val="18"/>
                <w:szCs w:val="18"/>
              </w:rPr>
            </w:pPr>
            <w:r w:rsidRPr="00542407">
              <w:rPr>
                <w:rFonts w:ascii="Times New Roman" w:eastAsia="Times New Roman" w:hAnsi="Times New Roman" w:cs="Times New Roman"/>
                <w:b/>
                <w:bCs/>
                <w:color w:val="000000"/>
                <w:sz w:val="18"/>
                <w:szCs w:val="18"/>
              </w:rPr>
              <w:t>HR</w:t>
            </w:r>
          </w:p>
        </w:tc>
        <w:tc>
          <w:tcPr>
            <w:tcW w:w="741" w:type="pct"/>
            <w:tcBorders>
              <w:top w:val="single" w:sz="4" w:space="0" w:color="auto"/>
              <w:left w:val="nil"/>
              <w:bottom w:val="double" w:sz="6" w:space="0" w:color="auto"/>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b/>
                <w:bCs/>
                <w:color w:val="000000"/>
                <w:sz w:val="18"/>
                <w:szCs w:val="18"/>
              </w:rPr>
            </w:pPr>
            <w:r w:rsidRPr="00542407">
              <w:rPr>
                <w:rFonts w:ascii="Times New Roman" w:eastAsia="Times New Roman" w:hAnsi="Times New Roman" w:cs="Times New Roman"/>
                <w:b/>
                <w:bCs/>
                <w:color w:val="000000"/>
                <w:sz w:val="18"/>
                <w:szCs w:val="18"/>
              </w:rPr>
              <w:t>95% CI</w:t>
            </w:r>
          </w:p>
        </w:tc>
        <w:tc>
          <w:tcPr>
            <w:tcW w:w="606" w:type="pct"/>
            <w:gridSpan w:val="2"/>
            <w:tcBorders>
              <w:top w:val="single" w:sz="4" w:space="0" w:color="auto"/>
              <w:left w:val="nil"/>
              <w:bottom w:val="double" w:sz="6" w:space="0" w:color="auto"/>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b/>
                <w:bCs/>
                <w:color w:val="000000"/>
                <w:sz w:val="18"/>
                <w:szCs w:val="18"/>
              </w:rPr>
            </w:pPr>
            <w:r w:rsidRPr="00542407">
              <w:rPr>
                <w:rFonts w:ascii="Times New Roman" w:eastAsia="Times New Roman" w:hAnsi="Times New Roman" w:cs="Times New Roman"/>
                <w:b/>
                <w:bCs/>
                <w:color w:val="000000"/>
                <w:sz w:val="18"/>
                <w:szCs w:val="18"/>
              </w:rPr>
              <w:t>P-value</w:t>
            </w:r>
          </w:p>
        </w:tc>
      </w:tr>
      <w:tr w:rsidR="00FA51C6" w:rsidRPr="00255349" w:rsidTr="00FA51C6">
        <w:trPr>
          <w:trHeight w:val="6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b/>
                <w:bCs/>
                <w:color w:val="000000"/>
                <w:sz w:val="18"/>
                <w:szCs w:val="18"/>
              </w:rPr>
            </w:pP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b/>
                <w:bCs/>
                <w:color w:val="000000"/>
                <w:sz w:val="18"/>
                <w:szCs w:val="18"/>
              </w:rPr>
            </w:pPr>
            <w:r w:rsidRPr="00542407">
              <w:rPr>
                <w:rFonts w:ascii="Times New Roman" w:eastAsia="Times New Roman" w:hAnsi="Times New Roman" w:cs="Times New Roman"/>
                <w:b/>
                <w:bCs/>
                <w:color w:val="000000"/>
                <w:sz w:val="18"/>
                <w:szCs w:val="18"/>
              </w:rPr>
              <w:t>Estimated effect of fingolimod (vs. teriflunomide), unadjusted</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0.568</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(0.515, 0.625)</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sz w:val="18"/>
                <w:szCs w:val="18"/>
              </w:rPr>
            </w:pPr>
            <w:r w:rsidRPr="00542407">
              <w:rPr>
                <w:rFonts w:ascii="Times New Roman" w:eastAsia="Times New Roman" w:hAnsi="Times New Roman" w:cs="Times New Roman"/>
                <w:sz w:val="18"/>
                <w:szCs w:val="18"/>
              </w:rPr>
              <w:t>&lt;0.001</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r w:rsidRPr="00542407">
              <w:rPr>
                <w:rFonts w:ascii="Times New Roman" w:eastAsia="Times New Roman" w:hAnsi="Times New Roman" w:cs="Times New Roman"/>
                <w:sz w:val="18"/>
                <w:szCs w:val="18"/>
              </w:rPr>
              <w:t>*</w:t>
            </w: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b/>
                <w:bCs/>
                <w:color w:val="000000"/>
                <w:sz w:val="18"/>
                <w:szCs w:val="18"/>
              </w:rPr>
            </w:pPr>
            <w:r w:rsidRPr="00542407">
              <w:rPr>
                <w:rFonts w:ascii="Times New Roman" w:eastAsia="Times New Roman" w:hAnsi="Times New Roman" w:cs="Times New Roman"/>
                <w:b/>
                <w:bCs/>
                <w:color w:val="000000"/>
                <w:sz w:val="18"/>
                <w:szCs w:val="18"/>
              </w:rPr>
              <w:t>Estimated effect of fingolimod (vs. teriflunomide), adjusted</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0.550</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(0.495, 0.610)</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&lt;0.001</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w:t>
            </w: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Age (years)</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0.994</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(0.989, 0.999)</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0.025</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w:t>
            </w: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Female</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1.151</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(1.019, 1.300)</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0.023</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w:t>
            </w: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US geographic region (vs. South)</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sz w:val="18"/>
                <w:szCs w:val="18"/>
              </w:rPr>
            </w:pP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sz w:val="18"/>
                <w:szCs w:val="18"/>
              </w:rPr>
            </w:pP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Northeast</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1.053</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(0.922, 1.202)</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0.446</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North central</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1.034</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(0.910, 1.175)</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0.610</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Other (i.e., West or unknown)</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1.030</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(0.894, 1.186)</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0.687</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Insurance type (vs. preferred provider organization)</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sz w:val="18"/>
                <w:szCs w:val="18"/>
              </w:rPr>
            </w:pP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sz w:val="18"/>
                <w:szCs w:val="18"/>
              </w:rPr>
            </w:pP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Health maintenance organization (HMO)</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1.070</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(0.916, 1.250)</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0.393</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Other</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1.137</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(1.016, 1.272)</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0.025</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w:t>
            </w: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Index year (vs. 2012)</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sz w:val="18"/>
                <w:szCs w:val="18"/>
              </w:rPr>
            </w:pP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sz w:val="18"/>
                <w:szCs w:val="18"/>
              </w:rPr>
            </w:pP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2013</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1.020</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(0.860, 1.211)</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0.820</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2014</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0.939</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(0.784, 1.125)</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0.493</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2015</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0.948</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(0.783, 1.148)</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0.585</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Symptoms during the 1-year baseline period</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sz w:val="18"/>
                <w:szCs w:val="18"/>
              </w:rPr>
            </w:pP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sz w:val="18"/>
                <w:szCs w:val="18"/>
              </w:rPr>
            </w:pP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Demyelinating disease of CNS, unspecified</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0.839</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(0.699, 1.006)</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0.058</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Disorders of optic nerve and visual pathways</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1.004</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(0.882, 1.143)</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0.948</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General symptoms: dizziness and giddiness</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1.026</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(0.869, 1.212)</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0.762</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General symptoms: fatigue/malaise</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1.117</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(1.004, 1.244)</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0.043</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w:t>
            </w: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Neurogenic bladder NOS</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1.258</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(1.047, 1.512)</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0.015</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w:t>
            </w:r>
          </w:p>
        </w:tc>
      </w:tr>
      <w:tr w:rsidR="00FA51C6" w:rsidRPr="00255349" w:rsidTr="00FA51C6">
        <w:trPr>
          <w:trHeight w:val="30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Other causes of myelitis</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1.029</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(0.636, 1.666)</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0.907</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255349" w:rsidTr="00FA51C6">
        <w:trPr>
          <w:trHeight w:val="360"/>
        </w:trPr>
        <w:tc>
          <w:tcPr>
            <w:tcW w:w="3193" w:type="pct"/>
            <w:tcBorders>
              <w:top w:val="nil"/>
              <w:left w:val="nil"/>
              <w:bottom w:val="nil"/>
              <w:right w:val="nil"/>
            </w:tcBorders>
            <w:shd w:val="clear" w:color="auto" w:fill="auto"/>
            <w:vAlign w:val="center"/>
            <w:hideMark/>
          </w:tcPr>
          <w:p w:rsidR="00FA51C6" w:rsidRPr="00542407" w:rsidRDefault="00FA51C6" w:rsidP="00CD76FF">
            <w:pPr>
              <w:spacing w:after="0" w:line="240" w:lineRule="auto"/>
              <w:ind w:firstLineChars="200" w:firstLine="36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Other disorders of soft tissues: neuralgia, neuritis, and radiculitis, unspecified</w:t>
            </w:r>
          </w:p>
        </w:tc>
        <w:tc>
          <w:tcPr>
            <w:tcW w:w="460" w:type="pct"/>
            <w:tcBorders>
              <w:top w:val="nil"/>
              <w:left w:val="nil"/>
              <w:bottom w:val="nil"/>
              <w:right w:val="nil"/>
            </w:tcBorders>
            <w:shd w:val="clear" w:color="auto" w:fill="auto"/>
            <w:noWrap/>
            <w:vAlign w:val="center"/>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0.833</w:t>
            </w:r>
          </w:p>
        </w:tc>
        <w:tc>
          <w:tcPr>
            <w:tcW w:w="741" w:type="pct"/>
            <w:tcBorders>
              <w:top w:val="nil"/>
              <w:left w:val="nil"/>
              <w:bottom w:val="nil"/>
              <w:right w:val="nil"/>
            </w:tcBorders>
            <w:shd w:val="clear" w:color="auto" w:fill="auto"/>
            <w:noWrap/>
            <w:vAlign w:val="center"/>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(0.616, 1.126)</w:t>
            </w:r>
          </w:p>
        </w:tc>
        <w:tc>
          <w:tcPr>
            <w:tcW w:w="453" w:type="pct"/>
            <w:tcBorders>
              <w:top w:val="nil"/>
              <w:left w:val="nil"/>
              <w:bottom w:val="nil"/>
              <w:right w:val="nil"/>
            </w:tcBorders>
            <w:shd w:val="clear" w:color="auto" w:fill="auto"/>
            <w:noWrap/>
            <w:vAlign w:val="center"/>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0.235</w:t>
            </w:r>
          </w:p>
        </w:tc>
        <w:tc>
          <w:tcPr>
            <w:tcW w:w="153" w:type="pct"/>
            <w:tcBorders>
              <w:top w:val="nil"/>
              <w:left w:val="nil"/>
              <w:bottom w:val="nil"/>
              <w:right w:val="nil"/>
            </w:tcBorders>
            <w:shd w:val="clear" w:color="auto" w:fill="auto"/>
            <w:noWrap/>
            <w:vAlign w:val="center"/>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255349" w:rsidTr="00FA51C6">
        <w:trPr>
          <w:trHeight w:val="180"/>
        </w:trPr>
        <w:tc>
          <w:tcPr>
            <w:tcW w:w="319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CCI</w:t>
            </w:r>
            <w:r w:rsidRPr="00542407">
              <w:rPr>
                <w:rFonts w:ascii="Times New Roman" w:eastAsia="Times New Roman" w:hAnsi="Times New Roman" w:cs="Times New Roman"/>
                <w:color w:val="000000"/>
                <w:sz w:val="18"/>
                <w:szCs w:val="18"/>
                <w:vertAlign w:val="superscript"/>
              </w:rPr>
              <w:t>1</w:t>
            </w:r>
            <w:r w:rsidRPr="00542407">
              <w:rPr>
                <w:rFonts w:ascii="Times New Roman" w:eastAsia="Times New Roman" w:hAnsi="Times New Roman" w:cs="Times New Roman"/>
                <w:color w:val="000000"/>
                <w:sz w:val="18"/>
                <w:szCs w:val="18"/>
              </w:rPr>
              <w:t xml:space="preserve"> during the 1-year baseline period</w:t>
            </w:r>
          </w:p>
        </w:tc>
        <w:tc>
          <w:tcPr>
            <w:tcW w:w="460"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1.025</w:t>
            </w:r>
          </w:p>
        </w:tc>
        <w:tc>
          <w:tcPr>
            <w:tcW w:w="741"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(0.976, 1.077)</w:t>
            </w:r>
          </w:p>
        </w:tc>
        <w:tc>
          <w:tcPr>
            <w:tcW w:w="4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0.320</w:t>
            </w:r>
          </w:p>
        </w:tc>
        <w:tc>
          <w:tcPr>
            <w:tcW w:w="153" w:type="pct"/>
            <w:tcBorders>
              <w:top w:val="nil"/>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r>
      <w:tr w:rsidR="00FA51C6" w:rsidRPr="00255349" w:rsidTr="00FA51C6">
        <w:trPr>
          <w:trHeight w:val="300"/>
        </w:trPr>
        <w:tc>
          <w:tcPr>
            <w:tcW w:w="3193" w:type="pct"/>
            <w:tcBorders>
              <w:top w:val="nil"/>
              <w:left w:val="nil"/>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Number of relapses during the 1-year baseline period</w:t>
            </w:r>
          </w:p>
        </w:tc>
        <w:tc>
          <w:tcPr>
            <w:tcW w:w="460" w:type="pct"/>
            <w:tcBorders>
              <w:top w:val="nil"/>
              <w:left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1.116</w:t>
            </w:r>
          </w:p>
        </w:tc>
        <w:tc>
          <w:tcPr>
            <w:tcW w:w="741" w:type="pct"/>
            <w:tcBorders>
              <w:top w:val="nil"/>
              <w:left w:val="nil"/>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(1.048, 1.188)</w:t>
            </w:r>
          </w:p>
        </w:tc>
        <w:tc>
          <w:tcPr>
            <w:tcW w:w="453" w:type="pct"/>
            <w:tcBorders>
              <w:top w:val="nil"/>
              <w:left w:val="nil"/>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&lt;0.001</w:t>
            </w:r>
          </w:p>
        </w:tc>
        <w:tc>
          <w:tcPr>
            <w:tcW w:w="153" w:type="pct"/>
            <w:tcBorders>
              <w:top w:val="nil"/>
              <w:left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w:t>
            </w:r>
          </w:p>
        </w:tc>
      </w:tr>
      <w:tr w:rsidR="00FA51C6" w:rsidRPr="00255349" w:rsidTr="00FA51C6">
        <w:trPr>
          <w:trHeight w:val="300"/>
        </w:trPr>
        <w:tc>
          <w:tcPr>
            <w:tcW w:w="3193" w:type="pct"/>
            <w:tcBorders>
              <w:top w:val="nil"/>
              <w:left w:val="nil"/>
              <w:bottom w:val="single" w:sz="4" w:space="0" w:color="auto"/>
              <w:right w:val="nil"/>
            </w:tcBorders>
            <w:shd w:val="clear" w:color="auto" w:fill="auto"/>
            <w:noWrap/>
            <w:vAlign w:val="bottom"/>
            <w:hideMark/>
          </w:tcPr>
          <w:p w:rsidR="00FA51C6" w:rsidRPr="00542407" w:rsidRDefault="00FA51C6" w:rsidP="00CD76FF">
            <w:pPr>
              <w:spacing w:after="0" w:line="240" w:lineRule="auto"/>
              <w:ind w:firstLineChars="100" w:firstLine="180"/>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Use of ≥1 DMT during the 1-year baseline period</w:t>
            </w:r>
          </w:p>
        </w:tc>
        <w:tc>
          <w:tcPr>
            <w:tcW w:w="460" w:type="pct"/>
            <w:tcBorders>
              <w:top w:val="nil"/>
              <w:left w:val="nil"/>
              <w:bottom w:val="single" w:sz="4" w:space="0" w:color="auto"/>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0.795</w:t>
            </w:r>
          </w:p>
        </w:tc>
        <w:tc>
          <w:tcPr>
            <w:tcW w:w="741" w:type="pct"/>
            <w:tcBorders>
              <w:top w:val="nil"/>
              <w:left w:val="nil"/>
              <w:bottom w:val="single" w:sz="4" w:space="0" w:color="auto"/>
              <w:right w:val="nil"/>
            </w:tcBorders>
            <w:shd w:val="clear" w:color="auto" w:fill="auto"/>
            <w:noWrap/>
            <w:vAlign w:val="bottom"/>
            <w:hideMark/>
          </w:tcPr>
          <w:p w:rsidR="00FA51C6" w:rsidRPr="00542407" w:rsidRDefault="00FA51C6" w:rsidP="00CD76FF">
            <w:pPr>
              <w:spacing w:after="0" w:line="240" w:lineRule="auto"/>
              <w:jc w:val="center"/>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(0.719, 0.880)</w:t>
            </w:r>
          </w:p>
        </w:tc>
        <w:tc>
          <w:tcPr>
            <w:tcW w:w="453" w:type="pct"/>
            <w:tcBorders>
              <w:top w:val="nil"/>
              <w:left w:val="nil"/>
              <w:bottom w:val="single" w:sz="4" w:space="0" w:color="auto"/>
              <w:right w:val="nil"/>
            </w:tcBorders>
            <w:shd w:val="clear" w:color="auto" w:fill="auto"/>
            <w:noWrap/>
            <w:vAlign w:val="bottom"/>
            <w:hideMark/>
          </w:tcPr>
          <w:p w:rsidR="00FA51C6" w:rsidRPr="00542407" w:rsidRDefault="00FA51C6" w:rsidP="00CD76FF">
            <w:pPr>
              <w:spacing w:after="0" w:line="240" w:lineRule="auto"/>
              <w:jc w:val="right"/>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&lt;0.001</w:t>
            </w:r>
          </w:p>
        </w:tc>
        <w:tc>
          <w:tcPr>
            <w:tcW w:w="153" w:type="pct"/>
            <w:tcBorders>
              <w:top w:val="nil"/>
              <w:left w:val="nil"/>
              <w:bottom w:val="single" w:sz="4" w:space="0" w:color="auto"/>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r w:rsidRPr="00542407">
              <w:rPr>
                <w:rFonts w:ascii="Times New Roman" w:eastAsia="Times New Roman" w:hAnsi="Times New Roman" w:cs="Times New Roman"/>
                <w:color w:val="000000"/>
                <w:sz w:val="18"/>
                <w:szCs w:val="18"/>
              </w:rPr>
              <w:t>*</w:t>
            </w:r>
          </w:p>
        </w:tc>
      </w:tr>
      <w:tr w:rsidR="00FA51C6" w:rsidRPr="00255349" w:rsidTr="00FA51C6">
        <w:trPr>
          <w:trHeight w:val="60"/>
        </w:trPr>
        <w:tc>
          <w:tcPr>
            <w:tcW w:w="3193" w:type="pct"/>
            <w:tcBorders>
              <w:top w:val="single" w:sz="4" w:space="0" w:color="auto"/>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color w:val="000000"/>
                <w:sz w:val="18"/>
                <w:szCs w:val="18"/>
              </w:rPr>
            </w:pPr>
          </w:p>
        </w:tc>
        <w:tc>
          <w:tcPr>
            <w:tcW w:w="460" w:type="pct"/>
            <w:tcBorders>
              <w:top w:val="single" w:sz="4" w:space="0" w:color="auto"/>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c>
          <w:tcPr>
            <w:tcW w:w="741" w:type="pct"/>
            <w:tcBorders>
              <w:top w:val="single" w:sz="4" w:space="0" w:color="auto"/>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c>
          <w:tcPr>
            <w:tcW w:w="453" w:type="pct"/>
            <w:tcBorders>
              <w:top w:val="single" w:sz="4" w:space="0" w:color="auto"/>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c>
          <w:tcPr>
            <w:tcW w:w="153" w:type="pct"/>
            <w:tcBorders>
              <w:top w:val="single" w:sz="4" w:space="0" w:color="auto"/>
              <w:left w:val="nil"/>
              <w:bottom w:val="nil"/>
              <w:right w:val="nil"/>
            </w:tcBorders>
            <w:shd w:val="clear" w:color="auto" w:fill="auto"/>
            <w:noWrap/>
            <w:vAlign w:val="bottom"/>
            <w:hideMark/>
          </w:tcPr>
          <w:p w:rsidR="00FA51C6" w:rsidRPr="00542407" w:rsidRDefault="00FA51C6" w:rsidP="00CD76FF">
            <w:pPr>
              <w:spacing w:after="0" w:line="240" w:lineRule="auto"/>
              <w:rPr>
                <w:rFonts w:ascii="Times New Roman" w:eastAsia="Times New Roman" w:hAnsi="Times New Roman" w:cs="Times New Roman"/>
                <w:sz w:val="18"/>
                <w:szCs w:val="18"/>
              </w:rPr>
            </w:pPr>
          </w:p>
        </w:tc>
      </w:tr>
      <w:tr w:rsidR="00FA51C6" w:rsidRPr="00255349" w:rsidTr="00FA51C6">
        <w:trPr>
          <w:trHeight w:val="705"/>
        </w:trPr>
        <w:tc>
          <w:tcPr>
            <w:tcW w:w="5000" w:type="pct"/>
            <w:gridSpan w:val="5"/>
            <w:tcBorders>
              <w:top w:val="nil"/>
              <w:left w:val="nil"/>
              <w:bottom w:val="nil"/>
              <w:right w:val="nil"/>
            </w:tcBorders>
            <w:shd w:val="clear" w:color="auto" w:fill="auto"/>
            <w:hideMark/>
          </w:tcPr>
          <w:p w:rsidR="00FA51C6" w:rsidRPr="00542407" w:rsidRDefault="00FA51C6" w:rsidP="00CD76FF">
            <w:pPr>
              <w:spacing w:after="0" w:line="240" w:lineRule="auto"/>
              <w:rPr>
                <w:rFonts w:ascii="Times New Roman" w:eastAsia="Times New Roman" w:hAnsi="Times New Roman" w:cs="Times New Roman"/>
                <w:i/>
                <w:iCs/>
                <w:color w:val="000000"/>
                <w:sz w:val="18"/>
                <w:szCs w:val="18"/>
              </w:rPr>
            </w:pPr>
            <w:r w:rsidRPr="00542407">
              <w:rPr>
                <w:rFonts w:ascii="Times New Roman" w:eastAsia="Times New Roman" w:hAnsi="Times New Roman" w:cs="Times New Roman"/>
                <w:i/>
                <w:iCs/>
                <w:color w:val="000000"/>
                <w:sz w:val="18"/>
                <w:szCs w:val="18"/>
              </w:rPr>
              <w:t>* p-value &lt; 0.05; HR: Hazard ratio; CI: Confidence interval; US: United States; CNS: Central nervous system; NOS: Not otherwise specified; CCI: Charlson comorbidity index; DMT: Disease modifying therapy</w:t>
            </w:r>
          </w:p>
        </w:tc>
      </w:tr>
    </w:tbl>
    <w:p w:rsidR="00FA51C6" w:rsidRDefault="00FA51C6">
      <w:pPr>
        <w:rPr>
          <w:rFonts w:ascii="Times New Roman" w:hAnsi="Times New Roman" w:cs="Times New Roman"/>
          <w:b/>
          <w:szCs w:val="18"/>
        </w:rPr>
      </w:pPr>
      <w:r>
        <w:rPr>
          <w:rFonts w:ascii="Times New Roman" w:hAnsi="Times New Roman" w:cs="Times New Roman"/>
          <w:b/>
          <w:szCs w:val="18"/>
        </w:rPr>
        <w:br w:type="page"/>
      </w:r>
    </w:p>
    <w:p w:rsidR="00522F27" w:rsidRPr="0093254B" w:rsidRDefault="00522F27" w:rsidP="00522F27">
      <w:pPr>
        <w:spacing w:after="0" w:line="240" w:lineRule="auto"/>
        <w:rPr>
          <w:rFonts w:ascii="Times New Roman" w:hAnsi="Times New Roman" w:cs="Times New Roman"/>
          <w:b/>
          <w:szCs w:val="18"/>
        </w:rPr>
      </w:pPr>
      <w:r w:rsidRPr="0093254B">
        <w:rPr>
          <w:rFonts w:ascii="Times New Roman" w:hAnsi="Times New Roman" w:cs="Times New Roman"/>
          <w:b/>
          <w:szCs w:val="18"/>
        </w:rPr>
        <w:t xml:space="preserve">Table </w:t>
      </w:r>
      <w:r w:rsidR="00CD76FF" w:rsidRPr="0093254B">
        <w:rPr>
          <w:rFonts w:ascii="Times New Roman" w:hAnsi="Times New Roman" w:cs="Times New Roman"/>
          <w:b/>
          <w:szCs w:val="18"/>
        </w:rPr>
        <w:t>S</w:t>
      </w:r>
      <w:r w:rsidR="00631FD4">
        <w:rPr>
          <w:rFonts w:ascii="Times New Roman" w:hAnsi="Times New Roman" w:cs="Times New Roman"/>
          <w:b/>
          <w:szCs w:val="18"/>
        </w:rPr>
        <w:t>6</w:t>
      </w:r>
      <w:r w:rsidRPr="0093254B">
        <w:rPr>
          <w:rFonts w:ascii="Times New Roman" w:hAnsi="Times New Roman" w:cs="Times New Roman"/>
          <w:b/>
          <w:szCs w:val="18"/>
        </w:rPr>
        <w:t xml:space="preserve">. </w:t>
      </w:r>
      <w:r>
        <w:rPr>
          <w:rFonts w:ascii="Times New Roman" w:hAnsi="Times New Roman" w:cs="Times New Roman"/>
          <w:b/>
          <w:szCs w:val="18"/>
        </w:rPr>
        <w:t>Univariate and m</w:t>
      </w:r>
      <w:r w:rsidRPr="0093254B">
        <w:rPr>
          <w:rFonts w:ascii="Times New Roman" w:hAnsi="Times New Roman" w:cs="Times New Roman"/>
          <w:b/>
          <w:szCs w:val="18"/>
        </w:rPr>
        <w:t>ultivariable negative binomial regression</w:t>
      </w:r>
      <w:r>
        <w:rPr>
          <w:rFonts w:ascii="Times New Roman" w:hAnsi="Times New Roman" w:cs="Times New Roman"/>
          <w:b/>
          <w:szCs w:val="18"/>
        </w:rPr>
        <w:t>s</w:t>
      </w:r>
      <w:r w:rsidRPr="0093254B">
        <w:rPr>
          <w:rFonts w:ascii="Times New Roman" w:hAnsi="Times New Roman" w:cs="Times New Roman"/>
          <w:b/>
          <w:szCs w:val="18"/>
        </w:rPr>
        <w:t xml:space="preserve"> of ARR</w:t>
      </w:r>
    </w:p>
    <w:p w:rsidR="00522F27" w:rsidRDefault="00522F27" w:rsidP="00522F27">
      <w:pPr>
        <w:spacing w:after="0" w:line="240" w:lineRule="auto"/>
        <w:rPr>
          <w:rFonts w:ascii="Times New Roman" w:hAnsi="Times New Roman" w:cs="Times New Roman"/>
          <w:szCs w:val="18"/>
        </w:rPr>
      </w:pPr>
    </w:p>
    <w:tbl>
      <w:tblPr>
        <w:tblW w:w="5000" w:type="pct"/>
        <w:tblLayout w:type="fixed"/>
        <w:tblCellMar>
          <w:left w:w="0" w:type="dxa"/>
          <w:right w:w="0" w:type="dxa"/>
        </w:tblCellMar>
        <w:tblLook w:val="04A0" w:firstRow="1" w:lastRow="0" w:firstColumn="1" w:lastColumn="0" w:noHBand="0" w:noVBand="1"/>
      </w:tblPr>
      <w:tblGrid>
        <w:gridCol w:w="5965"/>
        <w:gridCol w:w="859"/>
        <w:gridCol w:w="1383"/>
        <w:gridCol w:w="846"/>
        <w:gridCol w:w="307"/>
      </w:tblGrid>
      <w:tr w:rsidR="00522F27" w:rsidRPr="0093254B" w:rsidTr="00CD76FF">
        <w:trPr>
          <w:trHeight w:val="315"/>
        </w:trPr>
        <w:tc>
          <w:tcPr>
            <w:tcW w:w="3186" w:type="pct"/>
            <w:tcBorders>
              <w:top w:val="single" w:sz="4" w:space="0" w:color="auto"/>
              <w:left w:val="nil"/>
              <w:bottom w:val="double" w:sz="6" w:space="0" w:color="auto"/>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 </w:t>
            </w:r>
          </w:p>
        </w:tc>
        <w:tc>
          <w:tcPr>
            <w:tcW w:w="459" w:type="pct"/>
            <w:tcBorders>
              <w:top w:val="single" w:sz="4" w:space="0" w:color="auto"/>
              <w:left w:val="nil"/>
              <w:bottom w:val="double" w:sz="6" w:space="0" w:color="auto"/>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b/>
                <w:bCs/>
                <w:sz w:val="18"/>
                <w:szCs w:val="18"/>
              </w:rPr>
            </w:pPr>
            <w:r w:rsidRPr="0093254B">
              <w:rPr>
                <w:rFonts w:ascii="Times New Roman" w:eastAsia="Times New Roman" w:hAnsi="Times New Roman" w:cs="Times New Roman"/>
                <w:b/>
                <w:bCs/>
                <w:sz w:val="18"/>
                <w:szCs w:val="18"/>
              </w:rPr>
              <w:t>IRR</w:t>
            </w:r>
          </w:p>
        </w:tc>
        <w:tc>
          <w:tcPr>
            <w:tcW w:w="739" w:type="pct"/>
            <w:tcBorders>
              <w:top w:val="single" w:sz="4" w:space="0" w:color="auto"/>
              <w:left w:val="nil"/>
              <w:bottom w:val="double" w:sz="6" w:space="0" w:color="auto"/>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b/>
                <w:bCs/>
                <w:sz w:val="18"/>
                <w:szCs w:val="18"/>
              </w:rPr>
            </w:pPr>
            <w:r w:rsidRPr="0093254B">
              <w:rPr>
                <w:rFonts w:ascii="Times New Roman" w:eastAsia="Times New Roman" w:hAnsi="Times New Roman" w:cs="Times New Roman"/>
                <w:b/>
                <w:bCs/>
                <w:sz w:val="18"/>
                <w:szCs w:val="18"/>
              </w:rPr>
              <w:t>95% CI</w:t>
            </w:r>
          </w:p>
        </w:tc>
        <w:tc>
          <w:tcPr>
            <w:tcW w:w="616" w:type="pct"/>
            <w:gridSpan w:val="2"/>
            <w:tcBorders>
              <w:top w:val="single" w:sz="4" w:space="0" w:color="auto"/>
              <w:left w:val="nil"/>
              <w:bottom w:val="double" w:sz="6" w:space="0" w:color="auto"/>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b/>
                <w:bCs/>
                <w:sz w:val="18"/>
                <w:szCs w:val="18"/>
              </w:rPr>
            </w:pPr>
            <w:r w:rsidRPr="0093254B">
              <w:rPr>
                <w:rFonts w:ascii="Times New Roman" w:eastAsia="Times New Roman" w:hAnsi="Times New Roman" w:cs="Times New Roman"/>
                <w:b/>
                <w:bCs/>
                <w:sz w:val="18"/>
                <w:szCs w:val="18"/>
              </w:rPr>
              <w:t>P-value</w:t>
            </w:r>
          </w:p>
        </w:tc>
      </w:tr>
      <w:tr w:rsidR="00522F27" w:rsidRPr="0093254B" w:rsidTr="00CD76FF">
        <w:trPr>
          <w:trHeight w:val="6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b/>
                <w:bCs/>
                <w:sz w:val="18"/>
                <w:szCs w:val="18"/>
              </w:rPr>
            </w:pP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vAlign w:val="bottom"/>
          </w:tcPr>
          <w:p w:rsidR="00522F27" w:rsidRPr="0093254B" w:rsidRDefault="00522F27" w:rsidP="00CD76FF">
            <w:pPr>
              <w:spacing w:after="0" w:line="240" w:lineRule="auto"/>
              <w:rPr>
                <w:rFonts w:ascii="Times New Roman" w:eastAsia="Times New Roman" w:hAnsi="Times New Roman" w:cs="Times New Roman"/>
                <w:b/>
                <w:bCs/>
                <w:sz w:val="18"/>
                <w:szCs w:val="18"/>
              </w:rPr>
            </w:pPr>
            <w:r w:rsidRPr="0093254B">
              <w:rPr>
                <w:rFonts w:ascii="Times New Roman" w:eastAsia="Times New Roman" w:hAnsi="Times New Roman" w:cs="Times New Roman"/>
                <w:b/>
                <w:bCs/>
                <w:sz w:val="18"/>
                <w:szCs w:val="18"/>
              </w:rPr>
              <w:t xml:space="preserve">Estimated effect of fingolimod (vs. teriflunomide) on ARR, </w:t>
            </w:r>
            <w:r>
              <w:rPr>
                <w:rFonts w:ascii="Times New Roman" w:eastAsia="Times New Roman" w:hAnsi="Times New Roman" w:cs="Times New Roman"/>
                <w:b/>
                <w:bCs/>
                <w:sz w:val="18"/>
                <w:szCs w:val="18"/>
              </w:rPr>
              <w:t>un</w:t>
            </w:r>
            <w:r w:rsidRPr="0093254B">
              <w:rPr>
                <w:rFonts w:ascii="Times New Roman" w:eastAsia="Times New Roman" w:hAnsi="Times New Roman" w:cs="Times New Roman"/>
                <w:b/>
                <w:bCs/>
                <w:sz w:val="18"/>
                <w:szCs w:val="18"/>
              </w:rPr>
              <w:t>adjusted</w:t>
            </w:r>
          </w:p>
        </w:tc>
        <w:tc>
          <w:tcPr>
            <w:tcW w:w="459" w:type="pct"/>
            <w:tcBorders>
              <w:top w:val="nil"/>
              <w:left w:val="nil"/>
              <w:bottom w:val="nil"/>
              <w:right w:val="nil"/>
            </w:tcBorders>
            <w:shd w:val="clear" w:color="auto" w:fill="auto"/>
            <w:noWrap/>
            <w:vAlign w:val="bottom"/>
          </w:tcPr>
          <w:p w:rsidR="00522F27" w:rsidRPr="0093254B" w:rsidRDefault="00522F27" w:rsidP="00CD76F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0.77</w:t>
            </w:r>
          </w:p>
        </w:tc>
        <w:tc>
          <w:tcPr>
            <w:tcW w:w="739" w:type="pct"/>
            <w:tcBorders>
              <w:top w:val="nil"/>
              <w:left w:val="nil"/>
              <w:bottom w:val="nil"/>
              <w:right w:val="nil"/>
            </w:tcBorders>
            <w:shd w:val="clear" w:color="auto" w:fill="auto"/>
            <w:noWrap/>
            <w:vAlign w:val="bottom"/>
          </w:tcPr>
          <w:p w:rsidR="00522F27" w:rsidRPr="0093254B" w:rsidRDefault="00522F27" w:rsidP="00CD76F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(0.67, 0.88)</w:t>
            </w:r>
          </w:p>
        </w:tc>
        <w:tc>
          <w:tcPr>
            <w:tcW w:w="452" w:type="pct"/>
            <w:tcBorders>
              <w:top w:val="nil"/>
              <w:left w:val="nil"/>
              <w:bottom w:val="nil"/>
              <w:right w:val="nil"/>
            </w:tcBorders>
            <w:shd w:val="clear" w:color="auto" w:fill="auto"/>
            <w:noWrap/>
            <w:vAlign w:val="bottom"/>
          </w:tcPr>
          <w:p w:rsidR="00522F27" w:rsidRPr="0093254B" w:rsidRDefault="00522F27" w:rsidP="00CD76FF">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&lt;0.001</w:t>
            </w:r>
          </w:p>
        </w:tc>
        <w:tc>
          <w:tcPr>
            <w:tcW w:w="164" w:type="pct"/>
            <w:tcBorders>
              <w:top w:val="nil"/>
              <w:left w:val="nil"/>
              <w:bottom w:val="nil"/>
              <w:right w:val="nil"/>
            </w:tcBorders>
            <w:shd w:val="clear" w:color="auto" w:fill="auto"/>
            <w:noWrap/>
            <w:vAlign w:val="bottom"/>
          </w:tcPr>
          <w:p w:rsidR="00522F27" w:rsidRPr="0093254B" w:rsidRDefault="00522F27" w:rsidP="00CD76F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522F27" w:rsidRPr="0093254B" w:rsidTr="00CD76FF">
        <w:trPr>
          <w:trHeight w:val="300"/>
        </w:trPr>
        <w:tc>
          <w:tcPr>
            <w:tcW w:w="3186" w:type="pct"/>
            <w:tcBorders>
              <w:top w:val="nil"/>
              <w:left w:val="nil"/>
              <w:bottom w:val="nil"/>
              <w:right w:val="nil"/>
            </w:tcBorders>
            <w:shd w:val="clear" w:color="auto" w:fill="auto"/>
            <w:vAlign w:val="bottom"/>
            <w:hideMark/>
          </w:tcPr>
          <w:p w:rsidR="00522F27" w:rsidRPr="0093254B" w:rsidRDefault="00522F27" w:rsidP="00CD76FF">
            <w:pPr>
              <w:spacing w:after="0" w:line="240" w:lineRule="auto"/>
              <w:rPr>
                <w:rFonts w:ascii="Times New Roman" w:eastAsia="Times New Roman" w:hAnsi="Times New Roman" w:cs="Times New Roman"/>
                <w:b/>
                <w:bCs/>
                <w:sz w:val="18"/>
                <w:szCs w:val="18"/>
              </w:rPr>
            </w:pPr>
            <w:r w:rsidRPr="0093254B">
              <w:rPr>
                <w:rFonts w:ascii="Times New Roman" w:eastAsia="Times New Roman" w:hAnsi="Times New Roman" w:cs="Times New Roman"/>
                <w:b/>
                <w:bCs/>
                <w:sz w:val="18"/>
                <w:szCs w:val="18"/>
              </w:rPr>
              <w:t>Estimated effect of fingolimod (vs. teriflunomide) on ARR, adjusted</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0.78</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(0.68, 0.89)</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&lt;0.001</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w:t>
            </w: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100" w:firstLine="18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Age (years)</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1.00</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(0.99, 1.01)</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0.705</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100" w:firstLine="18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Female</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1.20</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(1.02, 1.42)</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0.026</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w:t>
            </w: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100" w:firstLine="180"/>
              <w:rPr>
                <w:rFonts w:ascii="Times New Roman" w:eastAsia="Times New Roman" w:hAnsi="Times New Roman" w:cs="Times New Roman"/>
                <w:sz w:val="18"/>
                <w:szCs w:val="18"/>
              </w:rPr>
            </w:pPr>
            <w:r>
              <w:rPr>
                <w:rFonts w:ascii="Times New Roman" w:eastAsia="Times New Roman" w:hAnsi="Times New Roman" w:cs="Times New Roman"/>
                <w:sz w:val="18"/>
                <w:szCs w:val="18"/>
              </w:rPr>
              <w:t>Census</w:t>
            </w:r>
            <w:r w:rsidRPr="0093254B">
              <w:rPr>
                <w:rFonts w:ascii="Times New Roman" w:eastAsia="Times New Roman" w:hAnsi="Times New Roman" w:cs="Times New Roman"/>
                <w:sz w:val="18"/>
                <w:szCs w:val="18"/>
              </w:rPr>
              <w:t xml:space="preserve"> region (vs. South)</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100" w:firstLine="180"/>
              <w:rPr>
                <w:rFonts w:ascii="Times New Roman" w:eastAsia="Times New Roman" w:hAnsi="Times New Roman" w:cs="Times New Roman"/>
                <w:sz w:val="18"/>
                <w:szCs w:val="18"/>
              </w:rPr>
            </w:pP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200" w:firstLine="36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Northeast</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1.04</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(0.87, 1.24)</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0.669</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200" w:firstLine="36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North central</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1.17</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(1.00, 1.39)</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0.057</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200" w:firstLine="36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Other (i.e., West or unknown)</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1.06</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(0.88, 1.28)</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0.547</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100" w:firstLine="18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Insurance type (vs. preferred provider organization)</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100" w:firstLine="180"/>
              <w:rPr>
                <w:rFonts w:ascii="Times New Roman" w:eastAsia="Times New Roman" w:hAnsi="Times New Roman" w:cs="Times New Roman"/>
                <w:sz w:val="18"/>
                <w:szCs w:val="18"/>
              </w:rPr>
            </w:pP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200" w:firstLine="36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Health maintenance organization (HMO)</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1.19</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(0.98, 1.45)</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0.087</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200" w:firstLine="36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Other</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0.94</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(0.81, 1.10)</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0.457</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100" w:firstLine="18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Index year (vs. 2012)</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100" w:firstLine="180"/>
              <w:rPr>
                <w:rFonts w:ascii="Times New Roman" w:eastAsia="Times New Roman" w:hAnsi="Times New Roman" w:cs="Times New Roman"/>
                <w:sz w:val="18"/>
                <w:szCs w:val="18"/>
              </w:rPr>
            </w:pP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200" w:firstLine="36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2013</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0.97</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(0.76, 1.24)</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0.816</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200" w:firstLine="36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2014</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0.94</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(0.74, 1.21)</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0.646</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200" w:firstLine="36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2015</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1.12</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(0.87, 1.44)</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0.370</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100" w:firstLine="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Symptoms during </w:t>
            </w:r>
            <w:r w:rsidRPr="0093254B">
              <w:rPr>
                <w:rFonts w:ascii="Times New Roman" w:eastAsia="Times New Roman" w:hAnsi="Times New Roman" w:cs="Times New Roman"/>
                <w:sz w:val="18"/>
                <w:szCs w:val="18"/>
              </w:rPr>
              <w:t>1-year baseline period</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100" w:firstLine="180"/>
              <w:rPr>
                <w:rFonts w:ascii="Times New Roman" w:eastAsia="Times New Roman" w:hAnsi="Times New Roman" w:cs="Times New Roman"/>
                <w:sz w:val="18"/>
                <w:szCs w:val="18"/>
              </w:rPr>
            </w:pP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200" w:firstLine="36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Demyelinating disease of CNS, unspecified</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0.87</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(0.69, 1.10)</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0.232</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200" w:firstLine="36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Disorders of optic nerve and visual pathways</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1.00</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(0.85, 1.18)</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0.978</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200" w:firstLine="36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General symptoms: dizziness and giddiness</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1.10</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(0.90, 1.35)</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0.359</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200" w:firstLine="36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General symptoms: fatigue/malaise</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1.29</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(1.13, 1.48)</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&lt;0.001</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w:t>
            </w: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200" w:firstLine="36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Neurogenic bladder NOS</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1.41</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(1.13, 1.75)</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0.002</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w:t>
            </w: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200" w:firstLine="36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Other causes of myelitis</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1.45</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(0.81, 2.58)</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0.207</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33"/>
        </w:trPr>
        <w:tc>
          <w:tcPr>
            <w:tcW w:w="3186" w:type="pct"/>
            <w:tcBorders>
              <w:top w:val="nil"/>
              <w:left w:val="nil"/>
              <w:bottom w:val="nil"/>
              <w:right w:val="nil"/>
            </w:tcBorders>
            <w:shd w:val="clear" w:color="auto" w:fill="auto"/>
            <w:vAlign w:val="bottom"/>
            <w:hideMark/>
          </w:tcPr>
          <w:p w:rsidR="00522F27" w:rsidRPr="0093254B" w:rsidRDefault="00522F27" w:rsidP="00CD76FF">
            <w:pPr>
              <w:spacing w:after="0" w:line="240" w:lineRule="auto"/>
              <w:ind w:firstLineChars="200" w:firstLine="36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Other disorders of soft tissues: neuralgia, neuritis, and radiculitis, unspecified</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1.19</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(0.85, 1.65)</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0.309</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36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100" w:firstLine="18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CCI</w:t>
            </w:r>
            <w:r>
              <w:rPr>
                <w:rFonts w:ascii="Times New Roman" w:eastAsia="Times New Roman" w:hAnsi="Times New Roman" w:cs="Times New Roman"/>
                <w:sz w:val="18"/>
                <w:szCs w:val="18"/>
              </w:rPr>
              <w:t xml:space="preserve"> during </w:t>
            </w:r>
            <w:r w:rsidRPr="0093254B">
              <w:rPr>
                <w:rFonts w:ascii="Times New Roman" w:eastAsia="Times New Roman" w:hAnsi="Times New Roman" w:cs="Times New Roman"/>
                <w:sz w:val="18"/>
                <w:szCs w:val="18"/>
              </w:rPr>
              <w:t>1-year baseline period</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1.12</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(1.06, 1.19)</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&lt;0.001</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w:t>
            </w: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100" w:firstLine="1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Number of relapses during </w:t>
            </w:r>
            <w:r w:rsidRPr="0093254B">
              <w:rPr>
                <w:rFonts w:ascii="Times New Roman" w:eastAsia="Times New Roman" w:hAnsi="Times New Roman" w:cs="Times New Roman"/>
                <w:sz w:val="18"/>
                <w:szCs w:val="18"/>
              </w:rPr>
              <w:t>1-year baseline period</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1.66</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(1.55, 1.78)</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&lt;0.001</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w:t>
            </w:r>
          </w:p>
        </w:tc>
      </w:tr>
      <w:tr w:rsidR="00522F27" w:rsidRPr="0093254B" w:rsidTr="00CD76FF">
        <w:trPr>
          <w:trHeight w:val="30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ind w:firstLineChars="100" w:firstLine="180"/>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 xml:space="preserve">Use of ≥1 </w:t>
            </w:r>
            <w:r>
              <w:rPr>
                <w:rFonts w:ascii="Times New Roman" w:eastAsia="Times New Roman" w:hAnsi="Times New Roman" w:cs="Times New Roman"/>
                <w:sz w:val="18"/>
                <w:szCs w:val="18"/>
              </w:rPr>
              <w:t xml:space="preserve">DMT during </w:t>
            </w:r>
            <w:r w:rsidRPr="0093254B">
              <w:rPr>
                <w:rFonts w:ascii="Times New Roman" w:eastAsia="Times New Roman" w:hAnsi="Times New Roman" w:cs="Times New Roman"/>
                <w:sz w:val="18"/>
                <w:szCs w:val="18"/>
              </w:rPr>
              <w:t>1-year baseline period</w:t>
            </w: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1.02</w:t>
            </w: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(0.89, 1.17)</w:t>
            </w: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right"/>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0.739</w:t>
            </w: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r w:rsidR="00522F27" w:rsidRPr="0093254B" w:rsidTr="00CD76FF">
        <w:trPr>
          <w:trHeight w:val="60"/>
        </w:trPr>
        <w:tc>
          <w:tcPr>
            <w:tcW w:w="3186" w:type="pct"/>
            <w:tcBorders>
              <w:top w:val="nil"/>
              <w:left w:val="nil"/>
              <w:bottom w:val="single" w:sz="4" w:space="0" w:color="auto"/>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 </w:t>
            </w:r>
          </w:p>
        </w:tc>
        <w:tc>
          <w:tcPr>
            <w:tcW w:w="459" w:type="pct"/>
            <w:tcBorders>
              <w:top w:val="nil"/>
              <w:left w:val="nil"/>
              <w:bottom w:val="single" w:sz="4" w:space="0" w:color="auto"/>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 </w:t>
            </w:r>
          </w:p>
        </w:tc>
        <w:tc>
          <w:tcPr>
            <w:tcW w:w="739" w:type="pct"/>
            <w:tcBorders>
              <w:top w:val="nil"/>
              <w:left w:val="nil"/>
              <w:bottom w:val="single" w:sz="4" w:space="0" w:color="auto"/>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 </w:t>
            </w:r>
          </w:p>
        </w:tc>
        <w:tc>
          <w:tcPr>
            <w:tcW w:w="452" w:type="pct"/>
            <w:tcBorders>
              <w:top w:val="nil"/>
              <w:left w:val="nil"/>
              <w:bottom w:val="single" w:sz="4" w:space="0" w:color="auto"/>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 </w:t>
            </w:r>
          </w:p>
        </w:tc>
        <w:tc>
          <w:tcPr>
            <w:tcW w:w="164" w:type="pct"/>
            <w:tcBorders>
              <w:top w:val="nil"/>
              <w:left w:val="nil"/>
              <w:bottom w:val="single" w:sz="4" w:space="0" w:color="auto"/>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r w:rsidRPr="0093254B">
              <w:rPr>
                <w:rFonts w:ascii="Times New Roman" w:eastAsia="Times New Roman" w:hAnsi="Times New Roman" w:cs="Times New Roman"/>
                <w:sz w:val="18"/>
                <w:szCs w:val="18"/>
              </w:rPr>
              <w:t> </w:t>
            </w:r>
          </w:p>
        </w:tc>
      </w:tr>
      <w:tr w:rsidR="00522F27" w:rsidRPr="0093254B" w:rsidTr="00CD76FF">
        <w:trPr>
          <w:trHeight w:val="60"/>
        </w:trPr>
        <w:tc>
          <w:tcPr>
            <w:tcW w:w="3186"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jc w:val="center"/>
              <w:rPr>
                <w:rFonts w:ascii="Times New Roman" w:eastAsia="Times New Roman" w:hAnsi="Times New Roman" w:cs="Times New Roman"/>
                <w:sz w:val="18"/>
                <w:szCs w:val="18"/>
              </w:rPr>
            </w:pPr>
          </w:p>
        </w:tc>
        <w:tc>
          <w:tcPr>
            <w:tcW w:w="45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c>
          <w:tcPr>
            <w:tcW w:w="739"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c>
          <w:tcPr>
            <w:tcW w:w="452"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c>
          <w:tcPr>
            <w:tcW w:w="164" w:type="pct"/>
            <w:tcBorders>
              <w:top w:val="nil"/>
              <w:left w:val="nil"/>
              <w:bottom w:val="nil"/>
              <w:right w:val="nil"/>
            </w:tcBorders>
            <w:shd w:val="clear" w:color="auto" w:fill="auto"/>
            <w:noWrap/>
            <w:vAlign w:val="bottom"/>
            <w:hideMark/>
          </w:tcPr>
          <w:p w:rsidR="00522F27" w:rsidRPr="0093254B" w:rsidRDefault="00522F27" w:rsidP="00CD76FF">
            <w:pPr>
              <w:spacing w:after="0" w:line="240" w:lineRule="auto"/>
              <w:rPr>
                <w:rFonts w:ascii="Times New Roman" w:eastAsia="Times New Roman" w:hAnsi="Times New Roman" w:cs="Times New Roman"/>
                <w:sz w:val="18"/>
                <w:szCs w:val="18"/>
              </w:rPr>
            </w:pPr>
          </w:p>
        </w:tc>
      </w:tr>
    </w:tbl>
    <w:p w:rsidR="00522F27" w:rsidRDefault="00522F27" w:rsidP="00522F27">
      <w:pPr>
        <w:spacing w:after="0" w:line="240" w:lineRule="auto"/>
        <w:rPr>
          <w:rFonts w:ascii="Times New Roman" w:hAnsi="Times New Roman" w:cs="Times New Roman"/>
          <w:szCs w:val="18"/>
        </w:rPr>
      </w:pPr>
    </w:p>
    <w:p w:rsidR="00522F27" w:rsidRPr="0093254B" w:rsidRDefault="00522F27" w:rsidP="00522F27">
      <w:pPr>
        <w:spacing w:after="0" w:line="240" w:lineRule="auto"/>
        <w:rPr>
          <w:rFonts w:ascii="Times New Roman" w:eastAsia="Times New Roman" w:hAnsi="Times New Roman" w:cs="Times New Roman"/>
          <w:iCs/>
          <w:sz w:val="18"/>
          <w:szCs w:val="18"/>
        </w:rPr>
      </w:pPr>
      <w:r w:rsidRPr="0093254B">
        <w:rPr>
          <w:rFonts w:ascii="Times New Roman" w:eastAsia="Times New Roman" w:hAnsi="Times New Roman" w:cs="Times New Roman"/>
          <w:iCs/>
          <w:sz w:val="18"/>
          <w:szCs w:val="18"/>
        </w:rPr>
        <w:t>*p-value &lt; 0.05;</w:t>
      </w:r>
      <w:r>
        <w:rPr>
          <w:rFonts w:ascii="Times New Roman" w:eastAsia="Times New Roman" w:hAnsi="Times New Roman" w:cs="Times New Roman"/>
          <w:i/>
          <w:iCs/>
          <w:sz w:val="18"/>
          <w:szCs w:val="18"/>
        </w:rPr>
        <w:t xml:space="preserve"> ARR </w:t>
      </w:r>
      <w:r w:rsidRPr="0093254B">
        <w:rPr>
          <w:rFonts w:ascii="Times New Roman" w:eastAsia="Times New Roman" w:hAnsi="Times New Roman" w:cs="Times New Roman"/>
          <w:iCs/>
          <w:sz w:val="18"/>
          <w:szCs w:val="18"/>
        </w:rPr>
        <w:t>Annualized relapse rate,</w:t>
      </w:r>
      <w:r>
        <w:rPr>
          <w:rFonts w:ascii="Times New Roman" w:eastAsia="Times New Roman" w:hAnsi="Times New Roman" w:cs="Times New Roman"/>
          <w:i/>
          <w:iCs/>
          <w:sz w:val="18"/>
          <w:szCs w:val="18"/>
        </w:rPr>
        <w:t xml:space="preserve"> CCI </w:t>
      </w:r>
      <w:r w:rsidRPr="0093254B">
        <w:rPr>
          <w:rFonts w:ascii="Times New Roman" w:eastAsia="Times New Roman" w:hAnsi="Times New Roman" w:cs="Times New Roman"/>
          <w:iCs/>
          <w:sz w:val="18"/>
          <w:szCs w:val="18"/>
        </w:rPr>
        <w:t>Charlson comorbidity index,</w:t>
      </w:r>
      <w:r>
        <w:rPr>
          <w:rFonts w:ascii="Times New Roman" w:eastAsia="Times New Roman" w:hAnsi="Times New Roman" w:cs="Times New Roman"/>
          <w:i/>
          <w:iCs/>
          <w:sz w:val="18"/>
          <w:szCs w:val="18"/>
        </w:rPr>
        <w:t xml:space="preserve"> CI </w:t>
      </w:r>
      <w:r w:rsidRPr="0093254B">
        <w:rPr>
          <w:rFonts w:ascii="Times New Roman" w:eastAsia="Times New Roman" w:hAnsi="Times New Roman" w:cs="Times New Roman"/>
          <w:iCs/>
          <w:sz w:val="18"/>
          <w:szCs w:val="18"/>
        </w:rPr>
        <w:t>Confidence interval,</w:t>
      </w:r>
      <w:r>
        <w:rPr>
          <w:rFonts w:ascii="Times New Roman" w:eastAsia="Times New Roman" w:hAnsi="Times New Roman" w:cs="Times New Roman"/>
          <w:i/>
          <w:iCs/>
          <w:sz w:val="18"/>
          <w:szCs w:val="18"/>
        </w:rPr>
        <w:t xml:space="preserve"> CNS </w:t>
      </w:r>
      <w:r w:rsidRPr="0093254B">
        <w:rPr>
          <w:rFonts w:ascii="Times New Roman" w:eastAsia="Times New Roman" w:hAnsi="Times New Roman" w:cs="Times New Roman"/>
          <w:iCs/>
          <w:sz w:val="18"/>
          <w:szCs w:val="18"/>
        </w:rPr>
        <w:t xml:space="preserve">Central nervous system, </w:t>
      </w:r>
      <w:r>
        <w:rPr>
          <w:rFonts w:ascii="Times New Roman" w:eastAsia="Times New Roman" w:hAnsi="Times New Roman" w:cs="Times New Roman"/>
          <w:i/>
          <w:iCs/>
          <w:sz w:val="18"/>
          <w:szCs w:val="18"/>
        </w:rPr>
        <w:t>DMT</w:t>
      </w:r>
      <w:r w:rsidRPr="0093254B">
        <w:rPr>
          <w:rFonts w:ascii="Times New Roman" w:eastAsia="Times New Roman" w:hAnsi="Times New Roman" w:cs="Times New Roman"/>
          <w:i/>
          <w:iCs/>
          <w:sz w:val="18"/>
          <w:szCs w:val="18"/>
        </w:rPr>
        <w:t xml:space="preserve"> </w:t>
      </w:r>
      <w:r w:rsidRPr="0093254B">
        <w:rPr>
          <w:rFonts w:ascii="Times New Roman" w:eastAsia="Times New Roman" w:hAnsi="Times New Roman" w:cs="Times New Roman"/>
          <w:iCs/>
          <w:sz w:val="18"/>
          <w:szCs w:val="18"/>
        </w:rPr>
        <w:t xml:space="preserve">Disease modifying therapy, </w:t>
      </w:r>
      <w:r>
        <w:rPr>
          <w:rFonts w:ascii="Times New Roman" w:eastAsia="Times New Roman" w:hAnsi="Times New Roman" w:cs="Times New Roman"/>
          <w:i/>
          <w:iCs/>
          <w:sz w:val="18"/>
          <w:szCs w:val="18"/>
        </w:rPr>
        <w:t xml:space="preserve">IRR </w:t>
      </w:r>
      <w:r w:rsidRPr="0093254B">
        <w:rPr>
          <w:rFonts w:ascii="Times New Roman" w:eastAsia="Times New Roman" w:hAnsi="Times New Roman" w:cs="Times New Roman"/>
          <w:iCs/>
          <w:sz w:val="18"/>
          <w:szCs w:val="18"/>
        </w:rPr>
        <w:t>Incidence rate ratio,</w:t>
      </w:r>
      <w:r>
        <w:rPr>
          <w:rFonts w:ascii="Times New Roman" w:eastAsia="Times New Roman" w:hAnsi="Times New Roman" w:cs="Times New Roman"/>
          <w:i/>
          <w:iCs/>
          <w:sz w:val="18"/>
          <w:szCs w:val="18"/>
        </w:rPr>
        <w:t xml:space="preserve"> </w:t>
      </w:r>
      <w:r w:rsidRPr="0093254B">
        <w:rPr>
          <w:rFonts w:ascii="Times New Roman" w:eastAsia="Times New Roman" w:hAnsi="Times New Roman" w:cs="Times New Roman"/>
          <w:i/>
          <w:iCs/>
          <w:sz w:val="18"/>
          <w:szCs w:val="18"/>
        </w:rPr>
        <w:t>NO</w:t>
      </w:r>
      <w:r>
        <w:rPr>
          <w:rFonts w:ascii="Times New Roman" w:eastAsia="Times New Roman" w:hAnsi="Times New Roman" w:cs="Times New Roman"/>
          <w:i/>
          <w:iCs/>
          <w:sz w:val="18"/>
          <w:szCs w:val="18"/>
        </w:rPr>
        <w:t xml:space="preserve">S </w:t>
      </w:r>
      <w:r w:rsidRPr="0093254B">
        <w:rPr>
          <w:rFonts w:ascii="Times New Roman" w:eastAsia="Times New Roman" w:hAnsi="Times New Roman" w:cs="Times New Roman"/>
          <w:iCs/>
          <w:sz w:val="18"/>
          <w:szCs w:val="18"/>
        </w:rPr>
        <w:t xml:space="preserve">Not otherwise specified </w:t>
      </w:r>
    </w:p>
    <w:p w:rsidR="00522F27" w:rsidRDefault="00522F27" w:rsidP="00522F27">
      <w:pPr>
        <w:spacing w:after="0" w:line="240" w:lineRule="auto"/>
        <w:rPr>
          <w:rFonts w:ascii="Times New Roman" w:hAnsi="Times New Roman" w:cs="Times New Roman"/>
          <w:szCs w:val="18"/>
        </w:rPr>
      </w:pPr>
    </w:p>
    <w:p w:rsidR="00522F27" w:rsidRDefault="00522F27" w:rsidP="00522F27">
      <w:pPr>
        <w:spacing w:after="0" w:line="240" w:lineRule="auto"/>
        <w:rPr>
          <w:rFonts w:ascii="Times New Roman" w:hAnsi="Times New Roman" w:cs="Times New Roman"/>
          <w:sz w:val="18"/>
          <w:szCs w:val="18"/>
        </w:rPr>
      </w:pPr>
      <w:r w:rsidRPr="0093254B">
        <w:rPr>
          <w:rFonts w:ascii="Times New Roman" w:hAnsi="Times New Roman" w:cs="Times New Roman"/>
          <w:b/>
          <w:sz w:val="18"/>
          <w:szCs w:val="18"/>
        </w:rPr>
        <w:t>Notes:</w:t>
      </w:r>
      <w:r w:rsidRPr="0093254B">
        <w:rPr>
          <w:rFonts w:ascii="Times New Roman" w:hAnsi="Times New Roman" w:cs="Times New Roman"/>
          <w:sz w:val="18"/>
          <w:szCs w:val="18"/>
        </w:rPr>
        <w:t xml:space="preserve"> ARR was calculated as the number of relapses divided by total time at risk (in years). Time at risk started at the index date and ended at one year after the index date or end of eligibility, whichever occurred first. The multivariable analysis of ARR was conducted using a negative binomial regression model with number of relapses (numerator of ARR) as the dependent variable and the natural logarithm of years at risk (denominator of ARR) as the offset variable. Baseline characteristics were included as control variables.</w:t>
      </w:r>
    </w:p>
    <w:p w:rsidR="00522F27" w:rsidRDefault="00522F27" w:rsidP="00522F27">
      <w:pPr>
        <w:spacing w:after="0" w:line="240" w:lineRule="auto"/>
        <w:rPr>
          <w:rFonts w:ascii="Times New Roman" w:hAnsi="Times New Roman" w:cs="Times New Roman"/>
          <w:sz w:val="18"/>
          <w:szCs w:val="18"/>
        </w:rPr>
      </w:pPr>
    </w:p>
    <w:p w:rsidR="00522F27" w:rsidRDefault="00522F27" w:rsidP="00522F27">
      <w:pPr>
        <w:rPr>
          <w:rFonts w:ascii="Times New Roman" w:hAnsi="Times New Roman" w:cs="Times New Roman"/>
          <w:sz w:val="18"/>
          <w:szCs w:val="18"/>
        </w:rPr>
      </w:pPr>
      <w:r>
        <w:rPr>
          <w:rFonts w:ascii="Times New Roman" w:hAnsi="Times New Roman" w:cs="Times New Roman"/>
          <w:sz w:val="18"/>
          <w:szCs w:val="18"/>
        </w:rPr>
        <w:br w:type="page"/>
      </w:r>
    </w:p>
    <w:p w:rsidR="00522F27" w:rsidRDefault="00522F27" w:rsidP="00522F27">
      <w:pPr>
        <w:spacing w:after="0" w:line="240" w:lineRule="auto"/>
        <w:rPr>
          <w:rFonts w:ascii="Times New Roman" w:hAnsi="Times New Roman" w:cs="Times New Roman"/>
          <w:szCs w:val="18"/>
        </w:rPr>
      </w:pPr>
      <w:r>
        <w:rPr>
          <w:rFonts w:ascii="Times New Roman" w:hAnsi="Times New Roman" w:cs="Times New Roman"/>
          <w:b/>
          <w:szCs w:val="18"/>
        </w:rPr>
        <w:t xml:space="preserve">Table </w:t>
      </w:r>
      <w:r w:rsidR="00CD76FF">
        <w:rPr>
          <w:rFonts w:ascii="Times New Roman" w:hAnsi="Times New Roman" w:cs="Times New Roman"/>
          <w:b/>
          <w:szCs w:val="18"/>
        </w:rPr>
        <w:t>S</w:t>
      </w:r>
      <w:r w:rsidR="00631FD4">
        <w:rPr>
          <w:rFonts w:ascii="Times New Roman" w:hAnsi="Times New Roman" w:cs="Times New Roman"/>
          <w:b/>
          <w:szCs w:val="18"/>
        </w:rPr>
        <w:t>7</w:t>
      </w:r>
      <w:r>
        <w:rPr>
          <w:rFonts w:ascii="Times New Roman" w:hAnsi="Times New Roman" w:cs="Times New Roman"/>
          <w:b/>
          <w:szCs w:val="18"/>
        </w:rPr>
        <w:t>. Univariate and multivariable logistic regressions of adherence measured by MPR ≥80%</w:t>
      </w:r>
    </w:p>
    <w:p w:rsidR="00522F27" w:rsidRDefault="00522F27" w:rsidP="00522F27">
      <w:pPr>
        <w:spacing w:after="0" w:line="240" w:lineRule="auto"/>
        <w:rPr>
          <w:rFonts w:ascii="Times New Roman" w:hAnsi="Times New Roman" w:cs="Times New Roman"/>
          <w:szCs w:val="18"/>
        </w:rPr>
      </w:pPr>
    </w:p>
    <w:tbl>
      <w:tblPr>
        <w:tblW w:w="5000" w:type="pct"/>
        <w:tblLayout w:type="fixed"/>
        <w:tblCellMar>
          <w:left w:w="0" w:type="dxa"/>
          <w:right w:w="0" w:type="dxa"/>
        </w:tblCellMar>
        <w:tblLook w:val="04A0" w:firstRow="1" w:lastRow="0" w:firstColumn="1" w:lastColumn="0" w:noHBand="0" w:noVBand="1"/>
      </w:tblPr>
      <w:tblGrid>
        <w:gridCol w:w="6010"/>
        <w:gridCol w:w="1164"/>
        <w:gridCol w:w="1166"/>
        <w:gridCol w:w="719"/>
        <w:gridCol w:w="301"/>
      </w:tblGrid>
      <w:tr w:rsidR="00522F27" w:rsidRPr="00CE46C6" w:rsidTr="00CD76FF">
        <w:trPr>
          <w:trHeight w:val="315"/>
        </w:trPr>
        <w:tc>
          <w:tcPr>
            <w:tcW w:w="3210" w:type="pct"/>
            <w:tcBorders>
              <w:top w:val="single" w:sz="4" w:space="0" w:color="auto"/>
              <w:left w:val="nil"/>
              <w:bottom w:val="double" w:sz="6" w:space="0" w:color="auto"/>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 </w:t>
            </w:r>
          </w:p>
        </w:tc>
        <w:tc>
          <w:tcPr>
            <w:tcW w:w="622" w:type="pct"/>
            <w:tcBorders>
              <w:top w:val="single" w:sz="4" w:space="0" w:color="auto"/>
              <w:left w:val="nil"/>
              <w:bottom w:val="double" w:sz="6" w:space="0" w:color="auto"/>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b/>
                <w:bCs/>
                <w:color w:val="000000"/>
                <w:sz w:val="18"/>
              </w:rPr>
            </w:pPr>
            <w:r w:rsidRPr="00CE46C6">
              <w:rPr>
                <w:rFonts w:ascii="Times New Roman" w:eastAsia="Times New Roman" w:hAnsi="Times New Roman" w:cs="Times New Roman"/>
                <w:b/>
                <w:bCs/>
                <w:color w:val="000000"/>
                <w:sz w:val="18"/>
              </w:rPr>
              <w:t>Odds Ratio</w:t>
            </w:r>
          </w:p>
        </w:tc>
        <w:tc>
          <w:tcPr>
            <w:tcW w:w="623" w:type="pct"/>
            <w:tcBorders>
              <w:top w:val="single" w:sz="4" w:space="0" w:color="auto"/>
              <w:left w:val="nil"/>
              <w:bottom w:val="double" w:sz="6" w:space="0" w:color="auto"/>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b/>
                <w:bCs/>
                <w:color w:val="000000"/>
                <w:sz w:val="18"/>
              </w:rPr>
            </w:pPr>
            <w:r w:rsidRPr="00CE46C6">
              <w:rPr>
                <w:rFonts w:ascii="Times New Roman" w:eastAsia="Times New Roman" w:hAnsi="Times New Roman" w:cs="Times New Roman"/>
                <w:b/>
                <w:bCs/>
                <w:color w:val="000000"/>
                <w:sz w:val="18"/>
              </w:rPr>
              <w:t>95% CI</w:t>
            </w:r>
          </w:p>
        </w:tc>
        <w:tc>
          <w:tcPr>
            <w:tcW w:w="545" w:type="pct"/>
            <w:gridSpan w:val="2"/>
            <w:tcBorders>
              <w:top w:val="single" w:sz="4" w:space="0" w:color="auto"/>
              <w:left w:val="nil"/>
              <w:bottom w:val="double" w:sz="6" w:space="0" w:color="auto"/>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b/>
                <w:bCs/>
                <w:color w:val="000000"/>
                <w:sz w:val="18"/>
              </w:rPr>
            </w:pPr>
            <w:r w:rsidRPr="00CE46C6">
              <w:rPr>
                <w:rFonts w:ascii="Times New Roman" w:eastAsia="Times New Roman" w:hAnsi="Times New Roman" w:cs="Times New Roman"/>
                <w:b/>
                <w:bCs/>
                <w:color w:val="000000"/>
                <w:sz w:val="18"/>
              </w:rPr>
              <w:t>P-value</w:t>
            </w:r>
          </w:p>
        </w:tc>
      </w:tr>
      <w:tr w:rsidR="00522F27" w:rsidRPr="00CE46C6" w:rsidTr="00CD76FF">
        <w:trPr>
          <w:trHeight w:val="6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b/>
                <w:bCs/>
                <w:color w:val="000000"/>
                <w:sz w:val="18"/>
              </w:rPr>
            </w:pP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sz w:val="18"/>
                <w:szCs w:val="20"/>
              </w:rPr>
            </w:pP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sz w:val="18"/>
                <w:szCs w:val="20"/>
              </w:rPr>
            </w:pP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sz w:val="18"/>
                <w:szCs w:val="20"/>
              </w:rPr>
            </w:pP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sz w:val="18"/>
                <w:szCs w:val="20"/>
              </w:rPr>
            </w:pPr>
          </w:p>
        </w:tc>
      </w:tr>
      <w:tr w:rsidR="00522F27" w:rsidRPr="00CE46C6" w:rsidTr="00CD76FF">
        <w:trPr>
          <w:trHeight w:val="243"/>
        </w:trPr>
        <w:tc>
          <w:tcPr>
            <w:tcW w:w="3210" w:type="pct"/>
            <w:tcBorders>
              <w:top w:val="nil"/>
              <w:left w:val="nil"/>
              <w:bottom w:val="nil"/>
              <w:right w:val="nil"/>
            </w:tcBorders>
            <w:shd w:val="clear" w:color="auto" w:fill="auto"/>
            <w:vAlign w:val="bottom"/>
          </w:tcPr>
          <w:p w:rsidR="00522F27" w:rsidRPr="00CE46C6" w:rsidRDefault="00522F27" w:rsidP="00CD76FF">
            <w:pPr>
              <w:spacing w:after="0" w:line="240" w:lineRule="auto"/>
              <w:rPr>
                <w:rFonts w:ascii="Times New Roman" w:eastAsia="Times New Roman" w:hAnsi="Times New Roman" w:cs="Times New Roman"/>
                <w:b/>
                <w:bCs/>
                <w:color w:val="000000"/>
                <w:sz w:val="18"/>
              </w:rPr>
            </w:pPr>
            <w:r w:rsidRPr="00CE46C6">
              <w:rPr>
                <w:rFonts w:ascii="Times New Roman" w:eastAsia="Times New Roman" w:hAnsi="Times New Roman" w:cs="Times New Roman"/>
                <w:b/>
                <w:bCs/>
                <w:color w:val="000000"/>
                <w:sz w:val="18"/>
              </w:rPr>
              <w:t xml:space="preserve">Estimated effect of fingolimod (vs. teriflunomide) on MPR ≥80%, </w:t>
            </w:r>
            <w:r>
              <w:rPr>
                <w:rFonts w:ascii="Times New Roman" w:eastAsia="Times New Roman" w:hAnsi="Times New Roman" w:cs="Times New Roman"/>
                <w:b/>
                <w:bCs/>
                <w:color w:val="000000"/>
                <w:sz w:val="18"/>
              </w:rPr>
              <w:t>un</w:t>
            </w:r>
            <w:r w:rsidRPr="00CE46C6">
              <w:rPr>
                <w:rFonts w:ascii="Times New Roman" w:eastAsia="Times New Roman" w:hAnsi="Times New Roman" w:cs="Times New Roman"/>
                <w:b/>
                <w:bCs/>
                <w:color w:val="000000"/>
                <w:sz w:val="18"/>
              </w:rPr>
              <w:t>adjusted</w:t>
            </w:r>
          </w:p>
        </w:tc>
        <w:tc>
          <w:tcPr>
            <w:tcW w:w="622" w:type="pct"/>
            <w:tcBorders>
              <w:top w:val="nil"/>
              <w:left w:val="nil"/>
              <w:bottom w:val="nil"/>
              <w:right w:val="nil"/>
            </w:tcBorders>
            <w:shd w:val="clear" w:color="auto" w:fill="auto"/>
            <w:noWrap/>
            <w:vAlign w:val="bottom"/>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1.75</w:t>
            </w:r>
          </w:p>
        </w:tc>
        <w:tc>
          <w:tcPr>
            <w:tcW w:w="623" w:type="pct"/>
            <w:tcBorders>
              <w:top w:val="nil"/>
              <w:left w:val="nil"/>
              <w:bottom w:val="nil"/>
              <w:right w:val="nil"/>
            </w:tcBorders>
            <w:shd w:val="clear" w:color="auto" w:fill="auto"/>
            <w:noWrap/>
            <w:vAlign w:val="bottom"/>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(1.45, 2.12)</w:t>
            </w:r>
          </w:p>
        </w:tc>
        <w:tc>
          <w:tcPr>
            <w:tcW w:w="384" w:type="pct"/>
            <w:tcBorders>
              <w:top w:val="nil"/>
              <w:left w:val="nil"/>
              <w:bottom w:val="nil"/>
              <w:right w:val="nil"/>
            </w:tcBorders>
            <w:shd w:val="clear" w:color="auto" w:fill="auto"/>
            <w:noWrap/>
            <w:vAlign w:val="bottom"/>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&lt;0.001</w:t>
            </w:r>
          </w:p>
        </w:tc>
        <w:tc>
          <w:tcPr>
            <w:tcW w:w="161" w:type="pct"/>
            <w:tcBorders>
              <w:top w:val="nil"/>
              <w:left w:val="nil"/>
              <w:bottom w:val="nil"/>
              <w:right w:val="nil"/>
            </w:tcBorders>
            <w:shd w:val="clear" w:color="auto" w:fill="auto"/>
            <w:noWrap/>
            <w:vAlign w:val="bottom"/>
          </w:tcPr>
          <w:p w:rsidR="00522F27" w:rsidRPr="00CE46C6" w:rsidRDefault="00522F27" w:rsidP="00CD76FF">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r>
      <w:tr w:rsidR="00522F27" w:rsidRPr="00CE46C6" w:rsidTr="00CD76FF">
        <w:trPr>
          <w:trHeight w:val="243"/>
        </w:trPr>
        <w:tc>
          <w:tcPr>
            <w:tcW w:w="3210" w:type="pct"/>
            <w:tcBorders>
              <w:top w:val="nil"/>
              <w:left w:val="nil"/>
              <w:bottom w:val="nil"/>
              <w:right w:val="nil"/>
            </w:tcBorders>
            <w:shd w:val="clear" w:color="auto" w:fill="auto"/>
            <w:vAlign w:val="bottom"/>
            <w:hideMark/>
          </w:tcPr>
          <w:p w:rsidR="00522F27" w:rsidRPr="00CE46C6" w:rsidRDefault="00522F27" w:rsidP="00CD76FF">
            <w:pPr>
              <w:spacing w:after="0" w:line="240" w:lineRule="auto"/>
              <w:rPr>
                <w:rFonts w:ascii="Times New Roman" w:eastAsia="Times New Roman" w:hAnsi="Times New Roman" w:cs="Times New Roman"/>
                <w:b/>
                <w:bCs/>
                <w:color w:val="000000"/>
                <w:sz w:val="18"/>
              </w:rPr>
            </w:pPr>
            <w:r w:rsidRPr="00CE46C6">
              <w:rPr>
                <w:rFonts w:ascii="Times New Roman" w:eastAsia="Times New Roman" w:hAnsi="Times New Roman" w:cs="Times New Roman"/>
                <w:b/>
                <w:bCs/>
                <w:color w:val="000000"/>
                <w:sz w:val="18"/>
              </w:rPr>
              <w:t>Estimated effect of fingolimod (vs. teriflunomide) on MPR ≥80%, adjusted</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1.94</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(1.58, 2.39)</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&lt;0.001</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w:t>
            </w: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100" w:firstLine="18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Age (years)</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1.02</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(1.01, 1.03)</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&lt;0.001</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w:t>
            </w: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100" w:firstLine="18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Female</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0.92</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(0.73, 1.17)</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0.506</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100" w:firstLine="18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Census</w:t>
            </w:r>
            <w:r w:rsidRPr="00CE46C6">
              <w:rPr>
                <w:rFonts w:ascii="Times New Roman" w:eastAsia="Times New Roman" w:hAnsi="Times New Roman" w:cs="Times New Roman"/>
                <w:color w:val="000000"/>
                <w:sz w:val="18"/>
              </w:rPr>
              <w:t xml:space="preserve"> region (vs. South)</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100" w:firstLine="180"/>
              <w:rPr>
                <w:rFonts w:ascii="Times New Roman" w:eastAsia="Times New Roman" w:hAnsi="Times New Roman" w:cs="Times New Roman"/>
                <w:color w:val="000000"/>
                <w:sz w:val="18"/>
              </w:rPr>
            </w:pP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sz w:val="18"/>
                <w:szCs w:val="20"/>
              </w:rPr>
            </w:pP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sz w:val="18"/>
                <w:szCs w:val="20"/>
              </w:rPr>
            </w:pP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sz w:val="18"/>
                <w:szCs w:val="20"/>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200" w:firstLine="36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Northeast</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1.11</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(0.85, 1.44)</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0.456</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200" w:firstLine="36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North central</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1.21</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(0.93, 1.57)</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0.156</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200" w:firstLine="36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Other (i.e., West or unknown)</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1.12</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(0.85, 1.46)</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0.430</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100" w:firstLine="180"/>
              <w:rPr>
                <w:rFonts w:ascii="Times New Roman" w:eastAsia="Times New Roman" w:hAnsi="Times New Roman" w:cs="Times New Roman"/>
                <w:color w:val="000000"/>
                <w:sz w:val="18"/>
              </w:rPr>
            </w:pPr>
            <w:r w:rsidRPr="0019758F">
              <w:rPr>
                <w:rFonts w:ascii="Times New Roman" w:eastAsia="Times New Roman" w:hAnsi="Times New Roman" w:cs="Times New Roman"/>
                <w:color w:val="000000"/>
                <w:sz w:val="18"/>
              </w:rPr>
              <w:t>Insurance type (vs. preferred provider organization)</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100" w:firstLine="180"/>
              <w:rPr>
                <w:rFonts w:ascii="Times New Roman" w:eastAsia="Times New Roman" w:hAnsi="Times New Roman" w:cs="Times New Roman"/>
                <w:color w:val="000000"/>
                <w:sz w:val="18"/>
              </w:rPr>
            </w:pP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sz w:val="18"/>
                <w:szCs w:val="20"/>
              </w:rPr>
            </w:pP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sz w:val="18"/>
                <w:szCs w:val="20"/>
              </w:rPr>
            </w:pP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sz w:val="18"/>
                <w:szCs w:val="20"/>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200" w:firstLine="36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Health maintenance organization (HMO)</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0.78</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(0.59, 1.04)</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0.087</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200" w:firstLine="36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Other</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1.08</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(0.85, 1.37)</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0.539</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100" w:firstLine="18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Index year (vs. 2012)</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100" w:firstLine="180"/>
              <w:rPr>
                <w:rFonts w:ascii="Times New Roman" w:eastAsia="Times New Roman" w:hAnsi="Times New Roman" w:cs="Times New Roman"/>
                <w:color w:val="000000"/>
                <w:sz w:val="18"/>
              </w:rPr>
            </w:pP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sz w:val="18"/>
                <w:szCs w:val="20"/>
              </w:rPr>
            </w:pP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sz w:val="18"/>
                <w:szCs w:val="20"/>
              </w:rPr>
            </w:pP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sz w:val="18"/>
                <w:szCs w:val="20"/>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200" w:firstLine="36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2013</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0.95</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(0.68, 1.33)</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0.787</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200" w:firstLine="36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2014</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1.19</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(0.84, 1.69)</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0.317</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200" w:firstLine="36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2015</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1.28</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(0.89, 1.84)</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0.188</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100" w:firstLine="18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Symptoms during</w:t>
            </w:r>
            <w:r w:rsidRPr="00CE46C6">
              <w:rPr>
                <w:rFonts w:ascii="Times New Roman" w:eastAsia="Times New Roman" w:hAnsi="Times New Roman" w:cs="Times New Roman"/>
                <w:color w:val="000000"/>
                <w:sz w:val="18"/>
              </w:rPr>
              <w:t xml:space="preserve"> 1-year baseline period</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100" w:firstLine="180"/>
              <w:rPr>
                <w:rFonts w:ascii="Times New Roman" w:eastAsia="Times New Roman" w:hAnsi="Times New Roman" w:cs="Times New Roman"/>
                <w:color w:val="000000"/>
                <w:sz w:val="18"/>
              </w:rPr>
            </w:pP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sz w:val="18"/>
                <w:szCs w:val="20"/>
              </w:rPr>
            </w:pP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sz w:val="18"/>
                <w:szCs w:val="20"/>
              </w:rPr>
            </w:pP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sz w:val="18"/>
                <w:szCs w:val="20"/>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200" w:firstLine="36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Demyelinating disease of CNS, unspecified</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1.19</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(0.83, 1.70)</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0.334</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200" w:firstLine="36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Disorders of optic nerve and visual pathways</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1.01</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(0.78, 1.31)</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0.928</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200" w:firstLine="36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General symptoms: dizziness and giddiness</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0.94</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(0.68, 1.30)</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0.702</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200" w:firstLine="36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General symptoms: fatigue/malaise</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0.92</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(0.74, 1.14)</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0.433</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200" w:firstLine="36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Neurogenic bladder NOS</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1.40</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(0.91, 2.17)</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0.130</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200" w:firstLine="36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Other causes of myelitis</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0.84</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(0.32, 2.17)</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0.716</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297"/>
        </w:trPr>
        <w:tc>
          <w:tcPr>
            <w:tcW w:w="3210" w:type="pct"/>
            <w:tcBorders>
              <w:top w:val="nil"/>
              <w:left w:val="nil"/>
              <w:bottom w:val="nil"/>
              <w:right w:val="nil"/>
            </w:tcBorders>
            <w:shd w:val="clear" w:color="auto" w:fill="auto"/>
            <w:vAlign w:val="bottom"/>
            <w:hideMark/>
          </w:tcPr>
          <w:p w:rsidR="00522F27" w:rsidRPr="00CE46C6" w:rsidRDefault="00522F27" w:rsidP="00CD76FF">
            <w:pPr>
              <w:spacing w:after="0" w:line="240" w:lineRule="auto"/>
              <w:ind w:firstLineChars="200" w:firstLine="36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Other disorders of soft tissues: neuralgia, neuritis, and radiculitis, unspecified</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1.25</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(0.68, 2.29)</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0.480</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36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100" w:firstLine="18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CCI</w:t>
            </w:r>
            <w:r>
              <w:rPr>
                <w:rFonts w:ascii="Times New Roman" w:eastAsia="Times New Roman" w:hAnsi="Times New Roman" w:cs="Times New Roman"/>
                <w:color w:val="000000"/>
                <w:sz w:val="18"/>
              </w:rPr>
              <w:t xml:space="preserve"> during</w:t>
            </w:r>
            <w:r w:rsidRPr="00CE46C6">
              <w:rPr>
                <w:rFonts w:ascii="Times New Roman" w:eastAsia="Times New Roman" w:hAnsi="Times New Roman" w:cs="Times New Roman"/>
                <w:color w:val="000000"/>
                <w:sz w:val="18"/>
              </w:rPr>
              <w:t xml:space="preserve"> 1-year baseline period</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0.91</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(0.83, 1.00)</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0.044</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w:t>
            </w: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100" w:firstLine="180"/>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Number of relapses during</w:t>
            </w:r>
            <w:r w:rsidRPr="00CE46C6">
              <w:rPr>
                <w:rFonts w:ascii="Times New Roman" w:eastAsia="Times New Roman" w:hAnsi="Times New Roman" w:cs="Times New Roman"/>
                <w:color w:val="000000"/>
                <w:sz w:val="18"/>
              </w:rPr>
              <w:t xml:space="preserve"> 1-year baseline period</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1.03</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(0.90, 1.17)</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0.693</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30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ind w:firstLineChars="100" w:firstLine="180"/>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 xml:space="preserve">Use of </w:t>
            </w:r>
            <w:r w:rsidRPr="00CE46C6">
              <w:rPr>
                <w:rFonts w:ascii="Calibri" w:eastAsia="Times New Roman" w:hAnsi="Calibri" w:cs="Calibri"/>
                <w:color w:val="000000"/>
                <w:sz w:val="18"/>
              </w:rPr>
              <w:t>≥</w:t>
            </w:r>
            <w:r w:rsidRPr="00CE46C6">
              <w:rPr>
                <w:rFonts w:ascii="Times New Roman" w:eastAsia="Times New Roman" w:hAnsi="Times New Roman" w:cs="Times New Roman"/>
                <w:color w:val="000000"/>
                <w:sz w:val="18"/>
                <w:szCs w:val="20"/>
              </w:rPr>
              <w:t xml:space="preserve">1 </w:t>
            </w:r>
            <w:r>
              <w:rPr>
                <w:rFonts w:ascii="Times New Roman" w:eastAsia="Times New Roman" w:hAnsi="Times New Roman" w:cs="Times New Roman"/>
                <w:color w:val="000000"/>
                <w:sz w:val="18"/>
              </w:rPr>
              <w:t>DMT during</w:t>
            </w:r>
            <w:r w:rsidRPr="00CE46C6">
              <w:rPr>
                <w:rFonts w:ascii="Times New Roman" w:eastAsia="Times New Roman" w:hAnsi="Times New Roman" w:cs="Times New Roman"/>
                <w:color w:val="000000"/>
                <w:sz w:val="18"/>
              </w:rPr>
              <w:t xml:space="preserve"> 1-year baseline period</w:t>
            </w: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1.11</w:t>
            </w: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center"/>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(0.91, 1.36)</w:t>
            </w: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0.322</w:t>
            </w: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jc w:val="right"/>
              <w:rPr>
                <w:rFonts w:ascii="Times New Roman" w:eastAsia="Times New Roman" w:hAnsi="Times New Roman" w:cs="Times New Roman"/>
                <w:color w:val="000000"/>
                <w:sz w:val="18"/>
              </w:rPr>
            </w:pPr>
          </w:p>
        </w:tc>
      </w:tr>
      <w:tr w:rsidR="00522F27" w:rsidRPr="00CE46C6" w:rsidTr="00CD76FF">
        <w:trPr>
          <w:trHeight w:val="60"/>
        </w:trPr>
        <w:tc>
          <w:tcPr>
            <w:tcW w:w="3210" w:type="pct"/>
            <w:tcBorders>
              <w:top w:val="nil"/>
              <w:left w:val="nil"/>
              <w:bottom w:val="single" w:sz="4" w:space="0" w:color="auto"/>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 </w:t>
            </w:r>
          </w:p>
        </w:tc>
        <w:tc>
          <w:tcPr>
            <w:tcW w:w="622" w:type="pct"/>
            <w:tcBorders>
              <w:top w:val="nil"/>
              <w:left w:val="nil"/>
              <w:bottom w:val="single" w:sz="4" w:space="0" w:color="auto"/>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 </w:t>
            </w:r>
          </w:p>
        </w:tc>
        <w:tc>
          <w:tcPr>
            <w:tcW w:w="623" w:type="pct"/>
            <w:tcBorders>
              <w:top w:val="nil"/>
              <w:left w:val="nil"/>
              <w:bottom w:val="single" w:sz="4" w:space="0" w:color="auto"/>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 </w:t>
            </w:r>
          </w:p>
        </w:tc>
        <w:tc>
          <w:tcPr>
            <w:tcW w:w="384" w:type="pct"/>
            <w:tcBorders>
              <w:top w:val="nil"/>
              <w:left w:val="nil"/>
              <w:bottom w:val="single" w:sz="4" w:space="0" w:color="auto"/>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 </w:t>
            </w:r>
          </w:p>
        </w:tc>
        <w:tc>
          <w:tcPr>
            <w:tcW w:w="161" w:type="pct"/>
            <w:tcBorders>
              <w:top w:val="nil"/>
              <w:left w:val="nil"/>
              <w:bottom w:val="single" w:sz="4" w:space="0" w:color="auto"/>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color w:val="000000"/>
                <w:sz w:val="18"/>
              </w:rPr>
            </w:pPr>
            <w:r w:rsidRPr="00CE46C6">
              <w:rPr>
                <w:rFonts w:ascii="Times New Roman" w:eastAsia="Times New Roman" w:hAnsi="Times New Roman" w:cs="Times New Roman"/>
                <w:color w:val="000000"/>
                <w:sz w:val="18"/>
              </w:rPr>
              <w:t> </w:t>
            </w:r>
          </w:p>
        </w:tc>
      </w:tr>
      <w:tr w:rsidR="00522F27" w:rsidRPr="00CE46C6" w:rsidTr="00CD76FF">
        <w:trPr>
          <w:trHeight w:val="60"/>
        </w:trPr>
        <w:tc>
          <w:tcPr>
            <w:tcW w:w="3210"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color w:val="000000"/>
                <w:sz w:val="18"/>
              </w:rPr>
            </w:pPr>
          </w:p>
        </w:tc>
        <w:tc>
          <w:tcPr>
            <w:tcW w:w="622"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sz w:val="18"/>
                <w:szCs w:val="20"/>
              </w:rPr>
            </w:pPr>
          </w:p>
        </w:tc>
        <w:tc>
          <w:tcPr>
            <w:tcW w:w="623"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sz w:val="18"/>
                <w:szCs w:val="20"/>
              </w:rPr>
            </w:pPr>
          </w:p>
        </w:tc>
        <w:tc>
          <w:tcPr>
            <w:tcW w:w="384"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sz w:val="18"/>
                <w:szCs w:val="20"/>
              </w:rPr>
            </w:pPr>
          </w:p>
        </w:tc>
        <w:tc>
          <w:tcPr>
            <w:tcW w:w="161" w:type="pct"/>
            <w:tcBorders>
              <w:top w:val="nil"/>
              <w:left w:val="nil"/>
              <w:bottom w:val="nil"/>
              <w:right w:val="nil"/>
            </w:tcBorders>
            <w:shd w:val="clear" w:color="auto" w:fill="auto"/>
            <w:noWrap/>
            <w:vAlign w:val="bottom"/>
            <w:hideMark/>
          </w:tcPr>
          <w:p w:rsidR="00522F27" w:rsidRPr="00CE46C6" w:rsidRDefault="00522F27" w:rsidP="00CD76FF">
            <w:pPr>
              <w:spacing w:after="0" w:line="240" w:lineRule="auto"/>
              <w:rPr>
                <w:rFonts w:ascii="Times New Roman" w:eastAsia="Times New Roman" w:hAnsi="Times New Roman" w:cs="Times New Roman"/>
                <w:sz w:val="18"/>
                <w:szCs w:val="20"/>
              </w:rPr>
            </w:pPr>
          </w:p>
        </w:tc>
      </w:tr>
    </w:tbl>
    <w:p w:rsidR="00522F27" w:rsidRPr="00CE46C6" w:rsidRDefault="00522F27" w:rsidP="00522F27">
      <w:pPr>
        <w:spacing w:after="0" w:line="240" w:lineRule="auto"/>
        <w:rPr>
          <w:rFonts w:ascii="Times New Roman" w:eastAsia="Times New Roman" w:hAnsi="Times New Roman" w:cs="Times New Roman"/>
          <w:iCs/>
          <w:sz w:val="18"/>
          <w:szCs w:val="18"/>
        </w:rPr>
      </w:pPr>
      <w:r w:rsidRPr="0093254B">
        <w:rPr>
          <w:rFonts w:ascii="Times New Roman" w:eastAsia="Times New Roman" w:hAnsi="Times New Roman" w:cs="Times New Roman"/>
          <w:iCs/>
          <w:sz w:val="18"/>
          <w:szCs w:val="18"/>
        </w:rPr>
        <w:t>*p-value &lt; 0.05;</w:t>
      </w:r>
      <w:r w:rsidRPr="00CE46C6">
        <w:rPr>
          <w:rFonts w:ascii="Times New Roman" w:eastAsia="Times New Roman" w:hAnsi="Times New Roman" w:cs="Times New Roman"/>
          <w:i/>
          <w:iCs/>
          <w:sz w:val="18"/>
          <w:szCs w:val="18"/>
        </w:rPr>
        <w:t xml:space="preserve"> CCI </w:t>
      </w:r>
      <w:r w:rsidRPr="00CE46C6">
        <w:rPr>
          <w:rFonts w:ascii="Times New Roman" w:eastAsia="Times New Roman" w:hAnsi="Times New Roman" w:cs="Times New Roman"/>
          <w:iCs/>
          <w:sz w:val="18"/>
          <w:szCs w:val="18"/>
        </w:rPr>
        <w:t>Charlson comorbidity index,</w:t>
      </w:r>
      <w:r w:rsidRPr="00CE46C6">
        <w:rPr>
          <w:rFonts w:ascii="Times New Roman" w:eastAsia="Times New Roman" w:hAnsi="Times New Roman" w:cs="Times New Roman"/>
          <w:i/>
          <w:iCs/>
          <w:sz w:val="18"/>
          <w:szCs w:val="18"/>
        </w:rPr>
        <w:t xml:space="preserve"> CI </w:t>
      </w:r>
      <w:r w:rsidRPr="00CE46C6">
        <w:rPr>
          <w:rFonts w:ascii="Times New Roman" w:eastAsia="Times New Roman" w:hAnsi="Times New Roman" w:cs="Times New Roman"/>
          <w:iCs/>
          <w:sz w:val="18"/>
          <w:szCs w:val="18"/>
        </w:rPr>
        <w:t>Confidence interval,</w:t>
      </w:r>
      <w:r w:rsidRPr="00CE46C6">
        <w:rPr>
          <w:rFonts w:ascii="Times New Roman" w:eastAsia="Times New Roman" w:hAnsi="Times New Roman" w:cs="Times New Roman"/>
          <w:i/>
          <w:iCs/>
          <w:sz w:val="18"/>
          <w:szCs w:val="18"/>
        </w:rPr>
        <w:t xml:space="preserve"> CNS </w:t>
      </w:r>
      <w:r w:rsidRPr="00CE46C6">
        <w:rPr>
          <w:rFonts w:ascii="Times New Roman" w:eastAsia="Times New Roman" w:hAnsi="Times New Roman" w:cs="Times New Roman"/>
          <w:iCs/>
          <w:sz w:val="18"/>
          <w:szCs w:val="18"/>
        </w:rPr>
        <w:t xml:space="preserve">Central nervous system, </w:t>
      </w:r>
      <w:r w:rsidRPr="00CE46C6">
        <w:rPr>
          <w:rFonts w:ascii="Times New Roman" w:eastAsia="Times New Roman" w:hAnsi="Times New Roman" w:cs="Times New Roman"/>
          <w:i/>
          <w:iCs/>
          <w:sz w:val="18"/>
          <w:szCs w:val="18"/>
        </w:rPr>
        <w:t>DMT</w:t>
      </w:r>
      <w:r w:rsidRPr="0093254B">
        <w:rPr>
          <w:rFonts w:ascii="Times New Roman" w:eastAsia="Times New Roman" w:hAnsi="Times New Roman" w:cs="Times New Roman"/>
          <w:i/>
          <w:iCs/>
          <w:sz w:val="18"/>
          <w:szCs w:val="18"/>
        </w:rPr>
        <w:t xml:space="preserve"> </w:t>
      </w:r>
      <w:r w:rsidRPr="0093254B">
        <w:rPr>
          <w:rFonts w:ascii="Times New Roman" w:eastAsia="Times New Roman" w:hAnsi="Times New Roman" w:cs="Times New Roman"/>
          <w:iCs/>
          <w:sz w:val="18"/>
          <w:szCs w:val="18"/>
        </w:rPr>
        <w:t>Disease modifying therapy</w:t>
      </w:r>
      <w:r w:rsidRPr="00CE46C6">
        <w:rPr>
          <w:rFonts w:ascii="Times New Roman" w:eastAsia="Times New Roman" w:hAnsi="Times New Roman" w:cs="Times New Roman"/>
          <w:iCs/>
          <w:sz w:val="18"/>
          <w:szCs w:val="18"/>
        </w:rPr>
        <w:t xml:space="preserve">, </w:t>
      </w:r>
      <w:r w:rsidRPr="00CE46C6">
        <w:rPr>
          <w:rFonts w:ascii="Times New Roman" w:eastAsia="Times New Roman" w:hAnsi="Times New Roman" w:cs="Times New Roman"/>
          <w:i/>
          <w:iCs/>
          <w:sz w:val="18"/>
          <w:szCs w:val="18"/>
        </w:rPr>
        <w:t xml:space="preserve">MPR </w:t>
      </w:r>
      <w:r w:rsidRPr="00CE46C6">
        <w:rPr>
          <w:rFonts w:ascii="Times New Roman" w:eastAsia="Times New Roman" w:hAnsi="Times New Roman" w:cs="Times New Roman"/>
          <w:iCs/>
          <w:sz w:val="18"/>
          <w:szCs w:val="18"/>
        </w:rPr>
        <w:t>Medication possession ratio,</w:t>
      </w:r>
      <w:r w:rsidRPr="00CE46C6">
        <w:rPr>
          <w:rFonts w:ascii="Times New Roman" w:eastAsia="Times New Roman" w:hAnsi="Times New Roman" w:cs="Times New Roman"/>
          <w:i/>
          <w:iCs/>
          <w:sz w:val="18"/>
          <w:szCs w:val="18"/>
        </w:rPr>
        <w:t xml:space="preserve"> </w:t>
      </w:r>
      <w:r w:rsidRPr="0093254B">
        <w:rPr>
          <w:rFonts w:ascii="Times New Roman" w:eastAsia="Times New Roman" w:hAnsi="Times New Roman" w:cs="Times New Roman"/>
          <w:i/>
          <w:iCs/>
          <w:sz w:val="18"/>
          <w:szCs w:val="18"/>
        </w:rPr>
        <w:t>NO</w:t>
      </w:r>
      <w:r w:rsidRPr="00CE46C6">
        <w:rPr>
          <w:rFonts w:ascii="Times New Roman" w:eastAsia="Times New Roman" w:hAnsi="Times New Roman" w:cs="Times New Roman"/>
          <w:i/>
          <w:iCs/>
          <w:sz w:val="18"/>
          <w:szCs w:val="18"/>
        </w:rPr>
        <w:t xml:space="preserve">S </w:t>
      </w:r>
      <w:r w:rsidRPr="00CE46C6">
        <w:rPr>
          <w:rFonts w:ascii="Times New Roman" w:eastAsia="Times New Roman" w:hAnsi="Times New Roman" w:cs="Times New Roman"/>
          <w:iCs/>
          <w:sz w:val="18"/>
          <w:szCs w:val="18"/>
        </w:rPr>
        <w:t xml:space="preserve">Not otherwise specified </w:t>
      </w:r>
    </w:p>
    <w:p w:rsidR="00522F27" w:rsidRPr="00CE46C6" w:rsidRDefault="00522F27" w:rsidP="00522F27">
      <w:pPr>
        <w:spacing w:after="0" w:line="240" w:lineRule="auto"/>
        <w:rPr>
          <w:rFonts w:ascii="Times New Roman" w:hAnsi="Times New Roman" w:cs="Times New Roman"/>
          <w:sz w:val="18"/>
          <w:szCs w:val="18"/>
        </w:rPr>
      </w:pPr>
    </w:p>
    <w:p w:rsidR="00522F27" w:rsidRPr="00CE46C6" w:rsidRDefault="00522F27" w:rsidP="00522F27">
      <w:pPr>
        <w:spacing w:after="0" w:line="240" w:lineRule="auto"/>
        <w:rPr>
          <w:rFonts w:ascii="Times New Roman" w:hAnsi="Times New Roman" w:cs="Times New Roman"/>
          <w:sz w:val="18"/>
          <w:szCs w:val="18"/>
        </w:rPr>
      </w:pPr>
      <w:r w:rsidRPr="00CE46C6">
        <w:rPr>
          <w:rFonts w:ascii="Times New Roman" w:hAnsi="Times New Roman" w:cs="Times New Roman"/>
          <w:b/>
          <w:sz w:val="18"/>
          <w:szCs w:val="18"/>
        </w:rPr>
        <w:t>Notes:</w:t>
      </w:r>
      <w:r w:rsidRPr="00CE46C6">
        <w:rPr>
          <w:rFonts w:ascii="Times New Roman" w:hAnsi="Times New Roman" w:cs="Times New Roman"/>
          <w:sz w:val="18"/>
          <w:szCs w:val="18"/>
        </w:rPr>
        <w:t xml:space="preserve"> MPR was calculated as the fraction of days with an available index drug supply out of the total number of days during the measurement period (from index date until the earliest of index drug discontinuation date, end of continuous eligibility, or one year after the index date).</w:t>
      </w:r>
    </w:p>
    <w:p w:rsidR="00522F27" w:rsidRDefault="00522F27" w:rsidP="00522F27">
      <w:pPr>
        <w:spacing w:after="0" w:line="240" w:lineRule="auto"/>
        <w:rPr>
          <w:rFonts w:ascii="Times New Roman" w:hAnsi="Times New Roman" w:cs="Times New Roman"/>
          <w:sz w:val="18"/>
          <w:szCs w:val="18"/>
        </w:rPr>
      </w:pPr>
    </w:p>
    <w:p w:rsidR="00522F27" w:rsidRDefault="00522F27" w:rsidP="00522F27">
      <w:pPr>
        <w:rPr>
          <w:rFonts w:ascii="Times New Roman" w:hAnsi="Times New Roman" w:cs="Times New Roman"/>
          <w:sz w:val="18"/>
          <w:szCs w:val="18"/>
        </w:rPr>
      </w:pPr>
      <w:r>
        <w:rPr>
          <w:rFonts w:ascii="Times New Roman" w:hAnsi="Times New Roman" w:cs="Times New Roman"/>
          <w:sz w:val="18"/>
          <w:szCs w:val="18"/>
        </w:rPr>
        <w:br w:type="page"/>
      </w:r>
    </w:p>
    <w:p w:rsidR="00522F27" w:rsidRDefault="00522F27" w:rsidP="00522F27">
      <w:pPr>
        <w:spacing w:after="0" w:line="240" w:lineRule="auto"/>
        <w:rPr>
          <w:rFonts w:ascii="Times New Roman" w:hAnsi="Times New Roman" w:cs="Times New Roman"/>
          <w:szCs w:val="18"/>
        </w:rPr>
      </w:pPr>
      <w:r>
        <w:rPr>
          <w:rFonts w:ascii="Times New Roman" w:hAnsi="Times New Roman" w:cs="Times New Roman"/>
          <w:b/>
          <w:szCs w:val="18"/>
        </w:rPr>
        <w:t xml:space="preserve">Table </w:t>
      </w:r>
      <w:r w:rsidR="00CD76FF">
        <w:rPr>
          <w:rFonts w:ascii="Times New Roman" w:hAnsi="Times New Roman" w:cs="Times New Roman"/>
          <w:b/>
          <w:szCs w:val="18"/>
        </w:rPr>
        <w:t>S</w:t>
      </w:r>
      <w:r w:rsidR="00631FD4">
        <w:rPr>
          <w:rFonts w:ascii="Times New Roman" w:hAnsi="Times New Roman" w:cs="Times New Roman"/>
          <w:b/>
          <w:szCs w:val="18"/>
        </w:rPr>
        <w:t>8</w:t>
      </w:r>
      <w:r>
        <w:rPr>
          <w:rFonts w:ascii="Times New Roman" w:hAnsi="Times New Roman" w:cs="Times New Roman"/>
          <w:b/>
          <w:szCs w:val="18"/>
        </w:rPr>
        <w:t>. Multivariable logistic regression of adherence measured by PDC ≥80%</w:t>
      </w:r>
    </w:p>
    <w:p w:rsidR="00522F27" w:rsidRDefault="00522F27" w:rsidP="00522F27">
      <w:pPr>
        <w:spacing w:after="0" w:line="240" w:lineRule="auto"/>
        <w:rPr>
          <w:rFonts w:ascii="Times New Roman" w:hAnsi="Times New Roman" w:cs="Times New Roman"/>
          <w:sz w:val="18"/>
          <w:szCs w:val="18"/>
        </w:rPr>
      </w:pPr>
    </w:p>
    <w:tbl>
      <w:tblPr>
        <w:tblW w:w="4890" w:type="pct"/>
        <w:tblLayout w:type="fixed"/>
        <w:tblCellMar>
          <w:left w:w="0" w:type="dxa"/>
          <w:right w:w="0" w:type="dxa"/>
        </w:tblCellMar>
        <w:tblLook w:val="04A0" w:firstRow="1" w:lastRow="0" w:firstColumn="1" w:lastColumn="0" w:noHBand="0" w:noVBand="1"/>
      </w:tblPr>
      <w:tblGrid>
        <w:gridCol w:w="5941"/>
        <w:gridCol w:w="1225"/>
        <w:gridCol w:w="1078"/>
        <w:gridCol w:w="630"/>
        <w:gridCol w:w="280"/>
      </w:tblGrid>
      <w:tr w:rsidR="00522F27" w:rsidRPr="00E77F71" w:rsidTr="00CD76FF">
        <w:trPr>
          <w:trHeight w:val="315"/>
        </w:trPr>
        <w:tc>
          <w:tcPr>
            <w:tcW w:w="3244" w:type="pct"/>
            <w:tcBorders>
              <w:top w:val="single" w:sz="4" w:space="0" w:color="auto"/>
              <w:left w:val="nil"/>
              <w:bottom w:val="double" w:sz="6" w:space="0" w:color="auto"/>
              <w:right w:val="nil"/>
            </w:tcBorders>
            <w:shd w:val="clear" w:color="auto" w:fill="auto"/>
            <w:noWrap/>
            <w:vAlign w:val="bottom"/>
            <w:hideMark/>
          </w:tcPr>
          <w:p w:rsidR="00522F27" w:rsidRPr="00E77F71" w:rsidRDefault="00522F27" w:rsidP="00CD76FF">
            <w:pPr>
              <w:spacing w:after="0" w:line="240" w:lineRule="auto"/>
              <w:rPr>
                <w:rFonts w:ascii="Times New Roman" w:eastAsia="Times New Roman" w:hAnsi="Times New Roman" w:cs="Times New Roman"/>
                <w:sz w:val="18"/>
              </w:rPr>
            </w:pPr>
            <w:r w:rsidRPr="00E77F71">
              <w:rPr>
                <w:rFonts w:ascii="Times New Roman" w:eastAsia="Times New Roman" w:hAnsi="Times New Roman" w:cs="Times New Roman"/>
                <w:sz w:val="18"/>
              </w:rPr>
              <w:t> </w:t>
            </w:r>
          </w:p>
        </w:tc>
        <w:tc>
          <w:tcPr>
            <w:tcW w:w="669" w:type="pct"/>
            <w:tcBorders>
              <w:top w:val="single" w:sz="4" w:space="0" w:color="auto"/>
              <w:left w:val="nil"/>
              <w:bottom w:val="double" w:sz="6" w:space="0" w:color="auto"/>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b/>
                <w:bCs/>
                <w:color w:val="000000"/>
                <w:sz w:val="18"/>
              </w:rPr>
            </w:pPr>
            <w:r w:rsidRPr="00E77F71">
              <w:rPr>
                <w:rFonts w:ascii="Times New Roman" w:eastAsia="Times New Roman" w:hAnsi="Times New Roman" w:cs="Times New Roman"/>
                <w:b/>
                <w:bCs/>
                <w:color w:val="000000"/>
                <w:sz w:val="18"/>
              </w:rPr>
              <w:t>Odds Ratio</w:t>
            </w:r>
          </w:p>
        </w:tc>
        <w:tc>
          <w:tcPr>
            <w:tcW w:w="589" w:type="pct"/>
            <w:tcBorders>
              <w:top w:val="single" w:sz="4" w:space="0" w:color="auto"/>
              <w:left w:val="nil"/>
              <w:bottom w:val="double" w:sz="6" w:space="0" w:color="auto"/>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b/>
                <w:bCs/>
                <w:color w:val="000000"/>
                <w:sz w:val="18"/>
              </w:rPr>
            </w:pPr>
            <w:r w:rsidRPr="00E77F71">
              <w:rPr>
                <w:rFonts w:ascii="Times New Roman" w:eastAsia="Times New Roman" w:hAnsi="Times New Roman" w:cs="Times New Roman"/>
                <w:b/>
                <w:bCs/>
                <w:color w:val="000000"/>
                <w:sz w:val="18"/>
              </w:rPr>
              <w:t>95% CI</w:t>
            </w:r>
          </w:p>
        </w:tc>
        <w:tc>
          <w:tcPr>
            <w:tcW w:w="497" w:type="pct"/>
            <w:gridSpan w:val="2"/>
            <w:tcBorders>
              <w:top w:val="single" w:sz="4" w:space="0" w:color="auto"/>
              <w:left w:val="nil"/>
              <w:bottom w:val="double" w:sz="6" w:space="0" w:color="auto"/>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b/>
                <w:bCs/>
                <w:color w:val="000000"/>
                <w:sz w:val="18"/>
              </w:rPr>
            </w:pPr>
            <w:r w:rsidRPr="00E77F71">
              <w:rPr>
                <w:rFonts w:ascii="Times New Roman" w:eastAsia="Times New Roman" w:hAnsi="Times New Roman" w:cs="Times New Roman"/>
                <w:b/>
                <w:bCs/>
                <w:color w:val="000000"/>
                <w:sz w:val="18"/>
              </w:rPr>
              <w:t>P-value</w:t>
            </w:r>
          </w:p>
        </w:tc>
      </w:tr>
      <w:tr w:rsidR="00522F27" w:rsidRPr="00E77F71" w:rsidTr="00CD76FF">
        <w:trPr>
          <w:trHeight w:val="6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b/>
                <w:bCs/>
                <w:color w:val="000000"/>
                <w:sz w:val="18"/>
              </w:rPr>
            </w:pP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rPr>
                <w:rFonts w:ascii="Times New Roman" w:eastAsia="Times New Roman" w:hAnsi="Times New Roman" w:cs="Times New Roman"/>
                <w:sz w:val="18"/>
                <w:szCs w:val="20"/>
              </w:rPr>
            </w:pP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rPr>
                <w:rFonts w:ascii="Times New Roman" w:eastAsia="Times New Roman" w:hAnsi="Times New Roman" w:cs="Times New Roman"/>
                <w:sz w:val="18"/>
                <w:szCs w:val="20"/>
              </w:rPr>
            </w:pP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rPr>
                <w:rFonts w:ascii="Times New Roman" w:eastAsia="Times New Roman" w:hAnsi="Times New Roman" w:cs="Times New Roman"/>
                <w:sz w:val="18"/>
                <w:szCs w:val="20"/>
              </w:rPr>
            </w:pP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rPr>
                <w:rFonts w:ascii="Times New Roman" w:eastAsia="Times New Roman" w:hAnsi="Times New Roman" w:cs="Times New Roman"/>
                <w:sz w:val="18"/>
                <w:szCs w:val="20"/>
              </w:rPr>
            </w:pPr>
          </w:p>
        </w:tc>
      </w:tr>
      <w:tr w:rsidR="00522F27" w:rsidRPr="00E77F71" w:rsidTr="00CD76FF">
        <w:trPr>
          <w:trHeight w:val="360"/>
        </w:trPr>
        <w:tc>
          <w:tcPr>
            <w:tcW w:w="3244" w:type="pct"/>
            <w:tcBorders>
              <w:top w:val="nil"/>
              <w:left w:val="nil"/>
              <w:bottom w:val="nil"/>
              <w:right w:val="nil"/>
            </w:tcBorders>
            <w:shd w:val="clear" w:color="auto" w:fill="auto"/>
            <w:vAlign w:val="center"/>
          </w:tcPr>
          <w:p w:rsidR="00522F27" w:rsidRPr="00E77F71" w:rsidRDefault="00522F27" w:rsidP="00CD76FF">
            <w:pPr>
              <w:spacing w:after="0" w:line="240" w:lineRule="auto"/>
              <w:rPr>
                <w:rFonts w:ascii="Times New Roman" w:eastAsia="Times New Roman" w:hAnsi="Times New Roman" w:cs="Times New Roman"/>
                <w:b/>
                <w:bCs/>
                <w:sz w:val="18"/>
              </w:rPr>
            </w:pPr>
            <w:r w:rsidRPr="00E77F71">
              <w:rPr>
                <w:rFonts w:ascii="Times New Roman" w:eastAsia="Times New Roman" w:hAnsi="Times New Roman" w:cs="Times New Roman"/>
                <w:b/>
                <w:bCs/>
                <w:sz w:val="18"/>
              </w:rPr>
              <w:t xml:space="preserve">Estimated effect of fingolimod (vs. teriflunomide) on PDC ≥80%, </w:t>
            </w:r>
            <w:r>
              <w:rPr>
                <w:rFonts w:ascii="Times New Roman" w:eastAsia="Times New Roman" w:hAnsi="Times New Roman" w:cs="Times New Roman"/>
                <w:b/>
                <w:bCs/>
                <w:sz w:val="18"/>
              </w:rPr>
              <w:t>un</w:t>
            </w:r>
            <w:r w:rsidRPr="00E77F71">
              <w:rPr>
                <w:rFonts w:ascii="Times New Roman" w:eastAsia="Times New Roman" w:hAnsi="Times New Roman" w:cs="Times New Roman"/>
                <w:b/>
                <w:bCs/>
                <w:sz w:val="18"/>
              </w:rPr>
              <w:t>adjusted</w:t>
            </w:r>
          </w:p>
        </w:tc>
        <w:tc>
          <w:tcPr>
            <w:tcW w:w="669" w:type="pct"/>
            <w:tcBorders>
              <w:top w:val="nil"/>
              <w:left w:val="nil"/>
              <w:bottom w:val="nil"/>
              <w:right w:val="nil"/>
            </w:tcBorders>
            <w:shd w:val="clear" w:color="auto" w:fill="auto"/>
            <w:noWrap/>
            <w:vAlign w:val="center"/>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2.25</w:t>
            </w:r>
          </w:p>
        </w:tc>
        <w:tc>
          <w:tcPr>
            <w:tcW w:w="589" w:type="pct"/>
            <w:tcBorders>
              <w:top w:val="nil"/>
              <w:left w:val="nil"/>
              <w:bottom w:val="nil"/>
              <w:right w:val="nil"/>
            </w:tcBorders>
            <w:shd w:val="clear" w:color="auto" w:fill="auto"/>
            <w:noWrap/>
            <w:vAlign w:val="center"/>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(1.93, 2.61)</w:t>
            </w:r>
          </w:p>
        </w:tc>
        <w:tc>
          <w:tcPr>
            <w:tcW w:w="344" w:type="pct"/>
            <w:tcBorders>
              <w:top w:val="nil"/>
              <w:left w:val="nil"/>
              <w:bottom w:val="nil"/>
              <w:right w:val="nil"/>
            </w:tcBorders>
            <w:shd w:val="clear" w:color="auto" w:fill="auto"/>
            <w:noWrap/>
            <w:vAlign w:val="center"/>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&lt;0.001</w:t>
            </w:r>
          </w:p>
        </w:tc>
        <w:tc>
          <w:tcPr>
            <w:tcW w:w="153" w:type="pct"/>
            <w:tcBorders>
              <w:top w:val="nil"/>
              <w:left w:val="nil"/>
              <w:bottom w:val="nil"/>
              <w:right w:val="nil"/>
            </w:tcBorders>
            <w:shd w:val="clear" w:color="auto" w:fill="auto"/>
            <w:noWrap/>
            <w:vAlign w:val="center"/>
          </w:tcPr>
          <w:p w:rsidR="00522F27" w:rsidRPr="00E77F71" w:rsidRDefault="00522F27" w:rsidP="00CD76FF">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w:t>
            </w:r>
          </w:p>
        </w:tc>
      </w:tr>
      <w:tr w:rsidR="00522F27" w:rsidRPr="00E77F71" w:rsidTr="00CD76FF">
        <w:trPr>
          <w:trHeight w:val="189"/>
        </w:trPr>
        <w:tc>
          <w:tcPr>
            <w:tcW w:w="3244" w:type="pct"/>
            <w:tcBorders>
              <w:top w:val="nil"/>
              <w:left w:val="nil"/>
              <w:bottom w:val="nil"/>
              <w:right w:val="nil"/>
            </w:tcBorders>
            <w:shd w:val="clear" w:color="auto" w:fill="auto"/>
            <w:vAlign w:val="bottom"/>
            <w:hideMark/>
          </w:tcPr>
          <w:p w:rsidR="00522F27" w:rsidRPr="00E77F71" w:rsidRDefault="00522F27" w:rsidP="00CD76FF">
            <w:pPr>
              <w:spacing w:after="0" w:line="240" w:lineRule="auto"/>
              <w:rPr>
                <w:rFonts w:ascii="Times New Roman" w:eastAsia="Times New Roman" w:hAnsi="Times New Roman" w:cs="Times New Roman"/>
                <w:b/>
                <w:bCs/>
                <w:sz w:val="18"/>
              </w:rPr>
            </w:pPr>
            <w:r w:rsidRPr="00E77F71">
              <w:rPr>
                <w:rFonts w:ascii="Times New Roman" w:eastAsia="Times New Roman" w:hAnsi="Times New Roman" w:cs="Times New Roman"/>
                <w:b/>
                <w:bCs/>
                <w:sz w:val="18"/>
              </w:rPr>
              <w:t>Estimated effect of fingolimod (vs. teriflunomide) on PDC ≥80%, adjusted</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2.33</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(1.98, 2.74)</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&lt;0.001</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w:t>
            </w: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100" w:firstLine="180"/>
              <w:rPr>
                <w:rFonts w:ascii="Times New Roman" w:eastAsia="Times New Roman" w:hAnsi="Times New Roman" w:cs="Times New Roman"/>
                <w:sz w:val="18"/>
              </w:rPr>
            </w:pPr>
            <w:r w:rsidRPr="00E77F71">
              <w:rPr>
                <w:rFonts w:ascii="Times New Roman" w:eastAsia="Times New Roman" w:hAnsi="Times New Roman" w:cs="Times New Roman"/>
                <w:sz w:val="18"/>
              </w:rPr>
              <w:t>Age (years)</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1.01</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(1.00, 1.02)</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0.005</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w:t>
            </w: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100" w:firstLine="180"/>
              <w:rPr>
                <w:rFonts w:ascii="Times New Roman" w:eastAsia="Times New Roman" w:hAnsi="Times New Roman" w:cs="Times New Roman"/>
                <w:sz w:val="18"/>
              </w:rPr>
            </w:pPr>
            <w:r w:rsidRPr="00E77F71">
              <w:rPr>
                <w:rFonts w:ascii="Times New Roman" w:eastAsia="Times New Roman" w:hAnsi="Times New Roman" w:cs="Times New Roman"/>
                <w:sz w:val="18"/>
              </w:rPr>
              <w:t>Female</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0.82</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(0.68, 0.98)</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0.032</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w:t>
            </w: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100" w:firstLine="180"/>
              <w:rPr>
                <w:rFonts w:ascii="Times New Roman" w:eastAsia="Times New Roman" w:hAnsi="Times New Roman" w:cs="Times New Roman"/>
                <w:sz w:val="18"/>
              </w:rPr>
            </w:pPr>
            <w:r>
              <w:rPr>
                <w:rFonts w:ascii="Times New Roman" w:eastAsia="Times New Roman" w:hAnsi="Times New Roman" w:cs="Times New Roman"/>
                <w:sz w:val="18"/>
              </w:rPr>
              <w:t>Census</w:t>
            </w:r>
            <w:r w:rsidRPr="00E77F71">
              <w:rPr>
                <w:rFonts w:ascii="Times New Roman" w:eastAsia="Times New Roman" w:hAnsi="Times New Roman" w:cs="Times New Roman"/>
                <w:sz w:val="18"/>
              </w:rPr>
              <w:t xml:space="preserve"> region (vs. South)</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100" w:firstLine="180"/>
              <w:rPr>
                <w:rFonts w:ascii="Times New Roman" w:eastAsia="Times New Roman" w:hAnsi="Times New Roman" w:cs="Times New Roman"/>
                <w:sz w:val="18"/>
              </w:rPr>
            </w:pP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sz w:val="18"/>
                <w:szCs w:val="20"/>
              </w:rPr>
            </w:pP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sz w:val="18"/>
                <w:szCs w:val="20"/>
              </w:rPr>
            </w:pP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sz w:val="18"/>
                <w:szCs w:val="20"/>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200" w:firstLine="360"/>
              <w:rPr>
                <w:rFonts w:ascii="Times New Roman" w:eastAsia="Times New Roman" w:hAnsi="Times New Roman" w:cs="Times New Roman"/>
                <w:sz w:val="18"/>
              </w:rPr>
            </w:pPr>
            <w:r w:rsidRPr="00E77F71">
              <w:rPr>
                <w:rFonts w:ascii="Times New Roman" w:eastAsia="Times New Roman" w:hAnsi="Times New Roman" w:cs="Times New Roman"/>
                <w:sz w:val="18"/>
              </w:rPr>
              <w:t>Northeast</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0.90</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(0.73, 1.11)</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0.347</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200" w:firstLine="360"/>
              <w:rPr>
                <w:rFonts w:ascii="Times New Roman" w:eastAsia="Times New Roman" w:hAnsi="Times New Roman" w:cs="Times New Roman"/>
                <w:sz w:val="18"/>
              </w:rPr>
            </w:pPr>
            <w:r w:rsidRPr="00E77F71">
              <w:rPr>
                <w:rFonts w:ascii="Times New Roman" w:eastAsia="Times New Roman" w:hAnsi="Times New Roman" w:cs="Times New Roman"/>
                <w:sz w:val="18"/>
              </w:rPr>
              <w:t>North central</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0.97</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(0.80, 1.18)</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0.777</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200" w:firstLine="360"/>
              <w:rPr>
                <w:rFonts w:ascii="Times New Roman" w:eastAsia="Times New Roman" w:hAnsi="Times New Roman" w:cs="Times New Roman"/>
                <w:sz w:val="18"/>
              </w:rPr>
            </w:pPr>
            <w:r w:rsidRPr="00E77F71">
              <w:rPr>
                <w:rFonts w:ascii="Times New Roman" w:eastAsia="Times New Roman" w:hAnsi="Times New Roman" w:cs="Times New Roman"/>
                <w:sz w:val="18"/>
              </w:rPr>
              <w:t>Other (i.e., West or unknown)</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0.86</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(0.68, 1.08)</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0.187</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100" w:firstLine="180"/>
              <w:rPr>
                <w:rFonts w:ascii="Times New Roman" w:eastAsia="Times New Roman" w:hAnsi="Times New Roman" w:cs="Times New Roman"/>
                <w:sz w:val="18"/>
              </w:rPr>
            </w:pPr>
            <w:r w:rsidRPr="0019758F">
              <w:rPr>
                <w:rFonts w:ascii="Times New Roman" w:eastAsia="Times New Roman" w:hAnsi="Times New Roman" w:cs="Times New Roman"/>
                <w:sz w:val="18"/>
              </w:rPr>
              <w:t>Insurance type (vs. preferred provider organization)</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100" w:firstLine="180"/>
              <w:rPr>
                <w:rFonts w:ascii="Times New Roman" w:eastAsia="Times New Roman" w:hAnsi="Times New Roman" w:cs="Times New Roman"/>
                <w:sz w:val="18"/>
              </w:rPr>
            </w:pP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sz w:val="18"/>
                <w:szCs w:val="20"/>
              </w:rPr>
            </w:pP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sz w:val="18"/>
                <w:szCs w:val="20"/>
              </w:rPr>
            </w:pP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sz w:val="18"/>
                <w:szCs w:val="20"/>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200" w:firstLine="360"/>
              <w:rPr>
                <w:rFonts w:ascii="Times New Roman" w:eastAsia="Times New Roman" w:hAnsi="Times New Roman" w:cs="Times New Roman"/>
                <w:sz w:val="18"/>
              </w:rPr>
            </w:pPr>
            <w:r w:rsidRPr="00E77F71">
              <w:rPr>
                <w:rFonts w:ascii="Times New Roman" w:eastAsia="Times New Roman" w:hAnsi="Times New Roman" w:cs="Times New Roman"/>
                <w:sz w:val="18"/>
              </w:rPr>
              <w:t>Health maintenance organization (HMO)</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0.90</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(0.71, 1.15)</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0.417</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200" w:firstLine="360"/>
              <w:rPr>
                <w:rFonts w:ascii="Times New Roman" w:eastAsia="Times New Roman" w:hAnsi="Times New Roman" w:cs="Times New Roman"/>
                <w:sz w:val="18"/>
              </w:rPr>
            </w:pPr>
            <w:r w:rsidRPr="00E77F71">
              <w:rPr>
                <w:rFonts w:ascii="Times New Roman" w:eastAsia="Times New Roman" w:hAnsi="Times New Roman" w:cs="Times New Roman"/>
                <w:sz w:val="18"/>
              </w:rPr>
              <w:t>Other</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0.94</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(0.78, 1.12)</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0.471</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100" w:firstLine="180"/>
              <w:rPr>
                <w:rFonts w:ascii="Times New Roman" w:eastAsia="Times New Roman" w:hAnsi="Times New Roman" w:cs="Times New Roman"/>
                <w:sz w:val="18"/>
              </w:rPr>
            </w:pPr>
            <w:r w:rsidRPr="00E77F71">
              <w:rPr>
                <w:rFonts w:ascii="Times New Roman" w:eastAsia="Times New Roman" w:hAnsi="Times New Roman" w:cs="Times New Roman"/>
                <w:sz w:val="18"/>
              </w:rPr>
              <w:t>Index year (vs. 2012)</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100" w:firstLine="180"/>
              <w:rPr>
                <w:rFonts w:ascii="Times New Roman" w:eastAsia="Times New Roman" w:hAnsi="Times New Roman" w:cs="Times New Roman"/>
                <w:sz w:val="18"/>
              </w:rPr>
            </w:pP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sz w:val="18"/>
                <w:szCs w:val="20"/>
              </w:rPr>
            </w:pP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sz w:val="18"/>
                <w:szCs w:val="20"/>
              </w:rPr>
            </w:pP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sz w:val="18"/>
                <w:szCs w:val="20"/>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200" w:firstLine="360"/>
              <w:rPr>
                <w:rFonts w:ascii="Times New Roman" w:eastAsia="Times New Roman" w:hAnsi="Times New Roman" w:cs="Times New Roman"/>
                <w:sz w:val="18"/>
              </w:rPr>
            </w:pPr>
            <w:r w:rsidRPr="00E77F71">
              <w:rPr>
                <w:rFonts w:ascii="Times New Roman" w:eastAsia="Times New Roman" w:hAnsi="Times New Roman" w:cs="Times New Roman"/>
                <w:sz w:val="18"/>
              </w:rPr>
              <w:t>2013</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0.87</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(0.66, 1.14)</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0.301</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200" w:firstLine="360"/>
              <w:rPr>
                <w:rFonts w:ascii="Times New Roman" w:eastAsia="Times New Roman" w:hAnsi="Times New Roman" w:cs="Times New Roman"/>
                <w:sz w:val="18"/>
              </w:rPr>
            </w:pPr>
            <w:r w:rsidRPr="00E77F71">
              <w:rPr>
                <w:rFonts w:ascii="Times New Roman" w:eastAsia="Times New Roman" w:hAnsi="Times New Roman" w:cs="Times New Roman"/>
                <w:sz w:val="18"/>
              </w:rPr>
              <w:t>2014</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0.99</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(0.75, 1.31)</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0.934</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200" w:firstLine="360"/>
              <w:rPr>
                <w:rFonts w:ascii="Times New Roman" w:eastAsia="Times New Roman" w:hAnsi="Times New Roman" w:cs="Times New Roman"/>
                <w:sz w:val="18"/>
              </w:rPr>
            </w:pPr>
            <w:r w:rsidRPr="00E77F71">
              <w:rPr>
                <w:rFonts w:ascii="Times New Roman" w:eastAsia="Times New Roman" w:hAnsi="Times New Roman" w:cs="Times New Roman"/>
                <w:sz w:val="18"/>
              </w:rPr>
              <w:t>2015</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0.91</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(0.67, 1.23)</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0.532</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100" w:firstLine="180"/>
              <w:rPr>
                <w:rFonts w:ascii="Times New Roman" w:eastAsia="Times New Roman" w:hAnsi="Times New Roman" w:cs="Times New Roman"/>
                <w:sz w:val="18"/>
              </w:rPr>
            </w:pPr>
            <w:r>
              <w:rPr>
                <w:rFonts w:ascii="Times New Roman" w:eastAsia="Times New Roman" w:hAnsi="Times New Roman" w:cs="Times New Roman"/>
                <w:sz w:val="18"/>
              </w:rPr>
              <w:t>Symptoms during</w:t>
            </w:r>
            <w:r w:rsidRPr="00E77F71">
              <w:rPr>
                <w:rFonts w:ascii="Times New Roman" w:eastAsia="Times New Roman" w:hAnsi="Times New Roman" w:cs="Times New Roman"/>
                <w:sz w:val="18"/>
              </w:rPr>
              <w:t xml:space="preserve"> 1-year baseline period</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100" w:firstLine="180"/>
              <w:rPr>
                <w:rFonts w:ascii="Times New Roman" w:eastAsia="Times New Roman" w:hAnsi="Times New Roman" w:cs="Times New Roman"/>
                <w:sz w:val="18"/>
              </w:rPr>
            </w:pP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sz w:val="18"/>
                <w:szCs w:val="20"/>
              </w:rPr>
            </w:pP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sz w:val="18"/>
                <w:szCs w:val="20"/>
              </w:rPr>
            </w:pP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sz w:val="18"/>
                <w:szCs w:val="20"/>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200" w:firstLine="360"/>
              <w:rPr>
                <w:rFonts w:ascii="Times New Roman" w:eastAsia="Times New Roman" w:hAnsi="Times New Roman" w:cs="Times New Roman"/>
                <w:sz w:val="18"/>
              </w:rPr>
            </w:pPr>
            <w:r w:rsidRPr="00E77F71">
              <w:rPr>
                <w:rFonts w:ascii="Times New Roman" w:eastAsia="Times New Roman" w:hAnsi="Times New Roman" w:cs="Times New Roman"/>
                <w:sz w:val="18"/>
              </w:rPr>
              <w:t>Demyelinating disease of CNS, unspecified</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1.14</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(0.87, 1.50)</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0.353</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200" w:firstLine="360"/>
              <w:rPr>
                <w:rFonts w:ascii="Times New Roman" w:eastAsia="Times New Roman" w:hAnsi="Times New Roman" w:cs="Times New Roman"/>
                <w:sz w:val="18"/>
              </w:rPr>
            </w:pPr>
            <w:r w:rsidRPr="00E77F71">
              <w:rPr>
                <w:rFonts w:ascii="Times New Roman" w:eastAsia="Times New Roman" w:hAnsi="Times New Roman" w:cs="Times New Roman"/>
                <w:sz w:val="18"/>
              </w:rPr>
              <w:t>Disorders of optic nerve and visual pathways</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1.13</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(0.92, 1.39)</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0.244</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200" w:firstLine="360"/>
              <w:rPr>
                <w:rFonts w:ascii="Times New Roman" w:eastAsia="Times New Roman" w:hAnsi="Times New Roman" w:cs="Times New Roman"/>
                <w:sz w:val="18"/>
              </w:rPr>
            </w:pPr>
            <w:r w:rsidRPr="00E77F71">
              <w:rPr>
                <w:rFonts w:ascii="Times New Roman" w:eastAsia="Times New Roman" w:hAnsi="Times New Roman" w:cs="Times New Roman"/>
                <w:sz w:val="18"/>
              </w:rPr>
              <w:t>General symptoms: dizziness and giddiness</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0.94</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(0.73, 1.23)</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0.669</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200" w:firstLine="360"/>
              <w:rPr>
                <w:rFonts w:ascii="Times New Roman" w:eastAsia="Times New Roman" w:hAnsi="Times New Roman" w:cs="Times New Roman"/>
                <w:sz w:val="18"/>
              </w:rPr>
            </w:pPr>
            <w:r w:rsidRPr="00E77F71">
              <w:rPr>
                <w:rFonts w:ascii="Times New Roman" w:eastAsia="Times New Roman" w:hAnsi="Times New Roman" w:cs="Times New Roman"/>
                <w:sz w:val="18"/>
              </w:rPr>
              <w:t>General symptoms: fatigue/malaise</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0.89</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(0.75, 1.06)</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0.196</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200" w:firstLine="360"/>
              <w:rPr>
                <w:rFonts w:ascii="Times New Roman" w:eastAsia="Times New Roman" w:hAnsi="Times New Roman" w:cs="Times New Roman"/>
                <w:sz w:val="18"/>
              </w:rPr>
            </w:pPr>
            <w:r w:rsidRPr="00E77F71">
              <w:rPr>
                <w:rFonts w:ascii="Times New Roman" w:eastAsia="Times New Roman" w:hAnsi="Times New Roman" w:cs="Times New Roman"/>
                <w:sz w:val="18"/>
              </w:rPr>
              <w:t>Neurogenic bladder NOS</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0.90</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(0.66, 1.22)</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0.494</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200" w:firstLine="360"/>
              <w:rPr>
                <w:rFonts w:ascii="Times New Roman" w:eastAsia="Times New Roman" w:hAnsi="Times New Roman" w:cs="Times New Roman"/>
                <w:sz w:val="18"/>
              </w:rPr>
            </w:pPr>
            <w:r w:rsidRPr="00E77F71">
              <w:rPr>
                <w:rFonts w:ascii="Times New Roman" w:eastAsia="Times New Roman" w:hAnsi="Times New Roman" w:cs="Times New Roman"/>
                <w:sz w:val="18"/>
              </w:rPr>
              <w:t>Other causes of myelitis</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1.99</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(0.77, 5.10)</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0.153</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p>
        </w:tc>
      </w:tr>
      <w:tr w:rsidR="00522F27" w:rsidRPr="00E77F71" w:rsidTr="00CD76FF">
        <w:trPr>
          <w:trHeight w:val="252"/>
        </w:trPr>
        <w:tc>
          <w:tcPr>
            <w:tcW w:w="3244" w:type="pct"/>
            <w:tcBorders>
              <w:top w:val="nil"/>
              <w:left w:val="nil"/>
              <w:bottom w:val="nil"/>
              <w:right w:val="nil"/>
            </w:tcBorders>
            <w:shd w:val="clear" w:color="auto" w:fill="auto"/>
            <w:vAlign w:val="bottom"/>
            <w:hideMark/>
          </w:tcPr>
          <w:p w:rsidR="00522F27" w:rsidRPr="00E77F71" w:rsidRDefault="00522F27" w:rsidP="00CD76FF">
            <w:pPr>
              <w:spacing w:after="0" w:line="240" w:lineRule="auto"/>
              <w:ind w:firstLineChars="200" w:firstLine="360"/>
              <w:rPr>
                <w:rFonts w:ascii="Times New Roman" w:eastAsia="Times New Roman" w:hAnsi="Times New Roman" w:cs="Times New Roman"/>
                <w:sz w:val="18"/>
              </w:rPr>
            </w:pPr>
            <w:r w:rsidRPr="00E77F71">
              <w:rPr>
                <w:rFonts w:ascii="Times New Roman" w:eastAsia="Times New Roman" w:hAnsi="Times New Roman" w:cs="Times New Roman"/>
                <w:sz w:val="18"/>
              </w:rPr>
              <w:t>Other disorders of soft tissues: neuralgia, neuritis, and radiculitis, unspecified</w:t>
            </w:r>
          </w:p>
        </w:tc>
        <w:tc>
          <w:tcPr>
            <w:tcW w:w="669" w:type="pct"/>
            <w:tcBorders>
              <w:top w:val="nil"/>
              <w:left w:val="nil"/>
              <w:bottom w:val="nil"/>
              <w:right w:val="nil"/>
            </w:tcBorders>
            <w:shd w:val="clear" w:color="auto" w:fill="auto"/>
            <w:noWrap/>
            <w:vAlign w:val="center"/>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0.94</w:t>
            </w:r>
          </w:p>
        </w:tc>
        <w:tc>
          <w:tcPr>
            <w:tcW w:w="589" w:type="pct"/>
            <w:tcBorders>
              <w:top w:val="nil"/>
              <w:left w:val="nil"/>
              <w:bottom w:val="nil"/>
              <w:right w:val="nil"/>
            </w:tcBorders>
            <w:shd w:val="clear" w:color="auto" w:fill="auto"/>
            <w:noWrap/>
            <w:vAlign w:val="center"/>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(0.60, 1.46)</w:t>
            </w:r>
          </w:p>
        </w:tc>
        <w:tc>
          <w:tcPr>
            <w:tcW w:w="344" w:type="pct"/>
            <w:tcBorders>
              <w:top w:val="nil"/>
              <w:left w:val="nil"/>
              <w:bottom w:val="nil"/>
              <w:right w:val="nil"/>
            </w:tcBorders>
            <w:shd w:val="clear" w:color="auto" w:fill="auto"/>
            <w:noWrap/>
            <w:vAlign w:val="center"/>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0.773</w:t>
            </w:r>
          </w:p>
        </w:tc>
        <w:tc>
          <w:tcPr>
            <w:tcW w:w="153" w:type="pct"/>
            <w:tcBorders>
              <w:top w:val="nil"/>
              <w:left w:val="nil"/>
              <w:bottom w:val="nil"/>
              <w:right w:val="nil"/>
            </w:tcBorders>
            <w:shd w:val="clear" w:color="auto" w:fill="auto"/>
            <w:noWrap/>
            <w:vAlign w:val="center"/>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p>
        </w:tc>
      </w:tr>
      <w:tr w:rsidR="00522F27" w:rsidRPr="00E77F71" w:rsidTr="00CD76FF">
        <w:trPr>
          <w:trHeight w:val="36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100" w:firstLine="180"/>
              <w:rPr>
                <w:rFonts w:ascii="Times New Roman" w:eastAsia="Times New Roman" w:hAnsi="Times New Roman" w:cs="Times New Roman"/>
                <w:sz w:val="18"/>
              </w:rPr>
            </w:pPr>
            <w:r w:rsidRPr="00E77F71">
              <w:rPr>
                <w:rFonts w:ascii="Times New Roman" w:eastAsia="Times New Roman" w:hAnsi="Times New Roman" w:cs="Times New Roman"/>
                <w:sz w:val="18"/>
              </w:rPr>
              <w:t>CCI</w:t>
            </w:r>
            <w:r>
              <w:rPr>
                <w:rFonts w:ascii="Times New Roman" w:eastAsia="Times New Roman" w:hAnsi="Times New Roman" w:cs="Times New Roman"/>
                <w:sz w:val="18"/>
              </w:rPr>
              <w:t xml:space="preserve"> during</w:t>
            </w:r>
            <w:r w:rsidRPr="00E77F71">
              <w:rPr>
                <w:rFonts w:ascii="Times New Roman" w:eastAsia="Times New Roman" w:hAnsi="Times New Roman" w:cs="Times New Roman"/>
                <w:sz w:val="18"/>
              </w:rPr>
              <w:t xml:space="preserve"> 1-year baseline period</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0.97</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(0.90, 1.05)</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0.455</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100" w:firstLine="180"/>
              <w:rPr>
                <w:rFonts w:ascii="Times New Roman" w:eastAsia="Times New Roman" w:hAnsi="Times New Roman" w:cs="Times New Roman"/>
                <w:sz w:val="18"/>
              </w:rPr>
            </w:pPr>
            <w:r>
              <w:rPr>
                <w:rFonts w:ascii="Times New Roman" w:eastAsia="Times New Roman" w:hAnsi="Times New Roman" w:cs="Times New Roman"/>
                <w:sz w:val="18"/>
              </w:rPr>
              <w:t>Number of relapses during</w:t>
            </w:r>
            <w:r w:rsidRPr="00E77F71">
              <w:rPr>
                <w:rFonts w:ascii="Times New Roman" w:eastAsia="Times New Roman" w:hAnsi="Times New Roman" w:cs="Times New Roman"/>
                <w:sz w:val="18"/>
              </w:rPr>
              <w:t xml:space="preserve"> 1-year baseline period</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0.84</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(0.76, 0.93)</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0.001</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w:t>
            </w:r>
          </w:p>
        </w:tc>
      </w:tr>
      <w:tr w:rsidR="00522F27" w:rsidRPr="00E77F71" w:rsidTr="00CD76FF">
        <w:trPr>
          <w:trHeight w:val="300"/>
        </w:trPr>
        <w:tc>
          <w:tcPr>
            <w:tcW w:w="32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ind w:firstLineChars="100" w:firstLine="180"/>
              <w:rPr>
                <w:rFonts w:ascii="Times New Roman" w:eastAsia="Times New Roman" w:hAnsi="Times New Roman" w:cs="Times New Roman"/>
                <w:sz w:val="18"/>
              </w:rPr>
            </w:pPr>
            <w:r w:rsidRPr="00E77F71">
              <w:rPr>
                <w:rFonts w:ascii="Times New Roman" w:eastAsia="Times New Roman" w:hAnsi="Times New Roman" w:cs="Times New Roman"/>
                <w:sz w:val="18"/>
              </w:rPr>
              <w:t xml:space="preserve">Use of </w:t>
            </w:r>
            <w:r w:rsidRPr="00E77F71">
              <w:rPr>
                <w:rFonts w:ascii="Calibri" w:eastAsia="Times New Roman" w:hAnsi="Calibri" w:cs="Calibri"/>
                <w:sz w:val="18"/>
              </w:rPr>
              <w:t>≥</w:t>
            </w:r>
            <w:r w:rsidRPr="00E77F71">
              <w:rPr>
                <w:rFonts w:ascii="Times New Roman" w:eastAsia="Times New Roman" w:hAnsi="Times New Roman" w:cs="Times New Roman"/>
                <w:sz w:val="18"/>
                <w:szCs w:val="20"/>
              </w:rPr>
              <w:t xml:space="preserve">1 </w:t>
            </w:r>
            <w:r>
              <w:rPr>
                <w:rFonts w:ascii="Times New Roman" w:eastAsia="Times New Roman" w:hAnsi="Times New Roman" w:cs="Times New Roman"/>
                <w:sz w:val="18"/>
              </w:rPr>
              <w:t>DMT during</w:t>
            </w:r>
            <w:r w:rsidRPr="00E77F71">
              <w:rPr>
                <w:rFonts w:ascii="Times New Roman" w:eastAsia="Times New Roman" w:hAnsi="Times New Roman" w:cs="Times New Roman"/>
                <w:sz w:val="18"/>
              </w:rPr>
              <w:t xml:space="preserve"> 1-year baseline period</w:t>
            </w:r>
          </w:p>
        </w:tc>
        <w:tc>
          <w:tcPr>
            <w:tcW w:w="66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1.31</w:t>
            </w:r>
          </w:p>
        </w:tc>
        <w:tc>
          <w:tcPr>
            <w:tcW w:w="589"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center"/>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(1.11, 1.53)</w:t>
            </w:r>
          </w:p>
        </w:tc>
        <w:tc>
          <w:tcPr>
            <w:tcW w:w="344"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jc w:val="right"/>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0.001</w:t>
            </w:r>
          </w:p>
        </w:tc>
        <w:tc>
          <w:tcPr>
            <w:tcW w:w="153" w:type="pct"/>
            <w:tcBorders>
              <w:top w:val="nil"/>
              <w:left w:val="nil"/>
              <w:bottom w:val="nil"/>
              <w:right w:val="nil"/>
            </w:tcBorders>
            <w:shd w:val="clear" w:color="auto" w:fill="auto"/>
            <w:noWrap/>
            <w:vAlign w:val="bottom"/>
            <w:hideMark/>
          </w:tcPr>
          <w:p w:rsidR="00522F27" w:rsidRPr="00E77F71" w:rsidRDefault="00522F27" w:rsidP="00CD76FF">
            <w:pPr>
              <w:spacing w:after="0" w:line="240" w:lineRule="auto"/>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w:t>
            </w:r>
          </w:p>
        </w:tc>
      </w:tr>
      <w:tr w:rsidR="00522F27" w:rsidRPr="00E77F71" w:rsidTr="00CD76FF">
        <w:trPr>
          <w:trHeight w:val="70"/>
        </w:trPr>
        <w:tc>
          <w:tcPr>
            <w:tcW w:w="3244" w:type="pct"/>
            <w:tcBorders>
              <w:top w:val="nil"/>
              <w:left w:val="nil"/>
              <w:bottom w:val="single" w:sz="4" w:space="0" w:color="auto"/>
              <w:right w:val="nil"/>
            </w:tcBorders>
            <w:shd w:val="clear" w:color="auto" w:fill="auto"/>
            <w:noWrap/>
            <w:vAlign w:val="bottom"/>
            <w:hideMark/>
          </w:tcPr>
          <w:p w:rsidR="00522F27" w:rsidRPr="00E77F71" w:rsidRDefault="00522F27" w:rsidP="00CD76FF">
            <w:pPr>
              <w:spacing w:after="0" w:line="240" w:lineRule="auto"/>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 </w:t>
            </w:r>
          </w:p>
        </w:tc>
        <w:tc>
          <w:tcPr>
            <w:tcW w:w="669" w:type="pct"/>
            <w:tcBorders>
              <w:top w:val="nil"/>
              <w:left w:val="nil"/>
              <w:bottom w:val="single" w:sz="4" w:space="0" w:color="auto"/>
              <w:right w:val="nil"/>
            </w:tcBorders>
            <w:shd w:val="clear" w:color="auto" w:fill="auto"/>
            <w:noWrap/>
            <w:vAlign w:val="bottom"/>
            <w:hideMark/>
          </w:tcPr>
          <w:p w:rsidR="00522F27" w:rsidRPr="00E77F71" w:rsidRDefault="00522F27" w:rsidP="00CD76FF">
            <w:pPr>
              <w:spacing w:after="0" w:line="240" w:lineRule="auto"/>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 </w:t>
            </w:r>
          </w:p>
        </w:tc>
        <w:tc>
          <w:tcPr>
            <w:tcW w:w="589" w:type="pct"/>
            <w:tcBorders>
              <w:top w:val="nil"/>
              <w:left w:val="nil"/>
              <w:bottom w:val="single" w:sz="4" w:space="0" w:color="auto"/>
              <w:right w:val="nil"/>
            </w:tcBorders>
            <w:shd w:val="clear" w:color="auto" w:fill="auto"/>
            <w:noWrap/>
            <w:vAlign w:val="bottom"/>
            <w:hideMark/>
          </w:tcPr>
          <w:p w:rsidR="00522F27" w:rsidRPr="00E77F71" w:rsidRDefault="00522F27" w:rsidP="00CD76FF">
            <w:pPr>
              <w:spacing w:after="0" w:line="240" w:lineRule="auto"/>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 </w:t>
            </w:r>
          </w:p>
        </w:tc>
        <w:tc>
          <w:tcPr>
            <w:tcW w:w="344" w:type="pct"/>
            <w:tcBorders>
              <w:top w:val="nil"/>
              <w:left w:val="nil"/>
              <w:bottom w:val="single" w:sz="4" w:space="0" w:color="auto"/>
              <w:right w:val="nil"/>
            </w:tcBorders>
            <w:shd w:val="clear" w:color="auto" w:fill="auto"/>
            <w:noWrap/>
            <w:vAlign w:val="bottom"/>
            <w:hideMark/>
          </w:tcPr>
          <w:p w:rsidR="00522F27" w:rsidRPr="00E77F71" w:rsidRDefault="00522F27" w:rsidP="00CD76FF">
            <w:pPr>
              <w:spacing w:after="0" w:line="240" w:lineRule="auto"/>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 </w:t>
            </w:r>
          </w:p>
        </w:tc>
        <w:tc>
          <w:tcPr>
            <w:tcW w:w="153" w:type="pct"/>
            <w:tcBorders>
              <w:top w:val="nil"/>
              <w:left w:val="nil"/>
              <w:bottom w:val="single" w:sz="4" w:space="0" w:color="auto"/>
              <w:right w:val="nil"/>
            </w:tcBorders>
            <w:shd w:val="clear" w:color="auto" w:fill="auto"/>
            <w:noWrap/>
            <w:vAlign w:val="bottom"/>
            <w:hideMark/>
          </w:tcPr>
          <w:p w:rsidR="00522F27" w:rsidRPr="00E77F71" w:rsidRDefault="00522F27" w:rsidP="00CD76FF">
            <w:pPr>
              <w:spacing w:after="0" w:line="240" w:lineRule="auto"/>
              <w:rPr>
                <w:rFonts w:ascii="Times New Roman" w:eastAsia="Times New Roman" w:hAnsi="Times New Roman" w:cs="Times New Roman"/>
                <w:color w:val="000000"/>
                <w:sz w:val="18"/>
              </w:rPr>
            </w:pPr>
            <w:r w:rsidRPr="00E77F71">
              <w:rPr>
                <w:rFonts w:ascii="Times New Roman" w:eastAsia="Times New Roman" w:hAnsi="Times New Roman" w:cs="Times New Roman"/>
                <w:color w:val="000000"/>
                <w:sz w:val="18"/>
              </w:rPr>
              <w:t> </w:t>
            </w:r>
          </w:p>
        </w:tc>
      </w:tr>
    </w:tbl>
    <w:p w:rsidR="00522F27" w:rsidRDefault="00522F27" w:rsidP="00522F27">
      <w:pPr>
        <w:spacing w:after="0" w:line="240" w:lineRule="auto"/>
        <w:rPr>
          <w:rFonts w:ascii="Times New Roman" w:hAnsi="Times New Roman" w:cs="Times New Roman"/>
          <w:sz w:val="18"/>
          <w:szCs w:val="18"/>
        </w:rPr>
      </w:pPr>
    </w:p>
    <w:p w:rsidR="00522F27" w:rsidRDefault="00522F27" w:rsidP="00522F27">
      <w:pPr>
        <w:spacing w:after="0" w:line="240" w:lineRule="auto"/>
        <w:rPr>
          <w:rFonts w:ascii="Times New Roman" w:eastAsia="Times New Roman" w:hAnsi="Times New Roman" w:cs="Times New Roman"/>
          <w:iCs/>
          <w:sz w:val="18"/>
          <w:szCs w:val="18"/>
        </w:rPr>
      </w:pPr>
      <w:r w:rsidRPr="0093254B">
        <w:rPr>
          <w:rFonts w:ascii="Times New Roman" w:eastAsia="Times New Roman" w:hAnsi="Times New Roman" w:cs="Times New Roman"/>
          <w:iCs/>
          <w:sz w:val="18"/>
          <w:szCs w:val="18"/>
        </w:rPr>
        <w:t>*p-value &lt; 0.05;</w:t>
      </w:r>
      <w:r w:rsidRPr="00CE46C6">
        <w:rPr>
          <w:rFonts w:ascii="Times New Roman" w:eastAsia="Times New Roman" w:hAnsi="Times New Roman" w:cs="Times New Roman"/>
          <w:i/>
          <w:iCs/>
          <w:sz w:val="18"/>
          <w:szCs w:val="18"/>
        </w:rPr>
        <w:t xml:space="preserve"> CCI </w:t>
      </w:r>
      <w:r w:rsidRPr="00CE46C6">
        <w:rPr>
          <w:rFonts w:ascii="Times New Roman" w:eastAsia="Times New Roman" w:hAnsi="Times New Roman" w:cs="Times New Roman"/>
          <w:iCs/>
          <w:sz w:val="18"/>
          <w:szCs w:val="18"/>
        </w:rPr>
        <w:t>Charlson comorbidity index,</w:t>
      </w:r>
      <w:r w:rsidRPr="00CE46C6">
        <w:rPr>
          <w:rFonts w:ascii="Times New Roman" w:eastAsia="Times New Roman" w:hAnsi="Times New Roman" w:cs="Times New Roman"/>
          <w:i/>
          <w:iCs/>
          <w:sz w:val="18"/>
          <w:szCs w:val="18"/>
        </w:rPr>
        <w:t xml:space="preserve"> CI </w:t>
      </w:r>
      <w:r w:rsidRPr="00CE46C6">
        <w:rPr>
          <w:rFonts w:ascii="Times New Roman" w:eastAsia="Times New Roman" w:hAnsi="Times New Roman" w:cs="Times New Roman"/>
          <w:iCs/>
          <w:sz w:val="18"/>
          <w:szCs w:val="18"/>
        </w:rPr>
        <w:t>Confidence interval,</w:t>
      </w:r>
      <w:r w:rsidRPr="00CE46C6">
        <w:rPr>
          <w:rFonts w:ascii="Times New Roman" w:eastAsia="Times New Roman" w:hAnsi="Times New Roman" w:cs="Times New Roman"/>
          <w:i/>
          <w:iCs/>
          <w:sz w:val="18"/>
          <w:szCs w:val="18"/>
        </w:rPr>
        <w:t xml:space="preserve"> CNS </w:t>
      </w:r>
      <w:r w:rsidRPr="00CE46C6">
        <w:rPr>
          <w:rFonts w:ascii="Times New Roman" w:eastAsia="Times New Roman" w:hAnsi="Times New Roman" w:cs="Times New Roman"/>
          <w:iCs/>
          <w:sz w:val="18"/>
          <w:szCs w:val="18"/>
        </w:rPr>
        <w:t xml:space="preserve">Central nervous system, </w:t>
      </w:r>
      <w:r w:rsidRPr="00CE46C6">
        <w:rPr>
          <w:rFonts w:ascii="Times New Roman" w:eastAsia="Times New Roman" w:hAnsi="Times New Roman" w:cs="Times New Roman"/>
          <w:i/>
          <w:iCs/>
          <w:sz w:val="18"/>
          <w:szCs w:val="18"/>
        </w:rPr>
        <w:t>DMT</w:t>
      </w:r>
      <w:r w:rsidRPr="0093254B">
        <w:rPr>
          <w:rFonts w:ascii="Times New Roman" w:eastAsia="Times New Roman" w:hAnsi="Times New Roman" w:cs="Times New Roman"/>
          <w:i/>
          <w:iCs/>
          <w:sz w:val="18"/>
          <w:szCs w:val="18"/>
        </w:rPr>
        <w:t xml:space="preserve"> </w:t>
      </w:r>
      <w:r w:rsidRPr="0093254B">
        <w:rPr>
          <w:rFonts w:ascii="Times New Roman" w:eastAsia="Times New Roman" w:hAnsi="Times New Roman" w:cs="Times New Roman"/>
          <w:iCs/>
          <w:sz w:val="18"/>
          <w:szCs w:val="18"/>
        </w:rPr>
        <w:t>Disease modifying therapy</w:t>
      </w:r>
      <w:r w:rsidRPr="00CE46C6">
        <w:rPr>
          <w:rFonts w:ascii="Times New Roman" w:eastAsia="Times New Roman" w:hAnsi="Times New Roman" w:cs="Times New Roman"/>
          <w:iCs/>
          <w:sz w:val="18"/>
          <w:szCs w:val="18"/>
        </w:rPr>
        <w:t xml:space="preserve">, </w:t>
      </w:r>
      <w:r w:rsidRPr="0093254B">
        <w:rPr>
          <w:rFonts w:ascii="Times New Roman" w:eastAsia="Times New Roman" w:hAnsi="Times New Roman" w:cs="Times New Roman"/>
          <w:i/>
          <w:iCs/>
          <w:sz w:val="18"/>
          <w:szCs w:val="18"/>
        </w:rPr>
        <w:t>NO</w:t>
      </w:r>
      <w:r w:rsidRPr="00CE46C6">
        <w:rPr>
          <w:rFonts w:ascii="Times New Roman" w:eastAsia="Times New Roman" w:hAnsi="Times New Roman" w:cs="Times New Roman"/>
          <w:i/>
          <w:iCs/>
          <w:sz w:val="18"/>
          <w:szCs w:val="18"/>
        </w:rPr>
        <w:t xml:space="preserve">S </w:t>
      </w:r>
      <w:r w:rsidRPr="00CE46C6">
        <w:rPr>
          <w:rFonts w:ascii="Times New Roman" w:eastAsia="Times New Roman" w:hAnsi="Times New Roman" w:cs="Times New Roman"/>
          <w:iCs/>
          <w:sz w:val="18"/>
          <w:szCs w:val="18"/>
        </w:rPr>
        <w:t>Not otherwise specified</w:t>
      </w:r>
      <w:r>
        <w:rPr>
          <w:rFonts w:ascii="Times New Roman" w:eastAsia="Times New Roman" w:hAnsi="Times New Roman" w:cs="Times New Roman"/>
          <w:iCs/>
          <w:sz w:val="18"/>
          <w:szCs w:val="18"/>
        </w:rPr>
        <w:t xml:space="preserve">, </w:t>
      </w:r>
      <w:r w:rsidRPr="00CE46C6">
        <w:rPr>
          <w:rFonts w:ascii="Times New Roman" w:eastAsia="Times New Roman" w:hAnsi="Times New Roman" w:cs="Times New Roman"/>
          <w:i/>
          <w:iCs/>
          <w:sz w:val="18"/>
          <w:szCs w:val="18"/>
        </w:rPr>
        <w:t xml:space="preserve">PDC </w:t>
      </w:r>
      <w:r>
        <w:rPr>
          <w:rFonts w:ascii="Times New Roman" w:eastAsia="Times New Roman" w:hAnsi="Times New Roman" w:cs="Times New Roman"/>
          <w:iCs/>
          <w:sz w:val="18"/>
          <w:szCs w:val="18"/>
        </w:rPr>
        <w:t>Proportion of days covered</w:t>
      </w:r>
    </w:p>
    <w:p w:rsidR="00522F27" w:rsidRDefault="00522F27" w:rsidP="00522F27">
      <w:pPr>
        <w:spacing w:after="0" w:line="240" w:lineRule="auto"/>
        <w:rPr>
          <w:rFonts w:ascii="Times New Roman" w:eastAsia="Times New Roman" w:hAnsi="Times New Roman" w:cs="Times New Roman"/>
          <w:iCs/>
          <w:sz w:val="18"/>
          <w:szCs w:val="18"/>
        </w:rPr>
      </w:pPr>
    </w:p>
    <w:p w:rsidR="00522F27" w:rsidRPr="00CE46C6" w:rsidRDefault="00522F27" w:rsidP="00522F27">
      <w:pPr>
        <w:spacing w:after="0" w:line="240" w:lineRule="auto"/>
        <w:rPr>
          <w:rFonts w:ascii="Times New Roman" w:eastAsia="Times New Roman" w:hAnsi="Times New Roman" w:cs="Times New Roman"/>
          <w:iCs/>
          <w:sz w:val="18"/>
          <w:szCs w:val="18"/>
        </w:rPr>
      </w:pPr>
      <w:r w:rsidRPr="004B7541">
        <w:rPr>
          <w:rFonts w:ascii="Times New Roman" w:eastAsia="Times New Roman" w:hAnsi="Times New Roman" w:cs="Times New Roman"/>
          <w:b/>
          <w:iCs/>
          <w:sz w:val="18"/>
          <w:szCs w:val="18"/>
        </w:rPr>
        <w:t>Notes:</w:t>
      </w:r>
      <w:r>
        <w:rPr>
          <w:rFonts w:ascii="Times New Roman" w:eastAsia="Times New Roman" w:hAnsi="Times New Roman" w:cs="Times New Roman"/>
          <w:iCs/>
          <w:sz w:val="18"/>
          <w:szCs w:val="18"/>
        </w:rPr>
        <w:t xml:space="preserve"> </w:t>
      </w:r>
      <w:r w:rsidRPr="003C1D46">
        <w:rPr>
          <w:rFonts w:ascii="Times New Roman" w:hAnsi="Times New Roman" w:cs="Times New Roman"/>
          <w:sz w:val="18"/>
          <w:szCs w:val="18"/>
        </w:rPr>
        <w:t>Patients were included in the estimation of PDC only if they had one year of continuous health plan enrollment following the index date. PDC was calculated as the fraction of days with an available index drug supply out of a fixed interval of 365 days.</w:t>
      </w:r>
    </w:p>
    <w:p w:rsidR="00522F27" w:rsidRPr="00CE46C6" w:rsidRDefault="00522F27" w:rsidP="00522F27">
      <w:pPr>
        <w:spacing w:after="0" w:line="240" w:lineRule="auto"/>
        <w:rPr>
          <w:rFonts w:ascii="Times New Roman" w:hAnsi="Times New Roman" w:cs="Times New Roman"/>
          <w:sz w:val="18"/>
          <w:szCs w:val="18"/>
        </w:rPr>
      </w:pPr>
    </w:p>
    <w:p w:rsidR="00CD76FF" w:rsidRDefault="00CD76FF">
      <w:r>
        <w:br w:type="page"/>
      </w:r>
    </w:p>
    <w:p w:rsidR="00CD76FF" w:rsidRDefault="00CD76FF" w:rsidP="00CD76FF">
      <w:pPr>
        <w:spacing w:after="0" w:line="240" w:lineRule="auto"/>
        <w:rPr>
          <w:rFonts w:ascii="Times New Roman" w:hAnsi="Times New Roman" w:cs="Times New Roman"/>
          <w:b/>
          <w:szCs w:val="18"/>
        </w:rPr>
      </w:pPr>
      <w:r>
        <w:rPr>
          <w:rFonts w:ascii="Times New Roman" w:hAnsi="Times New Roman" w:cs="Times New Roman"/>
          <w:b/>
          <w:szCs w:val="18"/>
        </w:rPr>
        <w:t>Figure S1. Time to first relapse</w:t>
      </w:r>
    </w:p>
    <w:p w:rsidR="00CD76FF" w:rsidRPr="00CE46C6" w:rsidRDefault="00CD76FF" w:rsidP="00CD76FF">
      <w:pPr>
        <w:spacing w:after="0" w:line="240" w:lineRule="auto"/>
        <w:rPr>
          <w:rFonts w:ascii="Times New Roman" w:eastAsia="Times New Roman" w:hAnsi="Times New Roman" w:cs="Times New Roman"/>
          <w:iCs/>
          <w:sz w:val="18"/>
          <w:szCs w:val="18"/>
        </w:rPr>
      </w:pPr>
    </w:p>
    <w:p w:rsidR="00CD76FF" w:rsidRDefault="002407CD" w:rsidP="00CD76FF">
      <w:pPr>
        <w:spacing w:after="0" w:line="240" w:lineRule="auto"/>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6AB01F93">
            <wp:extent cx="5791200" cy="403842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9650" cy="4044316"/>
                    </a:xfrm>
                    <a:prstGeom prst="rect">
                      <a:avLst/>
                    </a:prstGeom>
                    <a:noFill/>
                  </pic:spPr>
                </pic:pic>
              </a:graphicData>
            </a:graphic>
          </wp:inline>
        </w:drawing>
      </w:r>
    </w:p>
    <w:p w:rsidR="002407CD" w:rsidRDefault="002407CD" w:rsidP="00CD76FF">
      <w:pPr>
        <w:spacing w:after="0" w:line="240" w:lineRule="auto"/>
        <w:rPr>
          <w:rFonts w:ascii="Times New Roman" w:eastAsia="Times New Roman" w:hAnsi="Times New Roman" w:cs="Times New Roman"/>
          <w:iCs/>
          <w:sz w:val="18"/>
          <w:szCs w:val="18"/>
        </w:rPr>
      </w:pPr>
    </w:p>
    <w:p w:rsidR="00CD76FF" w:rsidRPr="00F31AF4" w:rsidRDefault="002407CD" w:rsidP="00CD76FF">
      <w:pPr>
        <w:spacing w:after="0" w:line="240" w:lineRule="auto"/>
        <w:rPr>
          <w:rFonts w:ascii="Times New Roman" w:hAnsi="Times New Roman" w:cs="Times New Roman"/>
          <w:sz w:val="18"/>
          <w:szCs w:val="18"/>
        </w:rPr>
      </w:pPr>
      <w:r w:rsidRPr="0093254B">
        <w:rPr>
          <w:rFonts w:ascii="Times New Roman" w:eastAsia="Times New Roman" w:hAnsi="Times New Roman" w:cs="Times New Roman"/>
          <w:iCs/>
          <w:sz w:val="18"/>
          <w:szCs w:val="18"/>
        </w:rPr>
        <w:t>*p-value &lt; 0.05;</w:t>
      </w:r>
      <w:r w:rsidRPr="00CE46C6">
        <w:rPr>
          <w:rFonts w:ascii="Times New Roman" w:eastAsia="Times New Roman" w:hAnsi="Times New Roman" w:cs="Times New Roman"/>
          <w:i/>
          <w:iCs/>
          <w:sz w:val="18"/>
          <w:szCs w:val="18"/>
        </w:rPr>
        <w:t xml:space="preserve"> </w:t>
      </w:r>
      <w:r w:rsidR="00CD76FF" w:rsidRPr="00F31AF4">
        <w:rPr>
          <w:rFonts w:ascii="Times New Roman" w:hAnsi="Times New Roman" w:cs="Times New Roman"/>
          <w:i/>
          <w:iCs/>
          <w:sz w:val="18"/>
          <w:szCs w:val="18"/>
        </w:rPr>
        <w:t xml:space="preserve">IQR </w:t>
      </w:r>
      <w:r w:rsidR="00CD76FF" w:rsidRPr="002407CD">
        <w:rPr>
          <w:rFonts w:ascii="Times New Roman" w:hAnsi="Times New Roman" w:cs="Times New Roman"/>
          <w:iCs/>
          <w:sz w:val="18"/>
          <w:szCs w:val="18"/>
        </w:rPr>
        <w:t>Interquartile range</w:t>
      </w:r>
      <w:r>
        <w:rPr>
          <w:rFonts w:ascii="Times New Roman" w:hAnsi="Times New Roman" w:cs="Times New Roman"/>
          <w:i/>
          <w:iCs/>
          <w:sz w:val="18"/>
          <w:szCs w:val="18"/>
        </w:rPr>
        <w:t>; NR</w:t>
      </w:r>
      <w:r w:rsidR="00CD76FF" w:rsidRPr="00F31AF4">
        <w:rPr>
          <w:rFonts w:ascii="Times New Roman" w:hAnsi="Times New Roman" w:cs="Times New Roman"/>
          <w:i/>
          <w:iCs/>
          <w:sz w:val="18"/>
          <w:szCs w:val="18"/>
        </w:rPr>
        <w:t xml:space="preserve"> </w:t>
      </w:r>
      <w:proofErr w:type="gramStart"/>
      <w:r w:rsidR="00CD76FF" w:rsidRPr="002407CD">
        <w:rPr>
          <w:rFonts w:ascii="Times New Roman" w:hAnsi="Times New Roman" w:cs="Times New Roman"/>
          <w:iCs/>
          <w:sz w:val="18"/>
          <w:szCs w:val="18"/>
        </w:rPr>
        <w:t>Not</w:t>
      </w:r>
      <w:proofErr w:type="gramEnd"/>
      <w:r w:rsidR="00CD76FF" w:rsidRPr="002407CD">
        <w:rPr>
          <w:rFonts w:ascii="Times New Roman" w:hAnsi="Times New Roman" w:cs="Times New Roman"/>
          <w:iCs/>
          <w:sz w:val="18"/>
          <w:szCs w:val="18"/>
        </w:rPr>
        <w:t xml:space="preserve"> reached</w:t>
      </w:r>
    </w:p>
    <w:p w:rsidR="00CD76FF" w:rsidRDefault="002407CD" w:rsidP="00CD76FF">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F40ACE">
        <w:rPr>
          <w:rFonts w:ascii="Times New Roman" w:hAnsi="Times New Roman" w:cs="Times New Roman"/>
          <w:sz w:val="18"/>
          <w:szCs w:val="18"/>
        </w:rPr>
        <w:t>Median time to first relapse was not reached in the fingolimod cohort, as the cumulative proportion of patients experiencing relapse was below 50% at the end of the available post-index follow-up.</w:t>
      </w: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bookmarkStart w:id="0" w:name="_GoBack"/>
      <w:bookmarkEnd w:id="0"/>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sz w:val="18"/>
          <w:szCs w:val="18"/>
        </w:rPr>
      </w:pPr>
    </w:p>
    <w:p w:rsidR="00CD76FF" w:rsidRDefault="00CD76FF" w:rsidP="00CD76FF">
      <w:pPr>
        <w:spacing w:after="0" w:line="240" w:lineRule="auto"/>
        <w:rPr>
          <w:rFonts w:ascii="Times New Roman" w:hAnsi="Times New Roman" w:cs="Times New Roman"/>
          <w:b/>
          <w:szCs w:val="18"/>
        </w:rPr>
      </w:pPr>
      <w:r>
        <w:rPr>
          <w:rFonts w:ascii="Times New Roman" w:hAnsi="Times New Roman" w:cs="Times New Roman"/>
          <w:b/>
          <w:szCs w:val="18"/>
        </w:rPr>
        <w:t xml:space="preserve">Figure S2. Time to treatment discontinuation </w:t>
      </w:r>
    </w:p>
    <w:p w:rsidR="00CD76FF" w:rsidRDefault="00CD76FF" w:rsidP="00CD76FF">
      <w:pPr>
        <w:spacing w:after="0" w:line="240" w:lineRule="auto"/>
        <w:rPr>
          <w:rFonts w:ascii="Times New Roman" w:hAnsi="Times New Roman" w:cs="Times New Roman"/>
          <w:b/>
          <w:szCs w:val="18"/>
        </w:rPr>
      </w:pPr>
    </w:p>
    <w:p w:rsidR="00CD76FF" w:rsidRDefault="00CD76FF" w:rsidP="00CD76FF">
      <w:pPr>
        <w:spacing w:after="0" w:line="240" w:lineRule="auto"/>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1A9B41C6" wp14:editId="513714FB">
            <wp:extent cx="6266797" cy="43910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9353" cy="4399823"/>
                    </a:xfrm>
                    <a:prstGeom prst="rect">
                      <a:avLst/>
                    </a:prstGeom>
                    <a:noFill/>
                  </pic:spPr>
                </pic:pic>
              </a:graphicData>
            </a:graphic>
          </wp:inline>
        </w:drawing>
      </w:r>
    </w:p>
    <w:p w:rsidR="002407CD" w:rsidRPr="00F31AF4" w:rsidRDefault="002407CD" w:rsidP="002407CD">
      <w:pPr>
        <w:spacing w:after="0" w:line="240" w:lineRule="auto"/>
        <w:rPr>
          <w:rFonts w:ascii="Times New Roman" w:hAnsi="Times New Roman" w:cs="Times New Roman"/>
          <w:sz w:val="18"/>
          <w:szCs w:val="18"/>
        </w:rPr>
      </w:pPr>
      <w:r w:rsidRPr="0093254B">
        <w:rPr>
          <w:rFonts w:ascii="Times New Roman" w:eastAsia="Times New Roman" w:hAnsi="Times New Roman" w:cs="Times New Roman"/>
          <w:iCs/>
          <w:sz w:val="18"/>
          <w:szCs w:val="18"/>
        </w:rPr>
        <w:t>*p-value &lt; 0.05;</w:t>
      </w:r>
      <w:r w:rsidRPr="00CE46C6">
        <w:rPr>
          <w:rFonts w:ascii="Times New Roman" w:eastAsia="Times New Roman" w:hAnsi="Times New Roman" w:cs="Times New Roman"/>
          <w:i/>
          <w:iCs/>
          <w:sz w:val="18"/>
          <w:szCs w:val="18"/>
        </w:rPr>
        <w:t xml:space="preserve"> </w:t>
      </w:r>
      <w:r w:rsidRPr="00F31AF4">
        <w:rPr>
          <w:rFonts w:ascii="Times New Roman" w:hAnsi="Times New Roman" w:cs="Times New Roman"/>
          <w:i/>
          <w:iCs/>
          <w:sz w:val="18"/>
          <w:szCs w:val="18"/>
        </w:rPr>
        <w:t xml:space="preserve">IQR </w:t>
      </w:r>
      <w:r w:rsidRPr="002407CD">
        <w:rPr>
          <w:rFonts w:ascii="Times New Roman" w:hAnsi="Times New Roman" w:cs="Times New Roman"/>
          <w:iCs/>
          <w:sz w:val="18"/>
          <w:szCs w:val="18"/>
        </w:rPr>
        <w:t>Interquartile range</w:t>
      </w:r>
      <w:r>
        <w:rPr>
          <w:rFonts w:ascii="Times New Roman" w:hAnsi="Times New Roman" w:cs="Times New Roman"/>
          <w:i/>
          <w:iCs/>
          <w:sz w:val="18"/>
          <w:szCs w:val="18"/>
        </w:rPr>
        <w:t>; NR</w:t>
      </w:r>
      <w:r w:rsidRPr="00F31AF4">
        <w:rPr>
          <w:rFonts w:ascii="Times New Roman" w:hAnsi="Times New Roman" w:cs="Times New Roman"/>
          <w:i/>
          <w:iCs/>
          <w:sz w:val="18"/>
          <w:szCs w:val="18"/>
        </w:rPr>
        <w:t xml:space="preserve"> </w:t>
      </w:r>
      <w:proofErr w:type="gramStart"/>
      <w:r w:rsidRPr="002407CD">
        <w:rPr>
          <w:rFonts w:ascii="Times New Roman" w:hAnsi="Times New Roman" w:cs="Times New Roman"/>
          <w:iCs/>
          <w:sz w:val="18"/>
          <w:szCs w:val="18"/>
        </w:rPr>
        <w:t>Not</w:t>
      </w:r>
      <w:proofErr w:type="gramEnd"/>
      <w:r w:rsidRPr="002407CD">
        <w:rPr>
          <w:rFonts w:ascii="Times New Roman" w:hAnsi="Times New Roman" w:cs="Times New Roman"/>
          <w:iCs/>
          <w:sz w:val="18"/>
          <w:szCs w:val="18"/>
        </w:rPr>
        <w:t xml:space="preserve"> reached</w:t>
      </w:r>
    </w:p>
    <w:p w:rsidR="00CD76FF" w:rsidRPr="00CE46C6" w:rsidRDefault="00CD76FF" w:rsidP="00CD76FF">
      <w:pPr>
        <w:spacing w:after="0" w:line="240" w:lineRule="auto"/>
        <w:rPr>
          <w:rFonts w:ascii="Times New Roman" w:hAnsi="Times New Roman" w:cs="Times New Roman"/>
          <w:sz w:val="18"/>
          <w:szCs w:val="18"/>
        </w:rPr>
      </w:pPr>
    </w:p>
    <w:p w:rsidR="00500CFB" w:rsidRDefault="00500CFB"/>
    <w:sectPr w:rsidR="00500C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FF" w:rsidRDefault="00CD76FF">
      <w:pPr>
        <w:spacing w:after="0" w:line="240" w:lineRule="auto"/>
      </w:pPr>
      <w:r>
        <w:separator/>
      </w:r>
    </w:p>
  </w:endnote>
  <w:endnote w:type="continuationSeparator" w:id="0">
    <w:p w:rsidR="00CD76FF" w:rsidRDefault="00CD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922520"/>
      <w:docPartObj>
        <w:docPartGallery w:val="Page Numbers (Bottom of Page)"/>
        <w:docPartUnique/>
      </w:docPartObj>
    </w:sdtPr>
    <w:sdtEndPr>
      <w:rPr>
        <w:rFonts w:ascii="Times New Roman" w:hAnsi="Times New Roman" w:cs="Times New Roman"/>
        <w:noProof/>
      </w:rPr>
    </w:sdtEndPr>
    <w:sdtContent>
      <w:p w:rsidR="00CD76FF" w:rsidRPr="0050005B" w:rsidRDefault="00CD76FF">
        <w:pPr>
          <w:pStyle w:val="Footer"/>
          <w:jc w:val="right"/>
          <w:rPr>
            <w:rFonts w:ascii="Times New Roman" w:hAnsi="Times New Roman" w:cs="Times New Roman"/>
          </w:rPr>
        </w:pPr>
        <w:r w:rsidRPr="0050005B">
          <w:rPr>
            <w:rFonts w:ascii="Times New Roman" w:hAnsi="Times New Roman" w:cs="Times New Roman"/>
          </w:rPr>
          <w:fldChar w:fldCharType="begin"/>
        </w:r>
        <w:r w:rsidRPr="0050005B">
          <w:rPr>
            <w:rFonts w:ascii="Times New Roman" w:hAnsi="Times New Roman" w:cs="Times New Roman"/>
          </w:rPr>
          <w:instrText xml:space="preserve"> PAGE   \* MERGEFORMAT </w:instrText>
        </w:r>
        <w:r w:rsidRPr="0050005B">
          <w:rPr>
            <w:rFonts w:ascii="Times New Roman" w:hAnsi="Times New Roman" w:cs="Times New Roman"/>
          </w:rPr>
          <w:fldChar w:fldCharType="separate"/>
        </w:r>
        <w:r w:rsidR="00AF4B95">
          <w:rPr>
            <w:rFonts w:ascii="Times New Roman" w:hAnsi="Times New Roman" w:cs="Times New Roman"/>
            <w:noProof/>
          </w:rPr>
          <w:t>7</w:t>
        </w:r>
        <w:r w:rsidRPr="0050005B">
          <w:rPr>
            <w:rFonts w:ascii="Times New Roman" w:hAnsi="Times New Roman" w:cs="Times New Roman"/>
            <w:noProof/>
          </w:rPr>
          <w:fldChar w:fldCharType="end"/>
        </w:r>
      </w:p>
    </w:sdtContent>
  </w:sdt>
  <w:p w:rsidR="00CD76FF" w:rsidRDefault="00CD7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FF" w:rsidRDefault="00CD76FF">
      <w:pPr>
        <w:spacing w:after="0" w:line="240" w:lineRule="auto"/>
      </w:pPr>
      <w:r>
        <w:separator/>
      </w:r>
    </w:p>
  </w:footnote>
  <w:footnote w:type="continuationSeparator" w:id="0">
    <w:p w:rsidR="00CD76FF" w:rsidRDefault="00CD76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5A"/>
    <w:rsid w:val="00034DB2"/>
    <w:rsid w:val="001C625A"/>
    <w:rsid w:val="002407CD"/>
    <w:rsid w:val="002514E3"/>
    <w:rsid w:val="002C7EBD"/>
    <w:rsid w:val="00500CFB"/>
    <w:rsid w:val="00522F27"/>
    <w:rsid w:val="0056222D"/>
    <w:rsid w:val="006156C9"/>
    <w:rsid w:val="00631FD4"/>
    <w:rsid w:val="0067192A"/>
    <w:rsid w:val="0071210F"/>
    <w:rsid w:val="008728BD"/>
    <w:rsid w:val="009965C2"/>
    <w:rsid w:val="00AF4B95"/>
    <w:rsid w:val="00BD79A4"/>
    <w:rsid w:val="00CD76FF"/>
    <w:rsid w:val="00D21239"/>
    <w:rsid w:val="00D222E9"/>
    <w:rsid w:val="00E513C7"/>
    <w:rsid w:val="00F40ACE"/>
    <w:rsid w:val="00FA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BF4FFFD"/>
  <w15:chartTrackingRefBased/>
  <w15:docId w15:val="{D54FFE2D-C520-40F2-9468-08831634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27"/>
  </w:style>
  <w:style w:type="paragraph" w:styleId="BalloonText">
    <w:name w:val="Balloon Text"/>
    <w:basedOn w:val="Normal"/>
    <w:link w:val="BalloonTextChar"/>
    <w:uiPriority w:val="99"/>
    <w:semiHidden/>
    <w:unhideWhenUsed/>
    <w:rsid w:val="00615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Bensimon, Arielle</dc:creator>
  <cp:keywords/>
  <dc:description/>
  <cp:lastModifiedBy>Arielle Bensimon</cp:lastModifiedBy>
  <cp:revision>3</cp:revision>
  <dcterms:created xsi:type="dcterms:W3CDTF">2019-07-19T20:50:00Z</dcterms:created>
  <dcterms:modified xsi:type="dcterms:W3CDTF">2019-07-19T20:50:00Z</dcterms:modified>
</cp:coreProperties>
</file>