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6C" w:rsidRDefault="0068556C" w:rsidP="0068556C">
      <w:pPr>
        <w:pStyle w:val="Titolo1"/>
      </w:pPr>
      <w:r>
        <w:t>Supplementary material</w:t>
      </w:r>
    </w:p>
    <w:p w:rsidR="0068556C" w:rsidRDefault="0068556C" w:rsidP="0068556C">
      <w:pPr>
        <w:pStyle w:val="Paragraph"/>
      </w:pPr>
      <w:r w:rsidRPr="00144C7C">
        <w:rPr>
          <w:b/>
        </w:rPr>
        <w:t>Table S1</w:t>
      </w:r>
      <w:r w:rsidRPr="00144C7C">
        <w:t>. Number</w:t>
      </w:r>
      <w:r>
        <w:t xml:space="preserve"> and percentage of compounds already present in the dataset of the models.</w:t>
      </w:r>
    </w:p>
    <w:tbl>
      <w:tblPr>
        <w:tblStyle w:val="Grigliatabella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2965"/>
        <w:gridCol w:w="2965"/>
        <w:gridCol w:w="2965"/>
      </w:tblGrid>
      <w:tr w:rsidR="0068556C" w:rsidRPr="00EF0A8E" w:rsidTr="00F93DE3">
        <w:tc>
          <w:tcPr>
            <w:tcW w:w="1647" w:type="dxa"/>
            <w:tcBorders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68556C" w:rsidRPr="00EF0A8E" w:rsidRDefault="0068556C" w:rsidP="00083426">
            <w:pPr>
              <w:pStyle w:val="Paragraph"/>
            </w:pPr>
            <w:r w:rsidRPr="00EF0A8E">
              <w:t>% of experimental data on 628 negative compounds (number of not concordant values)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% of experimental data on 97 ‘cleaned’ positive compounds (number of not concordant values)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% of experimental data on 74 additional positive compounds (number of not concordant values)</w:t>
            </w:r>
          </w:p>
        </w:tc>
      </w:tr>
      <w:tr w:rsidR="0068556C" w:rsidTr="00F93DE3">
        <w:tc>
          <w:tcPr>
            <w:tcW w:w="1647" w:type="dxa"/>
            <w:tcBorders>
              <w:top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CAESAR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9.1% (6)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38.1% (5)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8.1% (0)</w:t>
            </w:r>
          </w:p>
        </w:tc>
      </w:tr>
      <w:tr w:rsidR="0068556C" w:rsidTr="00F93DE3">
        <w:tc>
          <w:tcPr>
            <w:tcW w:w="1647" w:type="dxa"/>
          </w:tcPr>
          <w:p w:rsidR="0068556C" w:rsidRDefault="0068556C" w:rsidP="00083426">
            <w:pPr>
              <w:pStyle w:val="Paragraph"/>
            </w:pPr>
            <w:r w:rsidRPr="00EF0A8E">
              <w:t>ISS</w:t>
            </w:r>
          </w:p>
        </w:tc>
        <w:tc>
          <w:tcPr>
            <w:tcW w:w="2965" w:type="dxa"/>
          </w:tcPr>
          <w:p w:rsidR="0068556C" w:rsidRDefault="0068556C" w:rsidP="00083426">
            <w:pPr>
              <w:pStyle w:val="Paragraph"/>
            </w:pPr>
            <w:r w:rsidRPr="00EF0A8E">
              <w:t>6.8% (12)</w:t>
            </w:r>
          </w:p>
        </w:tc>
        <w:tc>
          <w:tcPr>
            <w:tcW w:w="2965" w:type="dxa"/>
          </w:tcPr>
          <w:p w:rsidR="0068556C" w:rsidRDefault="0068556C" w:rsidP="00083426">
            <w:pPr>
              <w:pStyle w:val="Paragraph"/>
            </w:pPr>
            <w:r w:rsidRPr="00EF0A8E">
              <w:t>47.4% (2)</w:t>
            </w:r>
          </w:p>
        </w:tc>
        <w:tc>
          <w:tcPr>
            <w:tcW w:w="2965" w:type="dxa"/>
          </w:tcPr>
          <w:p w:rsidR="0068556C" w:rsidRDefault="0068556C" w:rsidP="00083426">
            <w:pPr>
              <w:pStyle w:val="Paragraph"/>
            </w:pPr>
            <w:r w:rsidRPr="00EF0A8E">
              <w:t>5.4% (0)</w:t>
            </w:r>
          </w:p>
        </w:tc>
      </w:tr>
      <w:tr w:rsidR="0068556C" w:rsidTr="00F93DE3">
        <w:tc>
          <w:tcPr>
            <w:tcW w:w="1647" w:type="dxa"/>
          </w:tcPr>
          <w:p w:rsidR="0068556C" w:rsidRDefault="0068556C" w:rsidP="00083426">
            <w:pPr>
              <w:pStyle w:val="Paragraph"/>
            </w:pPr>
            <w:r w:rsidRPr="00EF0A8E">
              <w:t>Antares</w:t>
            </w:r>
          </w:p>
        </w:tc>
        <w:tc>
          <w:tcPr>
            <w:tcW w:w="2965" w:type="dxa"/>
          </w:tcPr>
          <w:p w:rsidR="0068556C" w:rsidRDefault="0068556C" w:rsidP="00083426">
            <w:pPr>
              <w:pStyle w:val="Paragraph"/>
            </w:pPr>
            <w:r w:rsidRPr="00EF0A8E">
              <w:t>11.9% (6)</w:t>
            </w:r>
          </w:p>
        </w:tc>
        <w:tc>
          <w:tcPr>
            <w:tcW w:w="2965" w:type="dxa"/>
          </w:tcPr>
          <w:p w:rsidR="0068556C" w:rsidRDefault="0068556C" w:rsidP="00083426">
            <w:pPr>
              <w:pStyle w:val="Paragraph"/>
            </w:pPr>
            <w:r w:rsidRPr="00EF0A8E">
              <w:t>52.6% (6)</w:t>
            </w:r>
          </w:p>
        </w:tc>
        <w:tc>
          <w:tcPr>
            <w:tcW w:w="2965" w:type="dxa"/>
          </w:tcPr>
          <w:p w:rsidR="0068556C" w:rsidRDefault="0068556C" w:rsidP="00083426">
            <w:pPr>
              <w:pStyle w:val="Paragraph"/>
            </w:pPr>
            <w:r w:rsidRPr="00EF0A8E">
              <w:t>14.9% (2)</w:t>
            </w:r>
          </w:p>
        </w:tc>
      </w:tr>
      <w:tr w:rsidR="0068556C" w:rsidTr="00F93DE3">
        <w:tc>
          <w:tcPr>
            <w:tcW w:w="1647" w:type="dxa"/>
          </w:tcPr>
          <w:p w:rsidR="0068556C" w:rsidRDefault="0068556C" w:rsidP="00083426">
            <w:pPr>
              <w:pStyle w:val="Paragraph"/>
            </w:pPr>
            <w:r w:rsidRPr="00EF0A8E">
              <w:t>ISSCAN-CGX</w:t>
            </w:r>
          </w:p>
        </w:tc>
        <w:tc>
          <w:tcPr>
            <w:tcW w:w="2965" w:type="dxa"/>
          </w:tcPr>
          <w:p w:rsidR="0068556C" w:rsidRDefault="0068556C" w:rsidP="00083426">
            <w:pPr>
              <w:pStyle w:val="Paragraph"/>
            </w:pPr>
            <w:r w:rsidRPr="00EF0A8E">
              <w:t>8.9% (13)</w:t>
            </w:r>
          </w:p>
        </w:tc>
        <w:tc>
          <w:tcPr>
            <w:tcW w:w="2965" w:type="dxa"/>
          </w:tcPr>
          <w:p w:rsidR="0068556C" w:rsidRDefault="0068556C" w:rsidP="00083426">
            <w:pPr>
              <w:pStyle w:val="Paragraph"/>
            </w:pPr>
            <w:r w:rsidRPr="00EF0A8E">
              <w:t>53.6% (2)</w:t>
            </w:r>
          </w:p>
        </w:tc>
        <w:tc>
          <w:tcPr>
            <w:tcW w:w="2965" w:type="dxa"/>
          </w:tcPr>
          <w:p w:rsidR="0068556C" w:rsidRDefault="0068556C" w:rsidP="00083426">
            <w:pPr>
              <w:pStyle w:val="Paragraph"/>
            </w:pPr>
            <w:r w:rsidRPr="00EF0A8E">
              <w:t>9.5% (0)</w:t>
            </w:r>
          </w:p>
        </w:tc>
      </w:tr>
      <w:tr w:rsidR="0068556C" w:rsidTr="00F93DE3">
        <w:tc>
          <w:tcPr>
            <w:tcW w:w="1647" w:type="dxa"/>
            <w:tcBorders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OSF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11.5% (5)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46.4% (9)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10.8% (0)</w:t>
            </w:r>
          </w:p>
        </w:tc>
      </w:tr>
    </w:tbl>
    <w:p w:rsidR="0068556C" w:rsidRDefault="0068556C" w:rsidP="0068556C">
      <w:pPr>
        <w:pStyle w:val="Newparagraph"/>
      </w:pPr>
    </w:p>
    <w:p w:rsidR="0068556C" w:rsidRDefault="0068556C" w:rsidP="0068556C">
      <w:pPr>
        <w:pStyle w:val="Newparagraph"/>
      </w:pPr>
    </w:p>
    <w:p w:rsidR="0068556C" w:rsidRDefault="0068556C" w:rsidP="0068556C">
      <w:pPr>
        <w:pStyle w:val="Newparagraph"/>
      </w:pPr>
    </w:p>
    <w:p w:rsidR="0068556C" w:rsidRDefault="0068556C" w:rsidP="0068556C">
      <w:pPr>
        <w:pStyle w:val="Newparagraph"/>
      </w:pPr>
    </w:p>
    <w:p w:rsidR="0068556C" w:rsidRDefault="0068556C" w:rsidP="0068556C">
      <w:pPr>
        <w:pStyle w:val="Newparagraph"/>
      </w:pPr>
    </w:p>
    <w:p w:rsidR="0068556C" w:rsidRDefault="0068556C" w:rsidP="0068556C">
      <w:pPr>
        <w:pStyle w:val="Newparagraph"/>
      </w:pPr>
    </w:p>
    <w:p w:rsidR="0068556C" w:rsidRDefault="0068556C" w:rsidP="0068556C">
      <w:pPr>
        <w:pStyle w:val="Newparagraph"/>
      </w:pPr>
    </w:p>
    <w:p w:rsidR="0068556C" w:rsidRDefault="0068556C" w:rsidP="0068556C">
      <w:pPr>
        <w:pStyle w:val="Newparagraph"/>
      </w:pPr>
    </w:p>
    <w:p w:rsidR="0068556C" w:rsidRDefault="0068556C" w:rsidP="0068556C">
      <w:pPr>
        <w:pStyle w:val="Newparagraph"/>
      </w:pPr>
    </w:p>
    <w:p w:rsidR="0068556C" w:rsidRDefault="0068556C" w:rsidP="0068556C">
      <w:pPr>
        <w:pStyle w:val="Newparagraph"/>
      </w:pPr>
    </w:p>
    <w:p w:rsidR="0068556C" w:rsidRDefault="0068556C" w:rsidP="0068556C">
      <w:pPr>
        <w:pStyle w:val="Newparagraph"/>
      </w:pPr>
    </w:p>
    <w:p w:rsidR="0068556C" w:rsidRDefault="0068556C" w:rsidP="0068556C">
      <w:pPr>
        <w:pStyle w:val="Paragraph"/>
      </w:pPr>
      <w:r w:rsidRPr="00144C7C">
        <w:rPr>
          <w:b/>
        </w:rPr>
        <w:t>Table S2</w:t>
      </w:r>
      <w:r w:rsidRPr="00144C7C">
        <w:t>. Number</w:t>
      </w:r>
      <w:r>
        <w:t xml:space="preserve"> and percentage of compounds already present in the dataset of the models.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4103"/>
        <w:gridCol w:w="4104"/>
      </w:tblGrid>
      <w:tr w:rsidR="0068556C" w:rsidRPr="00EF0A8E" w:rsidTr="00F93DE3">
        <w:tc>
          <w:tcPr>
            <w:tcW w:w="1647" w:type="dxa"/>
            <w:tcBorders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68556C" w:rsidRPr="00EF0A8E" w:rsidRDefault="0068556C" w:rsidP="00083426">
            <w:pPr>
              <w:pStyle w:val="Paragraph"/>
            </w:pPr>
            <w:r>
              <w:t>Number of carcinogenic predictions for the 26 non genotoxic carcinogens in the ‘cleaned’ dataset (n = 94 positive)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>
              <w:t xml:space="preserve">Number of carcinogenic predictions for the 13 non genotoxic carcinogens among the </w:t>
            </w:r>
            <w:r w:rsidRPr="00EF0A8E">
              <w:t>74 additional positive compounds</w:t>
            </w:r>
          </w:p>
        </w:tc>
      </w:tr>
      <w:tr w:rsidR="0068556C" w:rsidTr="00F93DE3">
        <w:tc>
          <w:tcPr>
            <w:tcW w:w="1647" w:type="dxa"/>
            <w:tcBorders>
              <w:top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CAESAR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>
              <w:t>7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>
              <w:t>11</w:t>
            </w:r>
          </w:p>
        </w:tc>
      </w:tr>
      <w:tr w:rsidR="0068556C" w:rsidTr="00F93DE3">
        <w:tc>
          <w:tcPr>
            <w:tcW w:w="1647" w:type="dxa"/>
          </w:tcPr>
          <w:p w:rsidR="0068556C" w:rsidRDefault="0068556C" w:rsidP="00083426">
            <w:pPr>
              <w:pStyle w:val="Paragraph"/>
            </w:pPr>
            <w:r w:rsidRPr="00EF0A8E">
              <w:t>ISS</w:t>
            </w:r>
          </w:p>
        </w:tc>
        <w:tc>
          <w:tcPr>
            <w:tcW w:w="4103" w:type="dxa"/>
          </w:tcPr>
          <w:p w:rsidR="0068556C" w:rsidRDefault="0068556C" w:rsidP="00083426">
            <w:pPr>
              <w:pStyle w:val="Paragraph"/>
            </w:pPr>
            <w:r>
              <w:t>16</w:t>
            </w:r>
          </w:p>
        </w:tc>
        <w:tc>
          <w:tcPr>
            <w:tcW w:w="4104" w:type="dxa"/>
          </w:tcPr>
          <w:p w:rsidR="0068556C" w:rsidRDefault="0068556C" w:rsidP="00083426">
            <w:pPr>
              <w:pStyle w:val="Paragraph"/>
            </w:pPr>
            <w:r>
              <w:t>6</w:t>
            </w:r>
          </w:p>
        </w:tc>
      </w:tr>
      <w:tr w:rsidR="0068556C" w:rsidTr="00F93DE3">
        <w:tc>
          <w:tcPr>
            <w:tcW w:w="1647" w:type="dxa"/>
          </w:tcPr>
          <w:p w:rsidR="0068556C" w:rsidRDefault="0068556C" w:rsidP="00083426">
            <w:pPr>
              <w:pStyle w:val="Paragraph"/>
            </w:pPr>
            <w:r w:rsidRPr="00EF0A8E">
              <w:t>Antares</w:t>
            </w:r>
          </w:p>
        </w:tc>
        <w:tc>
          <w:tcPr>
            <w:tcW w:w="4103" w:type="dxa"/>
          </w:tcPr>
          <w:p w:rsidR="0068556C" w:rsidRDefault="0068556C" w:rsidP="00083426">
            <w:pPr>
              <w:pStyle w:val="Paragraph"/>
            </w:pPr>
            <w:r>
              <w:t>13</w:t>
            </w:r>
          </w:p>
        </w:tc>
        <w:tc>
          <w:tcPr>
            <w:tcW w:w="4104" w:type="dxa"/>
          </w:tcPr>
          <w:p w:rsidR="0068556C" w:rsidRDefault="0068556C" w:rsidP="00083426">
            <w:pPr>
              <w:pStyle w:val="Paragraph"/>
            </w:pPr>
            <w:r>
              <w:t>0</w:t>
            </w:r>
          </w:p>
        </w:tc>
      </w:tr>
      <w:tr w:rsidR="0068556C" w:rsidTr="00F93DE3">
        <w:tc>
          <w:tcPr>
            <w:tcW w:w="1647" w:type="dxa"/>
          </w:tcPr>
          <w:p w:rsidR="0068556C" w:rsidRDefault="0068556C" w:rsidP="00083426">
            <w:pPr>
              <w:pStyle w:val="Paragraph"/>
            </w:pPr>
            <w:r w:rsidRPr="00EF0A8E">
              <w:t>ISSCAN-CGX</w:t>
            </w:r>
          </w:p>
        </w:tc>
        <w:tc>
          <w:tcPr>
            <w:tcW w:w="4103" w:type="dxa"/>
          </w:tcPr>
          <w:p w:rsidR="0068556C" w:rsidRDefault="0068556C" w:rsidP="00083426">
            <w:pPr>
              <w:pStyle w:val="Paragraph"/>
            </w:pPr>
            <w:r>
              <w:t>14</w:t>
            </w:r>
          </w:p>
        </w:tc>
        <w:tc>
          <w:tcPr>
            <w:tcW w:w="4104" w:type="dxa"/>
          </w:tcPr>
          <w:p w:rsidR="0068556C" w:rsidRDefault="0068556C" w:rsidP="00083426">
            <w:pPr>
              <w:pStyle w:val="Paragraph"/>
            </w:pPr>
            <w:r>
              <w:t>0</w:t>
            </w:r>
          </w:p>
        </w:tc>
      </w:tr>
      <w:tr w:rsidR="0068556C" w:rsidTr="00F93DE3">
        <w:tc>
          <w:tcPr>
            <w:tcW w:w="1647" w:type="dxa"/>
            <w:tcBorders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 w:rsidRPr="00EF0A8E">
              <w:t>OSF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>
              <w:t>12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68556C" w:rsidRDefault="0068556C" w:rsidP="00083426">
            <w:pPr>
              <w:pStyle w:val="Paragraph"/>
            </w:pPr>
            <w:r>
              <w:t>11</w:t>
            </w:r>
          </w:p>
        </w:tc>
      </w:tr>
    </w:tbl>
    <w:p w:rsidR="0068556C" w:rsidRDefault="0068556C" w:rsidP="0068556C">
      <w:pPr>
        <w:pStyle w:val="Newparagraph"/>
      </w:pPr>
    </w:p>
    <w:p w:rsidR="0068556C" w:rsidRDefault="0068556C" w:rsidP="0068556C">
      <w:pPr>
        <w:pStyle w:val="Newparagraph"/>
        <w:rPr>
          <w:color w:val="767171" w:themeColor="background2" w:themeShade="80"/>
        </w:rPr>
      </w:pPr>
    </w:p>
    <w:p w:rsidR="0068556C" w:rsidRDefault="0068556C" w:rsidP="0068556C">
      <w:pPr>
        <w:pStyle w:val="Newparagraph"/>
        <w:rPr>
          <w:color w:val="767171" w:themeColor="background2" w:themeShade="80"/>
        </w:rPr>
      </w:pPr>
    </w:p>
    <w:p w:rsidR="0068556C" w:rsidRDefault="0068556C" w:rsidP="0068556C">
      <w:pPr>
        <w:pStyle w:val="Newparagraph"/>
        <w:rPr>
          <w:color w:val="767171" w:themeColor="background2" w:themeShade="80"/>
        </w:rPr>
      </w:pPr>
      <w:bookmarkStart w:id="0" w:name="_GoBack"/>
      <w:bookmarkEnd w:id="0"/>
    </w:p>
    <w:p w:rsidR="004C3E1C" w:rsidRDefault="00721611"/>
    <w:sectPr w:rsidR="004C3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C"/>
    <w:rsid w:val="0068556C"/>
    <w:rsid w:val="00721611"/>
    <w:rsid w:val="00A7694A"/>
    <w:rsid w:val="00AF6CA4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55121-8BE0-4D20-BD7A-01DEE61A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56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1">
    <w:name w:val="heading 1"/>
    <w:basedOn w:val="Normale"/>
    <w:next w:val="Paragraph"/>
    <w:link w:val="Titolo1Carattere"/>
    <w:qFormat/>
    <w:rsid w:val="0068556C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556C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Paragraph">
    <w:name w:val="Paragraph"/>
    <w:basedOn w:val="Normale"/>
    <w:next w:val="Newparagraph"/>
    <w:qFormat/>
    <w:rsid w:val="0068556C"/>
    <w:pPr>
      <w:widowControl w:val="0"/>
      <w:spacing w:before="240"/>
    </w:pPr>
  </w:style>
  <w:style w:type="paragraph" w:customStyle="1" w:styleId="Newparagraph">
    <w:name w:val="New paragraph"/>
    <w:basedOn w:val="Normale"/>
    <w:qFormat/>
    <w:rsid w:val="0068556C"/>
    <w:pPr>
      <w:ind w:firstLine="720"/>
    </w:pPr>
  </w:style>
  <w:style w:type="table" w:styleId="Grigliatabella">
    <w:name w:val="Table Grid"/>
    <w:basedOn w:val="Tabellanormale"/>
    <w:uiPriority w:val="39"/>
    <w:rsid w:val="0068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AulaCorsi</dc:creator>
  <cp:keywords/>
  <dc:description/>
  <cp:lastModifiedBy>Alessandra Roncaglioni</cp:lastModifiedBy>
  <cp:revision>3</cp:revision>
  <dcterms:created xsi:type="dcterms:W3CDTF">2019-10-24T08:56:00Z</dcterms:created>
  <dcterms:modified xsi:type="dcterms:W3CDTF">2019-10-30T11:00:00Z</dcterms:modified>
</cp:coreProperties>
</file>