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CA" w:rsidRDefault="009E65C4">
      <w:r>
        <w:t>Supporting Information</w:t>
      </w:r>
    </w:p>
    <w:p w:rsidR="009E65C4" w:rsidRDefault="009E65C4" w:rsidP="009E6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131413"/>
        </w:rPr>
      </w:pPr>
      <w:r w:rsidRPr="00355CA5">
        <w:rPr>
          <w:rFonts w:ascii="Times New Roman" w:hAnsi="Times New Roman" w:cs="Times New Roman"/>
          <w:b/>
          <w:bCs/>
          <w:iCs/>
          <w:color w:val="131413"/>
        </w:rPr>
        <w:t>UV-DRS Spectra and Band Gap Determination of TiO</w:t>
      </w:r>
      <w:r w:rsidRPr="00355CA5">
        <w:rPr>
          <w:rFonts w:ascii="Times New Roman" w:hAnsi="Times New Roman" w:cs="Times New Roman"/>
          <w:b/>
          <w:bCs/>
          <w:iCs/>
          <w:color w:val="131413"/>
          <w:vertAlign w:val="subscript"/>
        </w:rPr>
        <w:t>2</w:t>
      </w:r>
      <w:r w:rsidRPr="00355CA5">
        <w:rPr>
          <w:rFonts w:ascii="Times New Roman" w:hAnsi="Times New Roman" w:cs="Times New Roman"/>
          <w:b/>
          <w:bCs/>
          <w:iCs/>
          <w:color w:val="131413"/>
        </w:rPr>
        <w:t xml:space="preserve"> nanoparticles  </w:t>
      </w:r>
    </w:p>
    <w:p w:rsidR="009E65C4" w:rsidRDefault="009E65C4" w:rsidP="009E6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131413"/>
        </w:rPr>
      </w:pPr>
    </w:p>
    <w:p w:rsidR="009E65C4" w:rsidRDefault="009E65C4" w:rsidP="009E6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131413"/>
        </w:rPr>
      </w:pPr>
    </w:p>
    <w:p w:rsidR="009E65C4" w:rsidRDefault="009E65C4">
      <w:r w:rsidRPr="009E65C4">
        <w:rPr>
          <w:noProof/>
        </w:rPr>
        <w:drawing>
          <wp:inline distT="0" distB="0" distL="0" distR="0">
            <wp:extent cx="2997282" cy="2361215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77" cy="236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5C4">
        <w:rPr>
          <w:rFonts w:ascii="Times New Roman" w:hAnsi="Times New Roman" w:cs="Times New Roman"/>
          <w:b/>
          <w:bCs/>
          <w:iCs/>
          <w:noProof/>
          <w:color w:val="131413"/>
        </w:rPr>
        <w:t xml:space="preserve"> </w:t>
      </w:r>
      <w:r w:rsidRPr="009E65C4">
        <w:rPr>
          <w:noProof/>
        </w:rPr>
        <w:drawing>
          <wp:inline distT="0" distB="0" distL="0" distR="0">
            <wp:extent cx="2843449" cy="2334454"/>
            <wp:effectExtent l="1905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20" cy="233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C4" w:rsidRDefault="009E65C4" w:rsidP="009E6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131413"/>
        </w:rPr>
      </w:pPr>
    </w:p>
    <w:p w:rsidR="009E65C4" w:rsidRDefault="009E65C4" w:rsidP="009E65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 1 DRS spectrum and band gap determination of TiO</w:t>
      </w:r>
      <w:r w:rsidRPr="003A76E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nanoparticles</w:t>
      </w:r>
    </w:p>
    <w:p w:rsidR="009E65C4" w:rsidRDefault="009E65C4">
      <w:pPr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Cs/>
          <w:iCs/>
          <w:color w:val="131413"/>
        </w:rPr>
        <w:t xml:space="preserve">Fig.1 shows the </w:t>
      </w:r>
      <w:r w:rsidRPr="00355CA5">
        <w:rPr>
          <w:rFonts w:ascii="Times New Roman" w:hAnsi="Times New Roman" w:cs="Times New Roman"/>
        </w:rPr>
        <w:t xml:space="preserve">diffuse reflectance spectrum </w:t>
      </w:r>
      <w:r>
        <w:rPr>
          <w:rFonts w:ascii="Times New Roman" w:hAnsi="Times New Roman" w:cs="Times New Roman"/>
        </w:rPr>
        <w:t xml:space="preserve">and band gap determination </w:t>
      </w:r>
      <w:r w:rsidRPr="00355CA5">
        <w:rPr>
          <w:rFonts w:ascii="Times New Roman" w:hAnsi="Times New Roman" w:cs="Times New Roman"/>
        </w:rPr>
        <w:t>of TiO</w:t>
      </w:r>
      <w:r w:rsidRPr="00355CA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nanoparticles</w:t>
      </w:r>
      <w:r w:rsidRPr="00355CA5">
        <w:rPr>
          <w:rFonts w:ascii="Times New Roman" w:hAnsi="Times New Roman" w:cs="Times New Roman"/>
        </w:rPr>
        <w:t>.</w:t>
      </w:r>
      <w:r w:rsidRPr="00355CA5">
        <w:rPr>
          <w:rFonts w:ascii="Times New Roman" w:hAnsi="Times New Roman" w:cs="Times New Roman"/>
          <w:color w:val="231F20"/>
        </w:rPr>
        <w:t xml:space="preserve"> From the diffuse reflectance spectr</w:t>
      </w:r>
      <w:r>
        <w:rPr>
          <w:rFonts w:ascii="Times New Roman" w:hAnsi="Times New Roman" w:cs="Times New Roman"/>
          <w:color w:val="231F20"/>
        </w:rPr>
        <w:t>a,</w:t>
      </w:r>
      <w:r w:rsidRPr="00355CA5">
        <w:rPr>
          <w:rFonts w:ascii="Times New Roman" w:hAnsi="Times New Roman" w:cs="Times New Roman"/>
          <w:color w:val="231F20"/>
        </w:rPr>
        <w:t xml:space="preserve"> it can be determined that TiO</w:t>
      </w:r>
      <w:r w:rsidRPr="00355CA5">
        <w:rPr>
          <w:rFonts w:ascii="Times New Roman" w:hAnsi="Times New Roman" w:cs="Times New Roman"/>
          <w:color w:val="231F20"/>
          <w:vertAlign w:val="subscript"/>
        </w:rPr>
        <w:t>2</w:t>
      </w:r>
      <w:r w:rsidRPr="00355CA5">
        <w:rPr>
          <w:rFonts w:ascii="Times New Roman" w:hAnsi="Times New Roman" w:cs="Times New Roman"/>
          <w:color w:val="231F20"/>
        </w:rPr>
        <w:t xml:space="preserve"> nanoparticles are having absorption around 330 nm. </w:t>
      </w:r>
      <w:r w:rsidRPr="00355CA5">
        <w:rPr>
          <w:rFonts w:ascii="Times New Roman" w:hAnsi="Times New Roman" w:cs="Times New Roman"/>
        </w:rPr>
        <w:t xml:space="preserve">The band gap energy is determined by extrapolating the </w:t>
      </w:r>
      <w:r>
        <w:rPr>
          <w:rFonts w:ascii="Times New Roman" w:hAnsi="Times New Roman" w:cs="Times New Roman"/>
        </w:rPr>
        <w:t>linear</w:t>
      </w:r>
      <w:r w:rsidRPr="00355CA5">
        <w:rPr>
          <w:rFonts w:ascii="Times New Roman" w:hAnsi="Times New Roman" w:cs="Times New Roman"/>
        </w:rPr>
        <w:t xml:space="preserve"> portion of (αhν)</w:t>
      </w:r>
      <w:r w:rsidRPr="00355CA5">
        <w:rPr>
          <w:rFonts w:ascii="Times New Roman" w:hAnsi="Times New Roman" w:cs="Times New Roman"/>
          <w:vertAlign w:val="superscript"/>
        </w:rPr>
        <w:t xml:space="preserve"> 1/2 </w:t>
      </w:r>
      <w:r w:rsidRPr="00355CA5">
        <w:rPr>
          <w:rFonts w:ascii="Times New Roman" w:hAnsi="Times New Roman" w:cs="Times New Roman"/>
        </w:rPr>
        <w:t xml:space="preserve"> on hν axis</w:t>
      </w:r>
      <w:r>
        <w:rPr>
          <w:rFonts w:ascii="Times New Roman" w:hAnsi="Times New Roman" w:cs="Times New Roman"/>
        </w:rPr>
        <w:t>,</w:t>
      </w:r>
      <w:r w:rsidRPr="00355CA5">
        <w:rPr>
          <w:rFonts w:ascii="Times New Roman" w:hAnsi="Times New Roman" w:cs="Times New Roman"/>
        </w:rPr>
        <w:t xml:space="preserve"> and it is found that </w:t>
      </w:r>
      <w:r w:rsidRPr="00355CA5">
        <w:rPr>
          <w:rFonts w:ascii="Times New Roman" w:hAnsi="Times New Roman" w:cs="Times New Roman"/>
          <w:color w:val="231F20"/>
        </w:rPr>
        <w:t>TiO</w:t>
      </w:r>
      <w:r w:rsidRPr="00355CA5">
        <w:rPr>
          <w:rFonts w:ascii="Times New Roman" w:hAnsi="Times New Roman" w:cs="Times New Roman"/>
          <w:color w:val="231F20"/>
          <w:vertAlign w:val="subscript"/>
        </w:rPr>
        <w:t>2</w:t>
      </w:r>
      <w:r w:rsidRPr="00355CA5">
        <w:rPr>
          <w:rFonts w:ascii="Times New Roman" w:hAnsi="Times New Roman" w:cs="Times New Roman"/>
          <w:color w:val="231F20"/>
        </w:rPr>
        <w:t xml:space="preserve"> nanoparticles have a band gap </w:t>
      </w:r>
      <w:r>
        <w:rPr>
          <w:rFonts w:ascii="Times New Roman" w:hAnsi="Times New Roman" w:cs="Times New Roman"/>
          <w:color w:val="231F20"/>
        </w:rPr>
        <w:t>energy</w:t>
      </w:r>
      <w:r w:rsidRPr="00355CA5">
        <w:rPr>
          <w:rFonts w:ascii="Times New Roman" w:hAnsi="Times New Roman" w:cs="Times New Roman"/>
          <w:color w:val="231F20"/>
        </w:rPr>
        <w:t>of 3.19 eV.</w:t>
      </w:r>
    </w:p>
    <w:p w:rsidR="009E65C4" w:rsidRPr="00355CA5" w:rsidRDefault="009E65C4" w:rsidP="009E65C4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355CA5">
        <w:rPr>
          <w:rFonts w:ascii="Times New Roman" w:hAnsi="Times New Roman" w:cs="Times New Roman"/>
          <w:b/>
          <w:color w:val="000000"/>
        </w:rPr>
        <w:t>Optimization of MgO in TiO</w:t>
      </w:r>
      <w:r w:rsidRPr="00355CA5">
        <w:rPr>
          <w:rFonts w:ascii="Times New Roman" w:hAnsi="Times New Roman" w:cs="Times New Roman"/>
          <w:b/>
          <w:color w:val="000000"/>
          <w:vertAlign w:val="subscript"/>
        </w:rPr>
        <w:t>2</w:t>
      </w:r>
      <w:r w:rsidRPr="00355CA5">
        <w:rPr>
          <w:rFonts w:ascii="Times New Roman" w:hAnsi="Times New Roman" w:cs="Times New Roman"/>
          <w:b/>
          <w:color w:val="000000"/>
        </w:rPr>
        <w:t xml:space="preserve">/MgO nanocomposite </w:t>
      </w:r>
    </w:p>
    <w:p w:rsidR="009E65C4" w:rsidRDefault="009E65C4" w:rsidP="009E65C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55CA5">
        <w:rPr>
          <w:rFonts w:ascii="Times New Roman" w:hAnsi="Times New Roman" w:cs="Times New Roman"/>
          <w:color w:val="000000"/>
        </w:rPr>
        <w:t>The concentration of MgO nanoparticles in TiO</w:t>
      </w:r>
      <w:r w:rsidRPr="00355CA5">
        <w:rPr>
          <w:rFonts w:ascii="Times New Roman" w:hAnsi="Times New Roman" w:cs="Times New Roman"/>
          <w:color w:val="000000"/>
          <w:vertAlign w:val="subscript"/>
        </w:rPr>
        <w:t>2</w:t>
      </w:r>
      <w:r w:rsidRPr="00355CA5">
        <w:rPr>
          <w:rFonts w:ascii="Times New Roman" w:hAnsi="Times New Roman" w:cs="Times New Roman"/>
          <w:color w:val="000000"/>
        </w:rPr>
        <w:t>/MgO nanocomposite is an important factor in determining the photodegradation efficiency of the nanocomposite in degrading the dye solution. Concentrations of 3 wt.%, 5wt.% and 10 wt.% MgO in TiO</w:t>
      </w:r>
      <w:r w:rsidRPr="00355CA5">
        <w:rPr>
          <w:rFonts w:ascii="Times New Roman" w:hAnsi="Times New Roman" w:cs="Times New Roman"/>
          <w:color w:val="000000"/>
          <w:vertAlign w:val="subscript"/>
        </w:rPr>
        <w:t>2</w:t>
      </w:r>
      <w:r w:rsidRPr="00355CA5">
        <w:rPr>
          <w:rFonts w:ascii="Times New Roman" w:hAnsi="Times New Roman" w:cs="Times New Roman"/>
          <w:color w:val="000000"/>
        </w:rPr>
        <w:t>/MgO nanocomposite was studied. 3 wt.% MgO in TiO</w:t>
      </w:r>
      <w:r w:rsidRPr="00355CA5">
        <w:rPr>
          <w:rFonts w:ascii="Times New Roman" w:hAnsi="Times New Roman" w:cs="Times New Roman"/>
          <w:color w:val="000000"/>
          <w:vertAlign w:val="subscript"/>
        </w:rPr>
        <w:t>2</w:t>
      </w:r>
      <w:r w:rsidRPr="00355CA5">
        <w:rPr>
          <w:rFonts w:ascii="Times New Roman" w:hAnsi="Times New Roman" w:cs="Times New Roman"/>
          <w:color w:val="000000"/>
        </w:rPr>
        <w:t>/MgO nanocomposite is found to have better efficiency than 5 wt.% and 10 wt.% MgO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9E65C4" w:rsidRPr="00355CA5" w:rsidRDefault="009E65C4" w:rsidP="009E65C4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9E65C4" w:rsidRPr="00355CA5" w:rsidRDefault="009E65C4" w:rsidP="009E65C4">
      <w:pPr>
        <w:jc w:val="center"/>
        <w:rPr>
          <w:rFonts w:ascii="Times New Roman" w:hAnsi="Times New Roman" w:cs="Times New Roman"/>
          <w:color w:val="000000"/>
        </w:rPr>
      </w:pPr>
    </w:p>
    <w:p w:rsidR="009E65C4" w:rsidRDefault="009E65C4">
      <w:pPr>
        <w:rPr>
          <w:rFonts w:ascii="Times New Roman" w:hAnsi="Times New Roman" w:cs="Times New Roman"/>
          <w:color w:val="231F20"/>
        </w:rPr>
      </w:pPr>
    </w:p>
    <w:p w:rsidR="009E65C4" w:rsidRDefault="009E65C4">
      <w:pPr>
        <w:rPr>
          <w:rFonts w:ascii="Times New Roman" w:hAnsi="Times New Roman" w:cs="Times New Roman"/>
          <w:color w:val="231F20"/>
        </w:rPr>
      </w:pPr>
    </w:p>
    <w:p w:rsidR="009E65C4" w:rsidRDefault="009E65C4" w:rsidP="009E65C4">
      <w:pPr>
        <w:jc w:val="center"/>
      </w:pPr>
      <w:r w:rsidRPr="009E65C4">
        <w:rPr>
          <w:rFonts w:ascii="Times New Roman" w:hAnsi="Times New Roman" w:cs="Times New Roman"/>
          <w:noProof/>
          <w:color w:val="231F20"/>
        </w:rPr>
        <w:lastRenderedPageBreak/>
        <w:drawing>
          <wp:inline distT="0" distB="0" distL="0" distR="0">
            <wp:extent cx="4093845" cy="2732405"/>
            <wp:effectExtent l="19050" t="0" r="1905" b="0"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C4" w:rsidRDefault="009E65C4" w:rsidP="009E65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 2 Optimization of Wt. % of MgO in TiO</w:t>
      </w:r>
      <w:r w:rsidRPr="00C46518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/MgO nanocomposite</w:t>
      </w:r>
    </w:p>
    <w:p w:rsidR="00160A77" w:rsidRDefault="00160A77" w:rsidP="009E65C4">
      <w:pPr>
        <w:jc w:val="center"/>
        <w:rPr>
          <w:rFonts w:ascii="Times New Roman" w:hAnsi="Times New Roman" w:cs="Times New Roman"/>
        </w:rPr>
      </w:pPr>
    </w:p>
    <w:p w:rsidR="00160A77" w:rsidRDefault="00160A77" w:rsidP="009E65C4">
      <w:pPr>
        <w:jc w:val="center"/>
        <w:rPr>
          <w:rFonts w:ascii="Times New Roman" w:hAnsi="Times New Roman" w:cs="Times New Roman"/>
        </w:rPr>
      </w:pPr>
      <w:r w:rsidRPr="00B10FC9">
        <w:rPr>
          <w:rFonts w:ascii="Times New Roman" w:hAnsi="Times New Roman" w:cs="Times New Roman"/>
          <w:b/>
        </w:rPr>
        <w:t>Reusability of the photocatalyst</w:t>
      </w:r>
    </w:p>
    <w:p w:rsidR="00160A77" w:rsidRDefault="00160A77" w:rsidP="009E65C4">
      <w:pPr>
        <w:jc w:val="center"/>
        <w:rPr>
          <w:rFonts w:ascii="Times New Roman" w:hAnsi="Times New Roman" w:cs="Times New Roman"/>
        </w:rPr>
      </w:pPr>
      <w:r w:rsidRPr="00160A77">
        <w:rPr>
          <w:rFonts w:ascii="Times New Roman" w:hAnsi="Times New Roman" w:cs="Times New Roman"/>
          <w:noProof/>
        </w:rPr>
        <w:drawing>
          <wp:inline distT="0" distB="0" distL="0" distR="0">
            <wp:extent cx="3092286" cy="2596031"/>
            <wp:effectExtent l="19050" t="0" r="0" b="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032" cy="259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A77" w:rsidRPr="00355CA5" w:rsidRDefault="00160A77" w:rsidP="00160A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 3 Reusability of TiO</w:t>
      </w:r>
      <w:r w:rsidRPr="00775B1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/MgO/Chitosan hydrogel in degrading MO</w:t>
      </w:r>
    </w:p>
    <w:p w:rsidR="00160A77" w:rsidRDefault="00160A77" w:rsidP="009E65C4">
      <w:pPr>
        <w:jc w:val="center"/>
        <w:rPr>
          <w:rFonts w:ascii="Times New Roman" w:hAnsi="Times New Roman" w:cs="Times New Roman"/>
        </w:rPr>
      </w:pPr>
    </w:p>
    <w:p w:rsidR="00791EA2" w:rsidRPr="00355CA5" w:rsidRDefault="00791EA2" w:rsidP="00791EA2">
      <w:pPr>
        <w:ind w:left="238"/>
        <w:jc w:val="both"/>
        <w:rPr>
          <w:rFonts w:ascii="Times New Roman" w:hAnsi="Times New Roman" w:cs="Times New Roman"/>
        </w:rPr>
      </w:pPr>
      <w:r w:rsidRPr="00355CA5">
        <w:rPr>
          <w:rFonts w:ascii="Times New Roman" w:hAnsi="Times New Roman" w:cs="Times New Roman"/>
        </w:rPr>
        <w:t xml:space="preserve">Kinetics of the photocatalytic reaction with respect to the initial dye concentration </w:t>
      </w:r>
      <w:r>
        <w:rPr>
          <w:rFonts w:ascii="Times New Roman" w:hAnsi="Times New Roman" w:cs="Times New Roman"/>
        </w:rPr>
        <w:t>of MO and ARS is</w:t>
      </w:r>
      <w:r w:rsidRPr="00355C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 </w:t>
      </w:r>
      <w:r w:rsidRPr="00355CA5">
        <w:rPr>
          <w:rFonts w:ascii="Times New Roman" w:hAnsi="Times New Roman" w:cs="Times New Roman"/>
        </w:rPr>
        <w:t xml:space="preserve">shown in </w:t>
      </w:r>
      <w:r>
        <w:rPr>
          <w:rFonts w:ascii="Times New Roman" w:hAnsi="Times New Roman" w:cs="Times New Roman"/>
        </w:rPr>
        <w:t>fig. 4.</w:t>
      </w:r>
      <w:r w:rsidRPr="00355CA5">
        <w:rPr>
          <w:rFonts w:ascii="Times New Roman" w:hAnsi="Times New Roman" w:cs="Times New Roman"/>
        </w:rPr>
        <w:t xml:space="preserve">                        </w:t>
      </w:r>
    </w:p>
    <w:p w:rsidR="00791EA2" w:rsidRPr="00C46518" w:rsidRDefault="00791EA2" w:rsidP="00791EA2">
      <w:pPr>
        <w:jc w:val="both"/>
        <w:rPr>
          <w:rFonts w:ascii="Times New Roman" w:hAnsi="Times New Roman" w:cs="Times New Roman"/>
        </w:rPr>
      </w:pPr>
    </w:p>
    <w:p w:rsidR="00791EA2" w:rsidRPr="00355CA5" w:rsidRDefault="00791EA2" w:rsidP="00791EA2">
      <w:pPr>
        <w:ind w:left="238"/>
        <w:jc w:val="both"/>
        <w:rPr>
          <w:rFonts w:ascii="Times New Roman" w:hAnsi="Times New Roman" w:cs="Times New Roman"/>
        </w:rPr>
      </w:pPr>
      <w:r w:rsidRPr="00791EA2">
        <w:rPr>
          <w:noProof/>
        </w:rPr>
        <w:lastRenderedPageBreak/>
        <w:drawing>
          <wp:inline distT="0" distB="0" distL="0" distR="0">
            <wp:extent cx="4083050" cy="3328035"/>
            <wp:effectExtent l="19050" t="0" r="0" b="0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EA2">
        <w:rPr>
          <w:rFonts w:ascii="Times New Roman" w:hAnsi="Times New Roman" w:cs="Times New Roman"/>
        </w:rPr>
        <w:t xml:space="preserve"> </w:t>
      </w:r>
    </w:p>
    <w:p w:rsidR="00791EA2" w:rsidRDefault="00791EA2" w:rsidP="00791EA2">
      <w:pPr>
        <w:spacing w:after="0"/>
        <w:ind w:left="90"/>
        <w:jc w:val="center"/>
        <w:rPr>
          <w:rFonts w:ascii="Times New Roman" w:hAnsi="Times New Roman" w:cs="Times New Roman"/>
        </w:rPr>
      </w:pPr>
    </w:p>
    <w:p w:rsidR="00791EA2" w:rsidRDefault="00791EA2" w:rsidP="00791EA2">
      <w:pPr>
        <w:ind w:left="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Fig. 4 Degradation kinetics in degrading MO and ARS dye solution </w:t>
      </w:r>
    </w:p>
    <w:p w:rsidR="009E65C4" w:rsidRDefault="00791EA2" w:rsidP="00791EA2">
      <w:pPr>
        <w:rPr>
          <w:rFonts w:ascii="Times New Roman" w:hAnsi="Times New Roman" w:cs="Times New Roman"/>
        </w:rPr>
      </w:pPr>
      <w:r w:rsidRPr="00355CA5">
        <w:rPr>
          <w:rFonts w:ascii="Times New Roman" w:hAnsi="Times New Roman" w:cs="Times New Roman"/>
        </w:rPr>
        <w:t xml:space="preserve">It can be seen </w:t>
      </w:r>
      <w:r>
        <w:rPr>
          <w:rFonts w:ascii="Times New Roman" w:hAnsi="Times New Roman" w:cs="Times New Roman"/>
        </w:rPr>
        <w:t xml:space="preserve">from </w:t>
      </w:r>
      <w:r w:rsidR="00660C8F">
        <w:rPr>
          <w:rFonts w:ascii="Times New Roman" w:hAnsi="Times New Roman" w:cs="Times New Roman"/>
        </w:rPr>
        <w:t>figure</w:t>
      </w:r>
      <w:r>
        <w:rPr>
          <w:rFonts w:ascii="Times New Roman" w:hAnsi="Times New Roman" w:cs="Times New Roman"/>
        </w:rPr>
        <w:t xml:space="preserve"> </w:t>
      </w:r>
      <w:r w:rsidRPr="00355CA5">
        <w:rPr>
          <w:rFonts w:ascii="Times New Roman" w:hAnsi="Times New Roman" w:cs="Times New Roman"/>
        </w:rPr>
        <w:t xml:space="preserve">that as the initial concentration of the </w:t>
      </w:r>
      <w:r>
        <w:rPr>
          <w:rFonts w:ascii="Times New Roman" w:hAnsi="Times New Roman" w:cs="Times New Roman"/>
        </w:rPr>
        <w:t xml:space="preserve">MO </w:t>
      </w:r>
      <w:r w:rsidRPr="00355CA5">
        <w:rPr>
          <w:rFonts w:ascii="Times New Roman" w:hAnsi="Times New Roman" w:cs="Times New Roman"/>
        </w:rPr>
        <w:t>dye increases from 3 ppm to 9 ppm, the degradation rate decreases from 0.031892min</w:t>
      </w:r>
      <w:r w:rsidRPr="00355CA5">
        <w:rPr>
          <w:rFonts w:ascii="Times New Roman" w:hAnsi="Times New Roman" w:cs="Times New Roman"/>
          <w:vertAlign w:val="superscript"/>
        </w:rPr>
        <w:t>-1</w:t>
      </w:r>
      <w:r w:rsidRPr="00355CA5">
        <w:rPr>
          <w:rFonts w:ascii="Times New Roman" w:hAnsi="Times New Roman" w:cs="Times New Roman"/>
        </w:rPr>
        <w:t xml:space="preserve"> to 0.011698min</w:t>
      </w:r>
      <w:r w:rsidRPr="00355CA5">
        <w:rPr>
          <w:rFonts w:ascii="Times New Roman" w:hAnsi="Times New Roman" w:cs="Times New Roman"/>
          <w:vertAlign w:val="superscript"/>
        </w:rPr>
        <w:t>-1</w:t>
      </w:r>
      <w:r w:rsidRPr="00355C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In the case of ARS, as the</w:t>
      </w:r>
      <w:r w:rsidRPr="00355CA5">
        <w:rPr>
          <w:rFonts w:ascii="Times New Roman" w:hAnsi="Times New Roman" w:cs="Times New Roman"/>
        </w:rPr>
        <w:t xml:space="preserve"> initial concentration of the dye increases from 3 ppm to 9 ppm, the degradation rate decreases from 0.0</w:t>
      </w:r>
      <w:r>
        <w:rPr>
          <w:rFonts w:ascii="Times New Roman" w:hAnsi="Times New Roman" w:cs="Times New Roman"/>
        </w:rPr>
        <w:t>14897</w:t>
      </w:r>
      <w:r w:rsidRPr="00355CA5">
        <w:rPr>
          <w:rFonts w:ascii="Times New Roman" w:hAnsi="Times New Roman" w:cs="Times New Roman"/>
        </w:rPr>
        <w:t>min</w:t>
      </w:r>
      <w:r w:rsidRPr="00355CA5">
        <w:rPr>
          <w:rFonts w:ascii="Times New Roman" w:hAnsi="Times New Roman" w:cs="Times New Roman"/>
          <w:vertAlign w:val="superscript"/>
        </w:rPr>
        <w:t>-1</w:t>
      </w:r>
      <w:r w:rsidRPr="00355CA5">
        <w:rPr>
          <w:rFonts w:ascii="Times New Roman" w:hAnsi="Times New Roman" w:cs="Times New Roman"/>
        </w:rPr>
        <w:t xml:space="preserve"> to 0.0</w:t>
      </w:r>
      <w:r>
        <w:rPr>
          <w:rFonts w:ascii="Times New Roman" w:hAnsi="Times New Roman" w:cs="Times New Roman"/>
        </w:rPr>
        <w:t>05816</w:t>
      </w:r>
      <w:r w:rsidRPr="00355CA5">
        <w:rPr>
          <w:rFonts w:ascii="Times New Roman" w:hAnsi="Times New Roman" w:cs="Times New Roman"/>
        </w:rPr>
        <w:t>min</w:t>
      </w:r>
      <w:r w:rsidRPr="00355CA5">
        <w:rPr>
          <w:rFonts w:ascii="Times New Roman" w:hAnsi="Times New Roman" w:cs="Times New Roman"/>
          <w:vertAlign w:val="superscript"/>
        </w:rPr>
        <w:t>-1</w:t>
      </w:r>
      <w:r w:rsidRPr="008863B3">
        <w:rPr>
          <w:rFonts w:ascii="Times New Roman" w:hAnsi="Times New Roman" w:cs="Times New Roman"/>
        </w:rPr>
        <w:t>.</w:t>
      </w:r>
    </w:p>
    <w:p w:rsidR="00791EA2" w:rsidRDefault="00791EA2" w:rsidP="00791EA2">
      <w:pPr>
        <w:rPr>
          <w:rFonts w:ascii="Times New Roman" w:hAnsi="Times New Roman" w:cs="Times New Roman"/>
          <w:b/>
        </w:rPr>
      </w:pPr>
      <w:r w:rsidRPr="00355CA5">
        <w:rPr>
          <w:rFonts w:ascii="Times New Roman" w:hAnsi="Times New Roman" w:cs="Times New Roman"/>
          <w:b/>
        </w:rPr>
        <w:t>Photocatalytic Degradation Kinetics</w:t>
      </w:r>
    </w:p>
    <w:p w:rsidR="00791EA2" w:rsidRDefault="00791EA2" w:rsidP="00791EA2">
      <w:pPr>
        <w:jc w:val="both"/>
        <w:rPr>
          <w:rFonts w:ascii="Times New Roman" w:hAnsi="Times New Roman" w:cs="Times New Roman"/>
        </w:rPr>
      </w:pPr>
      <w:r w:rsidRPr="00355CA5">
        <w:rPr>
          <w:rFonts w:ascii="Times New Roman" w:hAnsi="Times New Roman" w:cs="Times New Roman"/>
        </w:rPr>
        <w:t>A plot of  -ln(C/C</w:t>
      </w:r>
      <w:r w:rsidRPr="00355CA5">
        <w:rPr>
          <w:rFonts w:ascii="Times New Roman" w:hAnsi="Times New Roman" w:cs="Times New Roman"/>
          <w:vertAlign w:val="subscript"/>
        </w:rPr>
        <w:t>0</w:t>
      </w:r>
      <w:r w:rsidRPr="00355CA5">
        <w:rPr>
          <w:rFonts w:ascii="Times New Roman" w:hAnsi="Times New Roman" w:cs="Times New Roman"/>
        </w:rPr>
        <w:t>) against t will give a straight line if the reaction is of first order.</w:t>
      </w:r>
      <w:r>
        <w:rPr>
          <w:rFonts w:ascii="Times New Roman" w:hAnsi="Times New Roman" w:cs="Times New Roman"/>
        </w:rPr>
        <w:t xml:space="preserve"> </w:t>
      </w:r>
      <w:r w:rsidRPr="00355CA5">
        <w:rPr>
          <w:rFonts w:ascii="Times New Roman" w:hAnsi="Times New Roman" w:cs="Times New Roman"/>
        </w:rPr>
        <w:t xml:space="preserve">Kinetics of the photocatalytic reaction with respect to the initial dye concentration </w:t>
      </w:r>
      <w:r>
        <w:rPr>
          <w:rFonts w:ascii="Times New Roman" w:hAnsi="Times New Roman" w:cs="Times New Roman"/>
        </w:rPr>
        <w:t>of MO and ARS is</w:t>
      </w:r>
      <w:r w:rsidRPr="00355CA5">
        <w:rPr>
          <w:rFonts w:ascii="Times New Roman" w:hAnsi="Times New Roman" w:cs="Times New Roman"/>
        </w:rPr>
        <w:t xml:space="preserve"> shown in </w:t>
      </w:r>
      <w:r>
        <w:rPr>
          <w:rFonts w:ascii="Times New Roman" w:hAnsi="Times New Roman" w:cs="Times New Roman"/>
        </w:rPr>
        <w:t>supporting information. A</w:t>
      </w:r>
      <w:r w:rsidRPr="00355CA5">
        <w:rPr>
          <w:rFonts w:ascii="Times New Roman" w:hAnsi="Times New Roman" w:cs="Times New Roman"/>
        </w:rPr>
        <w:t xml:space="preserve">s the initial concentration of the </w:t>
      </w:r>
      <w:r>
        <w:rPr>
          <w:rFonts w:ascii="Times New Roman" w:hAnsi="Times New Roman" w:cs="Times New Roman"/>
        </w:rPr>
        <w:t xml:space="preserve">MO </w:t>
      </w:r>
      <w:r w:rsidRPr="00355CA5">
        <w:rPr>
          <w:rFonts w:ascii="Times New Roman" w:hAnsi="Times New Roman" w:cs="Times New Roman"/>
        </w:rPr>
        <w:t>dye increases from 3 ppm to 9 ppm, the degradation rate decreases from 0.031892</w:t>
      </w:r>
      <w:r>
        <w:rPr>
          <w:rFonts w:ascii="Times New Roman" w:hAnsi="Times New Roman" w:cs="Times New Roman"/>
        </w:rPr>
        <w:t xml:space="preserve"> </w:t>
      </w:r>
      <w:r w:rsidRPr="00355CA5">
        <w:rPr>
          <w:rFonts w:ascii="Times New Roman" w:hAnsi="Times New Roman" w:cs="Times New Roman"/>
        </w:rPr>
        <w:t>min</w:t>
      </w:r>
      <w:r w:rsidRPr="00355CA5">
        <w:rPr>
          <w:rFonts w:ascii="Times New Roman" w:hAnsi="Times New Roman" w:cs="Times New Roman"/>
          <w:vertAlign w:val="superscript"/>
        </w:rPr>
        <w:t>-1</w:t>
      </w:r>
      <w:r w:rsidRPr="00355CA5">
        <w:rPr>
          <w:rFonts w:ascii="Times New Roman" w:hAnsi="Times New Roman" w:cs="Times New Roman"/>
        </w:rPr>
        <w:t xml:space="preserve"> to 0.011698</w:t>
      </w:r>
      <w:r>
        <w:rPr>
          <w:rFonts w:ascii="Times New Roman" w:hAnsi="Times New Roman" w:cs="Times New Roman"/>
        </w:rPr>
        <w:t xml:space="preserve"> </w:t>
      </w:r>
      <w:r w:rsidRPr="00355CA5">
        <w:rPr>
          <w:rFonts w:ascii="Times New Roman" w:hAnsi="Times New Roman" w:cs="Times New Roman"/>
        </w:rPr>
        <w:t>min</w:t>
      </w:r>
      <w:r w:rsidRPr="00355CA5">
        <w:rPr>
          <w:rFonts w:ascii="Times New Roman" w:hAnsi="Times New Roman" w:cs="Times New Roman"/>
          <w:vertAlign w:val="superscript"/>
        </w:rPr>
        <w:t>-1</w:t>
      </w:r>
      <w:r w:rsidRPr="00355C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In the case of ARS, as the</w:t>
      </w:r>
      <w:r w:rsidRPr="00355CA5">
        <w:rPr>
          <w:rFonts w:ascii="Times New Roman" w:hAnsi="Times New Roman" w:cs="Times New Roman"/>
        </w:rPr>
        <w:t xml:space="preserve"> initial concentration of the dye increases from 3 ppm to 9 ppm, the degradation rate decreases from 0.0</w:t>
      </w:r>
      <w:r>
        <w:rPr>
          <w:rFonts w:ascii="Times New Roman" w:hAnsi="Times New Roman" w:cs="Times New Roman"/>
        </w:rPr>
        <w:t xml:space="preserve">14897 </w:t>
      </w:r>
      <w:r w:rsidRPr="00355CA5">
        <w:rPr>
          <w:rFonts w:ascii="Times New Roman" w:hAnsi="Times New Roman" w:cs="Times New Roman"/>
        </w:rPr>
        <w:t>min</w:t>
      </w:r>
      <w:r w:rsidRPr="00355CA5">
        <w:rPr>
          <w:rFonts w:ascii="Times New Roman" w:hAnsi="Times New Roman" w:cs="Times New Roman"/>
          <w:vertAlign w:val="superscript"/>
        </w:rPr>
        <w:t>-1</w:t>
      </w:r>
      <w:r w:rsidRPr="00355CA5">
        <w:rPr>
          <w:rFonts w:ascii="Times New Roman" w:hAnsi="Times New Roman" w:cs="Times New Roman"/>
        </w:rPr>
        <w:t xml:space="preserve"> to 0.0</w:t>
      </w:r>
      <w:r>
        <w:rPr>
          <w:rFonts w:ascii="Times New Roman" w:hAnsi="Times New Roman" w:cs="Times New Roman"/>
        </w:rPr>
        <w:t xml:space="preserve">05816 </w:t>
      </w:r>
      <w:r w:rsidRPr="00355CA5">
        <w:rPr>
          <w:rFonts w:ascii="Times New Roman" w:hAnsi="Times New Roman" w:cs="Times New Roman"/>
        </w:rPr>
        <w:t>min</w:t>
      </w:r>
      <w:r w:rsidRPr="00355CA5">
        <w:rPr>
          <w:rFonts w:ascii="Times New Roman" w:hAnsi="Times New Roman" w:cs="Times New Roman"/>
          <w:vertAlign w:val="superscript"/>
        </w:rPr>
        <w:t>-1</w:t>
      </w:r>
      <w:r w:rsidRPr="008863B3">
        <w:rPr>
          <w:rFonts w:ascii="Times New Roman" w:hAnsi="Times New Roman" w:cs="Times New Roman"/>
        </w:rPr>
        <w:t>.</w:t>
      </w:r>
    </w:p>
    <w:p w:rsidR="00791EA2" w:rsidRDefault="00791EA2" w:rsidP="00791EA2">
      <w:pPr>
        <w:jc w:val="center"/>
      </w:pPr>
      <w:r w:rsidRPr="00791EA2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455670" cy="2945130"/>
            <wp:effectExtent l="19050" t="0" r="0" b="0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EA2" w:rsidRDefault="00791EA2" w:rsidP="00791E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Fig. </w:t>
      </w:r>
      <w:r w:rsidR="0041042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L-H kinetics for MO and ARS degradation</w:t>
      </w:r>
    </w:p>
    <w:p w:rsidR="0041042E" w:rsidRDefault="0041042E" w:rsidP="00791E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042E" w:rsidRDefault="0041042E" w:rsidP="004104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355CA5">
        <w:rPr>
          <w:rFonts w:ascii="Times New Roman" w:hAnsi="Times New Roman" w:cs="Times New Roman"/>
        </w:rPr>
        <w:t xml:space="preserve">degradation of MO and ARS as a function of irradiation time </w:t>
      </w:r>
      <w:r>
        <w:rPr>
          <w:rFonts w:ascii="Times New Roman" w:hAnsi="Times New Roman" w:cs="Times New Roman"/>
        </w:rPr>
        <w:t>using TiO</w:t>
      </w:r>
      <w:r w:rsidRPr="0041042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/MgO nanocomposite and TiO</w:t>
      </w:r>
      <w:r w:rsidRPr="0041042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/MgO/chitosan hydrogel is shown in fig.6.</w:t>
      </w:r>
    </w:p>
    <w:p w:rsidR="0041042E" w:rsidRDefault="0041042E" w:rsidP="00791E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1042E" w:rsidRDefault="0041042E" w:rsidP="00791E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1042E">
        <w:rPr>
          <w:rFonts w:ascii="Times New Roman" w:hAnsi="Times New Roman" w:cs="Times New Roman"/>
          <w:noProof/>
        </w:rPr>
        <w:drawing>
          <wp:inline distT="0" distB="0" distL="0" distR="0">
            <wp:extent cx="3402330" cy="2052320"/>
            <wp:effectExtent l="19050" t="0" r="7620" b="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42E" w:rsidRDefault="0041042E" w:rsidP="004104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Fig.6 Degradation efficiency of TiO</w:t>
      </w:r>
      <w:r w:rsidRPr="00891EE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/MgO nanocomposite and </w:t>
      </w:r>
    </w:p>
    <w:p w:rsidR="0041042E" w:rsidRDefault="0041042E" w:rsidP="004104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TiO</w:t>
      </w:r>
      <w:r w:rsidRPr="00891EE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/MgO/Chitosan hydrogels in degrading MO and ARS</w:t>
      </w:r>
    </w:p>
    <w:p w:rsidR="00B27211" w:rsidRDefault="00B27211" w:rsidP="004104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B27211" w:rsidRDefault="00B27211" w:rsidP="00B272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55CA5">
        <w:rPr>
          <w:rFonts w:ascii="Times New Roman" w:hAnsi="Times New Roman" w:cs="Times New Roman"/>
        </w:rPr>
        <w:t xml:space="preserve">Langmuir and Freundlich adsorption isotherms thus obtained </w:t>
      </w:r>
      <w:r>
        <w:rPr>
          <w:rFonts w:ascii="Times New Roman" w:hAnsi="Times New Roman" w:cs="Times New Roman"/>
        </w:rPr>
        <w:t>are</w:t>
      </w:r>
      <w:r w:rsidRPr="00355CA5">
        <w:rPr>
          <w:rFonts w:ascii="Times New Roman" w:hAnsi="Times New Roman" w:cs="Times New Roman"/>
        </w:rPr>
        <w:t xml:space="preserve"> shown in </w:t>
      </w:r>
      <w:r>
        <w:rPr>
          <w:rFonts w:ascii="Times New Roman" w:hAnsi="Times New Roman" w:cs="Times New Roman"/>
        </w:rPr>
        <w:t>F</w:t>
      </w:r>
      <w:r w:rsidRPr="00355CA5">
        <w:rPr>
          <w:rFonts w:ascii="Times New Roman" w:hAnsi="Times New Roman" w:cs="Times New Roman"/>
        </w:rPr>
        <w:t>ig</w:t>
      </w:r>
      <w:r>
        <w:rPr>
          <w:rFonts w:ascii="Times New Roman" w:hAnsi="Times New Roman" w:cs="Times New Roman"/>
        </w:rPr>
        <w:t>. 7</w:t>
      </w:r>
      <w:r w:rsidRPr="00355CA5">
        <w:rPr>
          <w:rFonts w:ascii="Times New Roman" w:hAnsi="Times New Roman" w:cs="Times New Roman"/>
        </w:rPr>
        <w:t>.</w:t>
      </w:r>
    </w:p>
    <w:p w:rsidR="00B27211" w:rsidRDefault="00B27211" w:rsidP="004104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B27211" w:rsidRDefault="00B27211" w:rsidP="004104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B27211">
        <w:rPr>
          <w:rFonts w:ascii="Times New Roman" w:hAnsi="Times New Roman" w:cs="Times New Roman"/>
        </w:rPr>
        <w:lastRenderedPageBreak/>
        <w:drawing>
          <wp:inline distT="0" distB="0" distL="0" distR="0">
            <wp:extent cx="5260975" cy="2434590"/>
            <wp:effectExtent l="19050" t="0" r="0" b="0"/>
            <wp:docPr id="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211" w:rsidRPr="00355CA5" w:rsidRDefault="00B27211" w:rsidP="00B272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Fig.7 Langmuir and Freundlich adsorption isotherm for MO and ARS</w:t>
      </w:r>
    </w:p>
    <w:p w:rsidR="00B27211" w:rsidRDefault="00B27211" w:rsidP="004104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91EA2" w:rsidRDefault="00791EA2" w:rsidP="00791EA2"/>
    <w:sectPr w:rsidR="00791EA2" w:rsidSect="0005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E65C4"/>
    <w:rsid w:val="000522CA"/>
    <w:rsid w:val="00160A77"/>
    <w:rsid w:val="0041042E"/>
    <w:rsid w:val="00660C8F"/>
    <w:rsid w:val="00791EA2"/>
    <w:rsid w:val="009E65C4"/>
    <w:rsid w:val="00B27211"/>
    <w:rsid w:val="00BB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dhanyaarikal</dc:creator>
  <cp:lastModifiedBy>dhanyaarikal</cp:lastModifiedBy>
  <cp:revision>5</cp:revision>
  <dcterms:created xsi:type="dcterms:W3CDTF">2019-11-15T06:16:00Z</dcterms:created>
  <dcterms:modified xsi:type="dcterms:W3CDTF">2019-11-28T12:26:00Z</dcterms:modified>
</cp:coreProperties>
</file>