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67" w:rsidRDefault="002B2767" w:rsidP="002B2767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605916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="00605916" w:rsidRPr="006059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Results of rank-based ANOVA type analyses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Aphanomyces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root rot ratings of pea and lentil. Main effects were analyzed in SAS </w:t>
      </w:r>
      <w:r w:rsidRPr="004950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version </w:t>
      </w:r>
      <w:r w:rsidRPr="0049503A"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03A">
        <w:rPr>
          <w:rFonts w:ascii="Times New Roman" w:hAnsi="Times New Roman" w:cs="Times New Roman"/>
          <w:sz w:val="24"/>
          <w:szCs w:val="24"/>
        </w:rPr>
        <w:t xml:space="preserve"> SAS Institute Inc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03A">
        <w:rPr>
          <w:rFonts w:ascii="Times New Roman" w:hAnsi="Times New Roman" w:cs="Times New Roman"/>
          <w:sz w:val="24"/>
          <w:szCs w:val="24"/>
        </w:rPr>
        <w:t xml:space="preserve"> 2014)</w:t>
      </w:r>
      <w:r>
        <w:rPr>
          <w:rFonts w:ascii="Times New Roman" w:hAnsi="Times New Roman" w:cs="Times New Roman"/>
          <w:sz w:val="24"/>
          <w:szCs w:val="24"/>
        </w:rPr>
        <w:t xml:space="preserve"> with the macros </w:t>
      </w:r>
      <w:r>
        <w:rPr>
          <w:rFonts w:ascii="Times New Roman" w:hAnsi="Times New Roman" w:cs="Times New Roman"/>
          <w:i/>
          <w:sz w:val="24"/>
          <w:szCs w:val="24"/>
        </w:rPr>
        <w:t>F2_LD</w:t>
      </w:r>
      <w:r>
        <w:rPr>
          <w:rFonts w:ascii="Times New Roman" w:hAnsi="Times New Roman" w:cs="Times New Roman"/>
          <w:i/>
          <w:sz w:val="24"/>
          <w:szCs w:val="24"/>
        </w:rPr>
        <w:softHyphen/>
        <w:t xml:space="preserve">_F1 </w:t>
      </w:r>
      <w:r w:rsidRPr="00BB0259">
        <w:rPr>
          <w:rFonts w:ascii="Times New Roman" w:hAnsi="Times New Roman" w:cs="Times New Roman"/>
          <w:sz w:val="24"/>
          <w:szCs w:val="24"/>
        </w:rPr>
        <w:t>(for combined data sets)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F1_LD</w:t>
      </w:r>
      <w:r>
        <w:rPr>
          <w:rFonts w:ascii="Times New Roman" w:hAnsi="Times New Roman" w:cs="Times New Roman"/>
          <w:i/>
          <w:sz w:val="24"/>
          <w:szCs w:val="24"/>
        </w:rPr>
        <w:softHyphen/>
        <w:t xml:space="preserve">_F1 </w:t>
      </w:r>
      <w:r>
        <w:rPr>
          <w:rFonts w:ascii="Times New Roman" w:hAnsi="Times New Roman" w:cs="Times New Roman"/>
          <w:sz w:val="24"/>
          <w:szCs w:val="24"/>
        </w:rPr>
        <w:t xml:space="preserve">(for individual data sets) </w:t>
      </w:r>
      <w:r w:rsidRPr="00BB0259">
        <w:rPr>
          <w:rFonts w:ascii="Times New Roman" w:hAnsi="Times New Roman" w:cs="Times New Roman"/>
          <w:sz w:val="24"/>
          <w:szCs w:val="24"/>
        </w:rPr>
        <w:t xml:space="preserve">developed by Brunner </w:t>
      </w:r>
      <w:r>
        <w:rPr>
          <w:rFonts w:ascii="Times New Roman" w:hAnsi="Times New Roman" w:cs="Times New Roman"/>
          <w:sz w:val="24"/>
          <w:szCs w:val="24"/>
        </w:rPr>
        <w:t>and Langer (1999)</w:t>
      </w:r>
      <w:r w:rsidRPr="001E7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 on relative effects 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̂</w:t>
      </w:r>
      <w:r w:rsidRPr="00104410">
        <w:rPr>
          <w:rFonts w:ascii="Arial Unicode MS" w:eastAsia="Arial Unicode MS" w:hAnsi="Arial Unicode MS" w:cs="Arial Unicode MS"/>
          <w:i/>
          <w:sz w:val="24"/>
          <w:szCs w:val="24"/>
          <w:vertAlign w:val="subscript"/>
        </w:rPr>
        <w:t>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Simple linear contrasts were specified with the mixed model procedure using the ANOVAF option and the </w:t>
      </w:r>
      <w:r w:rsidRPr="00723AFB">
        <w:rPr>
          <w:rFonts w:ascii="Times New Roman" w:hAnsi="Times New Roman" w:cs="Times New Roman"/>
          <w:sz w:val="24"/>
          <w:szCs w:val="24"/>
        </w:rPr>
        <w:t>minimum variance quadratic unbiased estimation of the covariance parameters</w:t>
      </w:r>
      <w:r>
        <w:rPr>
          <w:rFonts w:ascii="Times New Roman" w:hAnsi="Times New Roman" w:cs="Times New Roman"/>
          <w:sz w:val="24"/>
          <w:szCs w:val="24"/>
        </w:rPr>
        <w:t xml:space="preserve"> method (</w:t>
      </w:r>
      <w:r w:rsidRPr="00CB76B9">
        <w:rPr>
          <w:rFonts w:ascii="Times New Roman" w:hAnsi="Times New Roman" w:cs="Times New Roman"/>
          <w:sz w:val="24"/>
          <w:szCs w:val="24"/>
        </w:rPr>
        <w:t>MIVQUE0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described by Brunner (2001).</w:t>
      </w:r>
      <w:r w:rsidR="006059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8"/>
        <w:gridCol w:w="1559"/>
        <w:gridCol w:w="3119"/>
        <w:gridCol w:w="860"/>
        <w:gridCol w:w="860"/>
        <w:gridCol w:w="1007"/>
        <w:gridCol w:w="1070"/>
      </w:tblGrid>
      <w:tr w:rsidR="002B2767" w:rsidRPr="00605916" w:rsidTr="00B4054D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Experimental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ANOVA-type statistics (ATS)</w:t>
            </w:r>
          </w:p>
        </w:tc>
      </w:tr>
      <w:tr w:rsidR="002B2767" w:rsidRPr="00605916" w:rsidTr="00B4054D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Run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df</w:t>
            </w:r>
            <w:r w:rsidRPr="0060591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df</w:t>
            </w:r>
            <w:r w:rsidRPr="0060591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ATS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 value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Pea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Combined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Experimental run (E)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11.417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22.95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0.00011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Genotype (G)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11.417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14.99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0.00084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11.417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0.6934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Concentration 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74.3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4.9153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38.9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0.27944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 x 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7.4751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38.9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0.40681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100 vs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0.0013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500 vs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0.0159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1,000 vs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39.19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5,000 vs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0.0203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0.1269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0.0097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8.19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0.0087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0.0018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0.195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Genotype (G)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1.2934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2.8671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0.48859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0.58366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Concentration 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2.4253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31.95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3.4607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0.94554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0.427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100 vs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0.0577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500 vs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0.6912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1,000 vs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21.23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5,000 vs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10.74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MN313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0.0564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0.6112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0.3173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0.9029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0.0247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Genotype (G)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1.9892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8.9031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13.42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0.00207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Concentration 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3.1811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156CEE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33.984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4.3007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156CEE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3.0116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0.01454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100 vs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500 vs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0.1039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1,000 vs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18.7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26.16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5,000 vs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0.1094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MN313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14.47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25.34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0.1678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16.73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0.0025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12.62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Genotype (G)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1.7283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6.8475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6.531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0.02829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Concentration 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2.607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13.454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4.0223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0.46711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0.76098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100 vs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500 vs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0.4583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1,000 vs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7.35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0.0067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5,000 vs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0.9265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MN313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0.0319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20.93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8.25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0.0041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0.0199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0.0769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0.5683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USDA vs CDC Meadow at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0.2141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Lentil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Combined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Experimental run (E)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1.9566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23.083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38.953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Genotype (G)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2.8815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23.083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9.5389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0.00031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5.1362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23.083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4.7762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0.00364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Concentration 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3.0253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118.59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5.3477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9.305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7.2284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1.2093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0.2924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 x 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10.576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1.0674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0.38358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100 vs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0.0013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500 vs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29.6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0.7758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1,000 vs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109.09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5,000 vs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21.9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0.0204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IG72815 vs L01-827A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0.4315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IG72815 vs </w:t>
            </w:r>
            <w:proofErr w:type="spellStart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Eston</w:t>
            </w:r>
            <w:proofErr w:type="spellEnd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 and CDC Proclaim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0.1287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L01-827A vs </w:t>
            </w:r>
            <w:proofErr w:type="spellStart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Eston</w:t>
            </w:r>
            <w:proofErr w:type="spellEnd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 and CDC Proclaim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0.0163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Genotype (G)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2.1484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5.0169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1.6069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0.29098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Concentration 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1.8918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74.059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 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3.6913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0.69997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0.58063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100 vs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0.0089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500 vs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7.79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0.0053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1,000 vs 5,0000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41.02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5,000 vs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0.3173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IG72815 vs L01-827A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0.9854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IG72815 vs </w:t>
            </w:r>
            <w:proofErr w:type="spellStart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Eston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IG72815 vs CDC Proclaim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0.2174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L01-827A vs </w:t>
            </w:r>
            <w:proofErr w:type="spellStart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Eston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0.0134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L01-827A vs CDC Proclaim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0.1636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Genotype (G)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2.3031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8.2537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10.394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0.00476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Concentration 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2.4881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156CEE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26.707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5.4671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156CEE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1.9814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0.07132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100 vs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0.0014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500 vs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0.0677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1,000 vs 5,0000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38.7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24.37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5,000 vs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46.6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IG72815 vs L01-827A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0.8759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IG72815 vs </w:t>
            </w:r>
            <w:proofErr w:type="spellStart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Eston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0.8913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IG72815 vs CDC Proclaim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31.92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L01-827A vs </w:t>
            </w:r>
            <w:proofErr w:type="spellStart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Eston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B94B89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0.9684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L01-827A vs CDC Proclaim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7.23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25.77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Genotype (G)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2.6239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9.8767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4.4959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0.03394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Concentration 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3.288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19.956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G x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4.9815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0.53265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0.75108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100 vs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0.1401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500 vs 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0.8884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1,000 vs 5,0000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28.02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5,000 vs 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605916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∞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0.803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IG72815 vs L01-827A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9.97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0.2484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IG72815 vs </w:t>
            </w:r>
            <w:proofErr w:type="spellStart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Eston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12.79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IG72815 vs CDC Proclaim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0.8138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 xml:space="preserve">L01-827A vs </w:t>
            </w:r>
            <w:proofErr w:type="spellStart"/>
            <w:r w:rsidRPr="00605916">
              <w:rPr>
                <w:rFonts w:ascii="Times New Roman" w:eastAsia="Times New Roman" w:hAnsi="Times New Roman" w:cs="Times New Roman"/>
                <w:color w:val="000000"/>
              </w:rPr>
              <w:t>Eston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4.57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0.0513</w:t>
            </w:r>
          </w:p>
        </w:tc>
      </w:tr>
      <w:tr w:rsidR="002B2767" w:rsidRPr="00605916" w:rsidTr="00B4054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L01-827A vs CDC Proclaim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6.72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767" w:rsidRPr="00605916" w:rsidRDefault="002B2767" w:rsidP="00B4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916">
              <w:rPr>
                <w:rFonts w:ascii="Times New Roman" w:eastAsia="Times New Roman" w:hAnsi="Times New Roman" w:cs="Times New Roman"/>
                <w:color w:val="000000"/>
              </w:rPr>
              <w:t>0.2883</w:t>
            </w:r>
          </w:p>
        </w:tc>
      </w:tr>
    </w:tbl>
    <w:p w:rsidR="002B2767" w:rsidRPr="00180944" w:rsidRDefault="002B2767" w:rsidP="002B2767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6586D" w:rsidRDefault="0026586D"/>
    <w:sectPr w:rsidR="0026586D" w:rsidSect="00B4054D">
      <w:pgSz w:w="12240" w:h="15840"/>
      <w:pgMar w:top="1440" w:right="1440" w:bottom="1440" w:left="1440" w:header="0" w:footer="0" w:gutter="0"/>
      <w:lnNumType w:countBy="1" w:restart="continuous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67"/>
    <w:rsid w:val="00156CEE"/>
    <w:rsid w:val="0026586D"/>
    <w:rsid w:val="002B2767"/>
    <w:rsid w:val="00605916"/>
    <w:rsid w:val="00B4054D"/>
    <w:rsid w:val="00B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B76F"/>
  <w15:chartTrackingRefBased/>
  <w15:docId w15:val="{E8C8C535-A265-45D4-952C-57B2E8ED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B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Banniza, Sabine</dc:creator>
  <cp:keywords/>
  <dc:description/>
  <cp:lastModifiedBy>Banniza, Sabine</cp:lastModifiedBy>
  <cp:revision>3</cp:revision>
  <dcterms:created xsi:type="dcterms:W3CDTF">2019-10-07T23:36:00Z</dcterms:created>
  <dcterms:modified xsi:type="dcterms:W3CDTF">2019-10-07T23:53:00Z</dcterms:modified>
</cp:coreProperties>
</file>