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AEF" w:rsidRPr="005C6AEF" w:rsidRDefault="005C6AEF" w:rsidP="005C6AEF">
      <w:pPr>
        <w:spacing w:line="480" w:lineRule="auto"/>
        <w:rPr>
          <w:rFonts w:eastAsia="Calibri"/>
          <w:sz w:val="22"/>
          <w:szCs w:val="22"/>
        </w:rPr>
      </w:pPr>
      <w:bookmarkStart w:id="0" w:name="_GoBack"/>
      <w:bookmarkEnd w:id="0"/>
      <w:r w:rsidRPr="005C6AEF">
        <w:rPr>
          <w:rFonts w:eastAsia="Calibri"/>
          <w:sz w:val="22"/>
          <w:szCs w:val="22"/>
        </w:rPr>
        <w:t>SUPPLEMENTARY MATERIAL 1</w:t>
      </w:r>
    </w:p>
    <w:p w:rsidR="005C6AEF" w:rsidRPr="005C6AEF" w:rsidRDefault="005C6AEF" w:rsidP="005C6AEF">
      <w:pPr>
        <w:spacing w:after="200" w:line="480" w:lineRule="auto"/>
        <w:jc w:val="both"/>
        <w:rPr>
          <w:rFonts w:eastAsia="Calibri"/>
          <w:i/>
          <w:sz w:val="22"/>
          <w:szCs w:val="22"/>
        </w:rPr>
      </w:pPr>
      <w:r w:rsidRPr="005C6AEF">
        <w:rPr>
          <w:rFonts w:eastAsia="Calibri"/>
          <w:i/>
          <w:sz w:val="22"/>
          <w:szCs w:val="22"/>
        </w:rPr>
        <w:t>Monte Carlo Sampling validation using Semi Analytical Method</w:t>
      </w:r>
    </w:p>
    <w:p w:rsidR="005C6AEF" w:rsidRPr="005C6AEF" w:rsidRDefault="005C6AEF" w:rsidP="005C6AEF">
      <w:pPr>
        <w:spacing w:after="200" w:line="480" w:lineRule="auto"/>
        <w:jc w:val="both"/>
        <w:rPr>
          <w:rFonts w:eastAsia="Calibri"/>
          <w:sz w:val="22"/>
          <w:szCs w:val="22"/>
        </w:rPr>
      </w:pPr>
      <w:r w:rsidRPr="005C6AEF">
        <w:rPr>
          <w:rFonts w:eastAsia="Calibri"/>
          <w:sz w:val="22"/>
          <w:szCs w:val="22"/>
        </w:rPr>
        <w:t>For the two NTCP models based on multivariable logistic regression (swallowing problems and tube feeding dependence) it is possible to combine all sample distributions into one single distribution, which is a validation of the Monte Carlo sampling method described in the materials and methods.</w:t>
      </w:r>
    </w:p>
    <w:p w:rsidR="005C6AEF" w:rsidRPr="005C6AEF" w:rsidRDefault="005C6AEF" w:rsidP="005C6AEF">
      <w:pPr>
        <w:spacing w:after="200" w:line="480" w:lineRule="auto"/>
        <w:jc w:val="both"/>
        <w:rPr>
          <w:rFonts w:eastAsia="Calibri"/>
          <w:sz w:val="22"/>
          <w:szCs w:val="22"/>
        </w:rPr>
      </w:pPr>
      <w:r w:rsidRPr="005C6AEF">
        <w:rPr>
          <w:rFonts w:eastAsia="Calibri"/>
          <w:sz w:val="22"/>
          <w:szCs w:val="22"/>
        </w:rPr>
        <w:t>The linear part of the logistic regression formula is given by:</w:t>
      </w:r>
    </w:p>
    <w:tbl>
      <w:tblPr>
        <w:tblStyle w:val="Tabelraster1"/>
        <w:tblW w:w="5000" w:type="pct"/>
        <w:tblLook w:val="04A0" w:firstRow="1" w:lastRow="0" w:firstColumn="1" w:lastColumn="0" w:noHBand="0" w:noVBand="1"/>
      </w:tblPr>
      <w:tblGrid>
        <w:gridCol w:w="1048"/>
        <w:gridCol w:w="6966"/>
        <w:gridCol w:w="1058"/>
      </w:tblGrid>
      <w:tr w:rsidR="005C6AEF" w:rsidRPr="005C6AEF" w:rsidTr="00990DC7">
        <w:tc>
          <w:tcPr>
            <w:tcW w:w="1080" w:type="dxa"/>
            <w:tcBorders>
              <w:top w:val="nil"/>
              <w:left w:val="nil"/>
              <w:bottom w:val="nil"/>
              <w:right w:val="nil"/>
            </w:tcBorders>
            <w:shd w:val="clear" w:color="auto" w:fill="auto"/>
            <w:vAlign w:val="center"/>
          </w:tcPr>
          <w:p w:rsidR="005C6AEF" w:rsidRPr="005C6AEF" w:rsidRDefault="005C6AEF" w:rsidP="005C6AEF">
            <w:pPr>
              <w:spacing w:after="200" w:line="480" w:lineRule="auto"/>
              <w:jc w:val="both"/>
              <w:rPr>
                <w:sz w:val="22"/>
                <w:szCs w:val="22"/>
              </w:rPr>
            </w:pPr>
          </w:p>
        </w:tc>
        <w:tc>
          <w:tcPr>
            <w:tcW w:w="7199" w:type="dxa"/>
            <w:tcBorders>
              <w:top w:val="nil"/>
              <w:left w:val="nil"/>
              <w:bottom w:val="nil"/>
              <w:right w:val="nil"/>
            </w:tcBorders>
            <w:shd w:val="clear" w:color="auto" w:fill="auto"/>
            <w:vAlign w:val="center"/>
          </w:tcPr>
          <w:p w:rsidR="005C6AEF" w:rsidRPr="005C6AEF" w:rsidRDefault="005C6AEF" w:rsidP="005C6AEF">
            <w:pPr>
              <w:spacing w:after="200" w:line="480" w:lineRule="auto"/>
              <w:jc w:val="both"/>
              <w:rPr>
                <w:sz w:val="22"/>
                <w:szCs w:val="22"/>
              </w:rPr>
            </w:pPr>
            <m:oMathPara>
              <m:oMath>
                <m:r>
                  <w:rPr>
                    <w:rFonts w:ascii="Cambria Math" w:hAnsi="Cambria Math"/>
                    <w:sz w:val="22"/>
                    <w:szCs w:val="22"/>
                  </w:rPr>
                  <m:t>s=</m:t>
                </m:r>
                <m:sSub>
                  <m:sSubPr>
                    <m:ctrlPr>
                      <w:rPr>
                        <w:rFonts w:ascii="Cambria Math" w:hAnsi="Cambria Math"/>
                        <w:sz w:val="22"/>
                        <w:szCs w:val="22"/>
                      </w:rPr>
                    </m:ctrlPr>
                  </m:sSubPr>
                  <m:e>
                    <m:r>
                      <w:rPr>
                        <w:rFonts w:ascii="Cambria Math" w:hAnsi="Cambria Math"/>
                        <w:sz w:val="22"/>
                        <w:szCs w:val="22"/>
                      </w:rPr>
                      <m:t>b</m:t>
                    </m:r>
                  </m:e>
                  <m:sub>
                    <m:r>
                      <w:rPr>
                        <w:rFonts w:ascii="Cambria Math" w:hAnsi="Cambria Math"/>
                        <w:sz w:val="22"/>
                        <w:szCs w:val="22"/>
                      </w:rPr>
                      <m:t>0</m:t>
                    </m:r>
                  </m:sub>
                </m:sSub>
                <m: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b</m:t>
                    </m:r>
                  </m:e>
                  <m:sub>
                    <m:r>
                      <w:rPr>
                        <w:rFonts w:ascii="Cambria Math" w:hAnsi="Cambria Math"/>
                        <w:sz w:val="22"/>
                        <w:szCs w:val="22"/>
                      </w:rPr>
                      <m:t>1</m:t>
                    </m:r>
                  </m:sub>
                </m:sSub>
                <m: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x</m:t>
                    </m:r>
                  </m:e>
                  <m:sub>
                    <m:r>
                      <w:rPr>
                        <w:rFonts w:ascii="Cambria Math" w:hAnsi="Cambria Math"/>
                        <w:sz w:val="22"/>
                        <w:szCs w:val="22"/>
                      </w:rPr>
                      <m:t>1</m:t>
                    </m:r>
                  </m:sub>
                </m:sSub>
                <m: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b</m:t>
                    </m:r>
                  </m:e>
                  <m:sub>
                    <m:r>
                      <w:rPr>
                        <w:rFonts w:ascii="Cambria Math" w:hAnsi="Cambria Math"/>
                        <w:sz w:val="22"/>
                        <w:szCs w:val="22"/>
                      </w:rPr>
                      <m:t>n</m:t>
                    </m:r>
                  </m:sub>
                </m:sSub>
                <m:sSub>
                  <m:sSubPr>
                    <m:ctrlPr>
                      <w:rPr>
                        <w:rFonts w:ascii="Cambria Math" w:hAnsi="Cambria Math"/>
                        <w:sz w:val="22"/>
                        <w:szCs w:val="22"/>
                      </w:rPr>
                    </m:ctrlPr>
                  </m:sSubPr>
                  <m:e>
                    <m:r>
                      <w:rPr>
                        <w:rFonts w:ascii="Cambria Math" w:hAnsi="Cambria Math"/>
                        <w:sz w:val="22"/>
                        <w:szCs w:val="22"/>
                      </w:rPr>
                      <m:t>x</m:t>
                    </m:r>
                  </m:e>
                  <m:sub>
                    <m:r>
                      <w:rPr>
                        <w:rFonts w:ascii="Cambria Math" w:hAnsi="Cambria Math"/>
                        <w:sz w:val="22"/>
                        <w:szCs w:val="22"/>
                      </w:rPr>
                      <m:t>n</m:t>
                    </m:r>
                  </m:sub>
                </m:sSub>
              </m:oMath>
            </m:oMathPara>
          </w:p>
        </w:tc>
        <w:tc>
          <w:tcPr>
            <w:tcW w:w="1081" w:type="dxa"/>
            <w:tcBorders>
              <w:top w:val="nil"/>
              <w:left w:val="nil"/>
              <w:bottom w:val="nil"/>
              <w:right w:val="nil"/>
            </w:tcBorders>
            <w:shd w:val="clear" w:color="auto" w:fill="auto"/>
            <w:vAlign w:val="center"/>
          </w:tcPr>
          <w:p w:rsidR="005C6AEF" w:rsidRPr="005C6AEF" w:rsidRDefault="005C6AEF" w:rsidP="005C6AEF">
            <w:pPr>
              <w:spacing w:after="200" w:line="480" w:lineRule="auto"/>
              <w:jc w:val="both"/>
              <w:rPr>
                <w:sz w:val="22"/>
                <w:szCs w:val="22"/>
              </w:rPr>
            </w:pPr>
            <w:r w:rsidRPr="005C6AEF">
              <w:rPr>
                <w:sz w:val="22"/>
                <w:szCs w:val="22"/>
              </w:rPr>
              <w:t>(1)</w:t>
            </w:r>
          </w:p>
        </w:tc>
      </w:tr>
    </w:tbl>
    <w:p w:rsidR="005C6AEF" w:rsidRPr="005C6AEF" w:rsidRDefault="005C6AEF" w:rsidP="005C6AEF">
      <w:pPr>
        <w:spacing w:after="200" w:line="480" w:lineRule="auto"/>
        <w:jc w:val="both"/>
        <w:rPr>
          <w:rFonts w:eastAsia="Calibri"/>
          <w:sz w:val="22"/>
          <w:szCs w:val="22"/>
        </w:rPr>
      </w:pPr>
      <w:r w:rsidRPr="005C6AEF">
        <w:rPr>
          <w:rFonts w:eastAsia="Calibri"/>
          <w:sz w:val="22"/>
          <w:szCs w:val="22"/>
        </w:rPr>
        <w:t>The mean values for both model and dose uncertainty are given by:</w:t>
      </w:r>
    </w:p>
    <w:tbl>
      <w:tblPr>
        <w:tblStyle w:val="Tabelraster1"/>
        <w:tblW w:w="5000" w:type="pct"/>
        <w:tblLook w:val="04A0" w:firstRow="1" w:lastRow="0" w:firstColumn="1" w:lastColumn="0" w:noHBand="0" w:noVBand="1"/>
      </w:tblPr>
      <w:tblGrid>
        <w:gridCol w:w="1049"/>
        <w:gridCol w:w="6965"/>
        <w:gridCol w:w="1058"/>
      </w:tblGrid>
      <w:tr w:rsidR="005C6AEF" w:rsidRPr="005C6AEF" w:rsidTr="00990DC7">
        <w:tc>
          <w:tcPr>
            <w:tcW w:w="1080" w:type="dxa"/>
            <w:tcBorders>
              <w:top w:val="nil"/>
              <w:left w:val="nil"/>
              <w:bottom w:val="nil"/>
              <w:right w:val="nil"/>
            </w:tcBorders>
            <w:shd w:val="clear" w:color="auto" w:fill="auto"/>
            <w:vAlign w:val="center"/>
          </w:tcPr>
          <w:p w:rsidR="005C6AEF" w:rsidRPr="005C6AEF" w:rsidRDefault="005C6AEF" w:rsidP="005C6AEF">
            <w:pPr>
              <w:spacing w:after="200" w:line="480" w:lineRule="auto"/>
              <w:jc w:val="both"/>
              <w:rPr>
                <w:sz w:val="22"/>
                <w:szCs w:val="22"/>
              </w:rPr>
            </w:pPr>
          </w:p>
        </w:tc>
        <w:tc>
          <w:tcPr>
            <w:tcW w:w="7199" w:type="dxa"/>
            <w:tcBorders>
              <w:top w:val="nil"/>
              <w:left w:val="nil"/>
              <w:bottom w:val="nil"/>
              <w:right w:val="nil"/>
            </w:tcBorders>
            <w:shd w:val="clear" w:color="auto" w:fill="auto"/>
            <w:vAlign w:val="center"/>
          </w:tcPr>
          <w:p w:rsidR="005C6AEF" w:rsidRPr="005C6AEF" w:rsidRDefault="004C004B" w:rsidP="005C6AEF">
            <w:pPr>
              <w:spacing w:after="200" w:line="480" w:lineRule="auto"/>
              <w:jc w:val="both"/>
              <w:rPr>
                <w:sz w:val="22"/>
                <w:szCs w:val="22"/>
              </w:rPr>
            </w:pPr>
            <m:oMathPara>
              <m:oMath>
                <m:sSub>
                  <m:sSubPr>
                    <m:ctrlPr>
                      <w:rPr>
                        <w:rFonts w:ascii="Cambria Math" w:hAnsi="Cambria Math"/>
                        <w:sz w:val="22"/>
                        <w:szCs w:val="22"/>
                      </w:rPr>
                    </m:ctrlPr>
                  </m:sSubPr>
                  <m:e>
                    <m:r>
                      <w:rPr>
                        <w:rFonts w:ascii="Cambria Math" w:hAnsi="Cambria Math"/>
                        <w:sz w:val="22"/>
                        <w:szCs w:val="22"/>
                      </w:rPr>
                      <m:t>μ</m:t>
                    </m:r>
                  </m:e>
                  <m:sub>
                    <m:sSub>
                      <m:sSubPr>
                        <m:ctrlPr>
                          <w:rPr>
                            <w:rFonts w:ascii="Cambria Math" w:hAnsi="Cambria Math"/>
                            <w:sz w:val="22"/>
                            <w:szCs w:val="22"/>
                          </w:rPr>
                        </m:ctrlPr>
                      </m:sSubPr>
                      <m:e>
                        <m:r>
                          <w:rPr>
                            <w:rFonts w:ascii="Cambria Math" w:hAnsi="Cambria Math"/>
                            <w:sz w:val="22"/>
                            <w:szCs w:val="22"/>
                          </w:rPr>
                          <m:t>s</m:t>
                        </m:r>
                      </m:e>
                      <m:sub>
                        <m:r>
                          <w:rPr>
                            <w:rFonts w:ascii="Cambria Math" w:hAnsi="Cambria Math"/>
                            <w:sz w:val="22"/>
                            <w:szCs w:val="22"/>
                          </w:rPr>
                          <m:t>model</m:t>
                        </m:r>
                      </m:sub>
                    </m:sSub>
                  </m:sub>
                </m:sSub>
                <m: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μ</m:t>
                    </m:r>
                  </m:e>
                  <m:sub>
                    <m:sSub>
                      <m:sSubPr>
                        <m:ctrlPr>
                          <w:rPr>
                            <w:rFonts w:ascii="Cambria Math" w:hAnsi="Cambria Math"/>
                            <w:sz w:val="22"/>
                            <w:szCs w:val="22"/>
                          </w:rPr>
                        </m:ctrlPr>
                      </m:sSubPr>
                      <m:e>
                        <m:r>
                          <w:rPr>
                            <w:rFonts w:ascii="Cambria Math" w:hAnsi="Cambria Math"/>
                            <w:sz w:val="22"/>
                            <w:szCs w:val="22"/>
                          </w:rPr>
                          <m:t>b</m:t>
                        </m:r>
                      </m:e>
                      <m:sub>
                        <m:r>
                          <w:rPr>
                            <w:rFonts w:ascii="Cambria Math" w:hAnsi="Cambria Math"/>
                            <w:sz w:val="22"/>
                            <w:szCs w:val="22"/>
                          </w:rPr>
                          <m:t>0</m:t>
                        </m:r>
                      </m:sub>
                    </m:sSub>
                  </m:sub>
                </m:sSub>
                <m: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μ</m:t>
                    </m:r>
                  </m:e>
                  <m:sub>
                    <m:sSub>
                      <m:sSubPr>
                        <m:ctrlPr>
                          <w:rPr>
                            <w:rFonts w:ascii="Cambria Math" w:hAnsi="Cambria Math"/>
                            <w:sz w:val="22"/>
                            <w:szCs w:val="22"/>
                          </w:rPr>
                        </m:ctrlPr>
                      </m:sSubPr>
                      <m:e>
                        <m:r>
                          <w:rPr>
                            <w:rFonts w:ascii="Cambria Math" w:hAnsi="Cambria Math"/>
                            <w:sz w:val="22"/>
                            <w:szCs w:val="22"/>
                          </w:rPr>
                          <m:t>b</m:t>
                        </m:r>
                      </m:e>
                      <m:sub>
                        <m:r>
                          <w:rPr>
                            <w:rFonts w:ascii="Cambria Math" w:hAnsi="Cambria Math"/>
                            <w:sz w:val="22"/>
                            <w:szCs w:val="22"/>
                          </w:rPr>
                          <m:t>1</m:t>
                        </m:r>
                      </m:sub>
                    </m:sSub>
                  </m:sub>
                </m:sSub>
                <m: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x</m:t>
                    </m:r>
                  </m:e>
                  <m:sub>
                    <m:r>
                      <w:rPr>
                        <w:rFonts w:ascii="Cambria Math" w:hAnsi="Cambria Math"/>
                        <w:sz w:val="22"/>
                        <w:szCs w:val="22"/>
                      </w:rPr>
                      <m:t>1</m:t>
                    </m:r>
                  </m:sub>
                </m:sSub>
                <m: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μ</m:t>
                    </m:r>
                  </m:e>
                  <m:sub>
                    <m:sSub>
                      <m:sSubPr>
                        <m:ctrlPr>
                          <w:rPr>
                            <w:rFonts w:ascii="Cambria Math" w:hAnsi="Cambria Math"/>
                            <w:sz w:val="22"/>
                            <w:szCs w:val="22"/>
                          </w:rPr>
                        </m:ctrlPr>
                      </m:sSubPr>
                      <m:e>
                        <m:r>
                          <w:rPr>
                            <w:rFonts w:ascii="Cambria Math" w:hAnsi="Cambria Math"/>
                            <w:sz w:val="22"/>
                            <w:szCs w:val="22"/>
                          </w:rPr>
                          <m:t>b</m:t>
                        </m:r>
                      </m:e>
                      <m:sub>
                        <m:r>
                          <w:rPr>
                            <w:rFonts w:ascii="Cambria Math" w:hAnsi="Cambria Math"/>
                            <w:sz w:val="22"/>
                            <w:szCs w:val="22"/>
                          </w:rPr>
                          <m:t>n</m:t>
                        </m:r>
                      </m:sub>
                    </m:sSub>
                  </m:sub>
                </m:sSub>
                <m: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x</m:t>
                    </m:r>
                  </m:e>
                  <m:sub>
                    <m:r>
                      <w:rPr>
                        <w:rFonts w:ascii="Cambria Math" w:hAnsi="Cambria Math"/>
                        <w:sz w:val="22"/>
                        <w:szCs w:val="22"/>
                      </w:rPr>
                      <m:t>n</m:t>
                    </m:r>
                  </m:sub>
                </m:sSub>
              </m:oMath>
            </m:oMathPara>
          </w:p>
        </w:tc>
        <w:tc>
          <w:tcPr>
            <w:tcW w:w="1081" w:type="dxa"/>
            <w:tcBorders>
              <w:top w:val="nil"/>
              <w:left w:val="nil"/>
              <w:bottom w:val="nil"/>
              <w:right w:val="nil"/>
            </w:tcBorders>
            <w:shd w:val="clear" w:color="auto" w:fill="auto"/>
            <w:vAlign w:val="center"/>
          </w:tcPr>
          <w:p w:rsidR="005C6AEF" w:rsidRPr="005C6AEF" w:rsidRDefault="005C6AEF" w:rsidP="005C6AEF">
            <w:pPr>
              <w:spacing w:after="200" w:line="480" w:lineRule="auto"/>
              <w:jc w:val="both"/>
              <w:rPr>
                <w:sz w:val="22"/>
                <w:szCs w:val="22"/>
              </w:rPr>
            </w:pPr>
            <w:r w:rsidRPr="005C6AEF">
              <w:rPr>
                <w:sz w:val="22"/>
                <w:szCs w:val="22"/>
              </w:rPr>
              <w:t>(2)</w:t>
            </w:r>
          </w:p>
        </w:tc>
      </w:tr>
      <w:tr w:rsidR="005C6AEF" w:rsidRPr="005C6AEF" w:rsidTr="00990DC7">
        <w:tc>
          <w:tcPr>
            <w:tcW w:w="1080" w:type="dxa"/>
            <w:tcBorders>
              <w:top w:val="nil"/>
              <w:left w:val="nil"/>
              <w:bottom w:val="nil"/>
              <w:right w:val="nil"/>
            </w:tcBorders>
            <w:shd w:val="clear" w:color="auto" w:fill="auto"/>
            <w:vAlign w:val="center"/>
          </w:tcPr>
          <w:p w:rsidR="005C6AEF" w:rsidRPr="005C6AEF" w:rsidRDefault="005C6AEF" w:rsidP="005C6AEF">
            <w:pPr>
              <w:spacing w:before="240" w:after="200" w:line="480" w:lineRule="auto"/>
              <w:jc w:val="both"/>
              <w:rPr>
                <w:sz w:val="22"/>
                <w:szCs w:val="22"/>
              </w:rPr>
            </w:pPr>
          </w:p>
        </w:tc>
        <w:tc>
          <w:tcPr>
            <w:tcW w:w="7199" w:type="dxa"/>
            <w:tcBorders>
              <w:top w:val="nil"/>
              <w:left w:val="nil"/>
              <w:bottom w:val="nil"/>
              <w:right w:val="nil"/>
            </w:tcBorders>
            <w:shd w:val="clear" w:color="auto" w:fill="auto"/>
            <w:vAlign w:val="center"/>
          </w:tcPr>
          <w:p w:rsidR="005C6AEF" w:rsidRPr="005C6AEF" w:rsidRDefault="004C004B" w:rsidP="005C6AEF">
            <w:pPr>
              <w:spacing w:before="240" w:after="200" w:line="480" w:lineRule="auto"/>
              <w:jc w:val="both"/>
              <w:rPr>
                <w:sz w:val="22"/>
                <w:szCs w:val="22"/>
              </w:rPr>
            </w:pPr>
            <m:oMathPara>
              <m:oMath>
                <m:sSub>
                  <m:sSubPr>
                    <m:ctrlPr>
                      <w:rPr>
                        <w:rFonts w:ascii="Cambria Math" w:hAnsi="Cambria Math"/>
                        <w:sz w:val="22"/>
                        <w:szCs w:val="22"/>
                      </w:rPr>
                    </m:ctrlPr>
                  </m:sSubPr>
                  <m:e>
                    <m:r>
                      <w:rPr>
                        <w:rFonts w:ascii="Cambria Math" w:hAnsi="Cambria Math"/>
                        <w:sz w:val="22"/>
                        <w:szCs w:val="22"/>
                      </w:rPr>
                      <m:t>μ</m:t>
                    </m:r>
                  </m:e>
                  <m:sub>
                    <m:sSub>
                      <m:sSubPr>
                        <m:ctrlPr>
                          <w:rPr>
                            <w:rFonts w:ascii="Cambria Math" w:hAnsi="Cambria Math"/>
                            <w:sz w:val="22"/>
                            <w:szCs w:val="22"/>
                          </w:rPr>
                        </m:ctrlPr>
                      </m:sSubPr>
                      <m:e>
                        <m:r>
                          <w:rPr>
                            <w:rFonts w:ascii="Cambria Math" w:hAnsi="Cambria Math"/>
                            <w:sz w:val="22"/>
                            <w:szCs w:val="22"/>
                          </w:rPr>
                          <m:t>s</m:t>
                        </m:r>
                      </m:e>
                      <m:sub>
                        <m:r>
                          <w:rPr>
                            <w:rFonts w:ascii="Cambria Math" w:hAnsi="Cambria Math"/>
                            <w:sz w:val="22"/>
                            <w:szCs w:val="22"/>
                          </w:rPr>
                          <m:t>dose</m:t>
                        </m:r>
                      </m:sub>
                    </m:sSub>
                  </m:sub>
                </m:sSub>
                <m: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b</m:t>
                    </m:r>
                  </m:e>
                  <m:sub>
                    <m:r>
                      <w:rPr>
                        <w:rFonts w:ascii="Cambria Math" w:hAnsi="Cambria Math"/>
                        <w:sz w:val="22"/>
                        <w:szCs w:val="22"/>
                      </w:rPr>
                      <m:t>0</m:t>
                    </m:r>
                  </m:sub>
                </m:sSub>
                <m: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b</m:t>
                    </m:r>
                  </m:e>
                  <m:sub>
                    <m:r>
                      <w:rPr>
                        <w:rFonts w:ascii="Cambria Math" w:hAnsi="Cambria Math"/>
                        <w:sz w:val="22"/>
                        <w:szCs w:val="22"/>
                      </w:rPr>
                      <m:t>1</m:t>
                    </m:r>
                  </m:sub>
                </m:sSub>
                <m: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μ</m:t>
                    </m:r>
                  </m:e>
                  <m:sub>
                    <m:sSub>
                      <m:sSubPr>
                        <m:ctrlPr>
                          <w:rPr>
                            <w:rFonts w:ascii="Cambria Math" w:hAnsi="Cambria Math"/>
                            <w:sz w:val="22"/>
                            <w:szCs w:val="22"/>
                          </w:rPr>
                        </m:ctrlPr>
                      </m:sSubPr>
                      <m:e>
                        <m:r>
                          <w:rPr>
                            <w:rFonts w:ascii="Cambria Math" w:hAnsi="Cambria Math"/>
                            <w:sz w:val="22"/>
                            <w:szCs w:val="22"/>
                          </w:rPr>
                          <m:t>x</m:t>
                        </m:r>
                      </m:e>
                      <m:sub>
                        <m:r>
                          <w:rPr>
                            <w:rFonts w:ascii="Cambria Math" w:hAnsi="Cambria Math"/>
                            <w:sz w:val="22"/>
                            <w:szCs w:val="22"/>
                          </w:rPr>
                          <m:t>1</m:t>
                        </m:r>
                      </m:sub>
                    </m:sSub>
                  </m:sub>
                </m:sSub>
                <m: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b</m:t>
                    </m:r>
                  </m:e>
                  <m:sub>
                    <m:r>
                      <w:rPr>
                        <w:rFonts w:ascii="Cambria Math" w:hAnsi="Cambria Math"/>
                        <w:sz w:val="22"/>
                        <w:szCs w:val="22"/>
                      </w:rPr>
                      <m:t>n</m:t>
                    </m:r>
                  </m:sub>
                </m:sSub>
                <m: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μ</m:t>
                    </m:r>
                  </m:e>
                  <m:sub>
                    <m:sSub>
                      <m:sSubPr>
                        <m:ctrlPr>
                          <w:rPr>
                            <w:rFonts w:ascii="Cambria Math" w:hAnsi="Cambria Math"/>
                            <w:sz w:val="22"/>
                            <w:szCs w:val="22"/>
                          </w:rPr>
                        </m:ctrlPr>
                      </m:sSubPr>
                      <m:e>
                        <m:r>
                          <w:rPr>
                            <w:rFonts w:ascii="Cambria Math" w:hAnsi="Cambria Math"/>
                            <w:sz w:val="22"/>
                            <w:szCs w:val="22"/>
                          </w:rPr>
                          <m:t>x</m:t>
                        </m:r>
                      </m:e>
                      <m:sub>
                        <m:r>
                          <w:rPr>
                            <w:rFonts w:ascii="Cambria Math" w:hAnsi="Cambria Math"/>
                            <w:sz w:val="22"/>
                            <w:szCs w:val="22"/>
                          </w:rPr>
                          <m:t>n</m:t>
                        </m:r>
                      </m:sub>
                    </m:sSub>
                  </m:sub>
                </m:sSub>
              </m:oMath>
            </m:oMathPara>
          </w:p>
        </w:tc>
        <w:tc>
          <w:tcPr>
            <w:tcW w:w="1081" w:type="dxa"/>
            <w:tcBorders>
              <w:top w:val="nil"/>
              <w:left w:val="nil"/>
              <w:bottom w:val="nil"/>
              <w:right w:val="nil"/>
            </w:tcBorders>
            <w:shd w:val="clear" w:color="auto" w:fill="auto"/>
            <w:vAlign w:val="center"/>
          </w:tcPr>
          <w:p w:rsidR="005C6AEF" w:rsidRPr="005C6AEF" w:rsidRDefault="005C6AEF" w:rsidP="005C6AEF">
            <w:pPr>
              <w:spacing w:before="240" w:after="200" w:line="480" w:lineRule="auto"/>
              <w:jc w:val="both"/>
              <w:rPr>
                <w:sz w:val="22"/>
                <w:szCs w:val="22"/>
              </w:rPr>
            </w:pPr>
            <w:r w:rsidRPr="005C6AEF">
              <w:rPr>
                <w:sz w:val="22"/>
                <w:szCs w:val="22"/>
              </w:rPr>
              <w:t>(3)</w:t>
            </w:r>
          </w:p>
        </w:tc>
      </w:tr>
    </w:tbl>
    <w:p w:rsidR="005C6AEF" w:rsidRPr="005C6AEF" w:rsidRDefault="005C6AEF" w:rsidP="005C6AEF">
      <w:pPr>
        <w:spacing w:after="200" w:line="480" w:lineRule="auto"/>
        <w:jc w:val="both"/>
        <w:rPr>
          <w:sz w:val="22"/>
          <w:szCs w:val="22"/>
        </w:rPr>
      </w:pPr>
      <w:r w:rsidRPr="005C6AEF">
        <w:rPr>
          <w:rFonts w:eastAsia="Calibri"/>
          <w:sz w:val="22"/>
          <w:szCs w:val="22"/>
        </w:rPr>
        <w:t xml:space="preserve">Where </w:t>
      </w:r>
      <m:oMath>
        <m:sSub>
          <m:sSubPr>
            <m:ctrlPr>
              <w:rPr>
                <w:rFonts w:ascii="Cambria Math" w:eastAsia="Calibri" w:hAnsi="Cambria Math"/>
                <w:sz w:val="22"/>
                <w:szCs w:val="22"/>
              </w:rPr>
            </m:ctrlPr>
          </m:sSubPr>
          <m:e>
            <m:r>
              <w:rPr>
                <w:rFonts w:ascii="Cambria Math" w:eastAsia="Calibri" w:hAnsi="Cambria Math"/>
                <w:sz w:val="22"/>
                <w:szCs w:val="22"/>
              </w:rPr>
              <m:t>b</m:t>
            </m:r>
          </m:e>
          <m:sub>
            <m:r>
              <w:rPr>
                <w:rFonts w:ascii="Cambria Math" w:eastAsia="Calibri" w:hAnsi="Cambria Math"/>
                <w:sz w:val="22"/>
                <w:szCs w:val="22"/>
              </w:rPr>
              <m:t>i</m:t>
            </m:r>
          </m:sub>
        </m:sSub>
      </m:oMath>
      <w:r w:rsidRPr="005C6AEF">
        <w:rPr>
          <w:sz w:val="22"/>
          <w:szCs w:val="22"/>
        </w:rPr>
        <w:t xml:space="preserve"> represents the </w:t>
      </w:r>
      <m:oMath>
        <m:r>
          <w:rPr>
            <w:rFonts w:ascii="Cambria Math" w:eastAsia="Calibri" w:hAnsi="Cambria Math"/>
            <w:sz w:val="22"/>
            <w:szCs w:val="22"/>
          </w:rPr>
          <m:t>i</m:t>
        </m:r>
      </m:oMath>
      <w:r w:rsidRPr="005C6AEF">
        <w:rPr>
          <w:sz w:val="22"/>
          <w:szCs w:val="22"/>
        </w:rPr>
        <w:t xml:space="preserve">th model-coefficient and </w:t>
      </w:r>
      <m:oMath>
        <m:sSub>
          <m:sSubPr>
            <m:ctrlPr>
              <w:rPr>
                <w:rFonts w:ascii="Cambria Math" w:eastAsia="Calibri" w:hAnsi="Cambria Math"/>
                <w:sz w:val="22"/>
                <w:szCs w:val="22"/>
              </w:rPr>
            </m:ctrlPr>
          </m:sSubPr>
          <m:e>
            <m:r>
              <w:rPr>
                <w:rFonts w:ascii="Cambria Math" w:eastAsia="Calibri" w:hAnsi="Cambria Math"/>
                <w:sz w:val="22"/>
                <w:szCs w:val="22"/>
              </w:rPr>
              <m:t>x</m:t>
            </m:r>
          </m:e>
          <m:sub>
            <m:r>
              <w:rPr>
                <w:rFonts w:ascii="Cambria Math" w:eastAsia="Calibri" w:hAnsi="Cambria Math"/>
                <w:sz w:val="22"/>
                <w:szCs w:val="22"/>
              </w:rPr>
              <m:t>i</m:t>
            </m:r>
          </m:sub>
        </m:sSub>
      </m:oMath>
      <w:r w:rsidRPr="005C6AEF">
        <w:rPr>
          <w:sz w:val="22"/>
          <w:szCs w:val="22"/>
        </w:rPr>
        <w:t xml:space="preserve"> the patient dependent variable belonging </w:t>
      </w:r>
      <w:proofErr w:type="gramStart"/>
      <w:r w:rsidRPr="005C6AEF">
        <w:rPr>
          <w:sz w:val="22"/>
          <w:szCs w:val="22"/>
        </w:rPr>
        <w:t xml:space="preserve">to </w:t>
      </w:r>
      <w:proofErr w:type="gramEnd"/>
      <m:oMath>
        <m:sSub>
          <m:sSubPr>
            <m:ctrlPr>
              <w:rPr>
                <w:rFonts w:ascii="Cambria Math" w:eastAsia="Calibri" w:hAnsi="Cambria Math"/>
                <w:sz w:val="22"/>
                <w:szCs w:val="22"/>
              </w:rPr>
            </m:ctrlPr>
          </m:sSubPr>
          <m:e>
            <m:r>
              <w:rPr>
                <w:rFonts w:ascii="Cambria Math" w:eastAsia="Calibri" w:hAnsi="Cambria Math"/>
                <w:sz w:val="22"/>
                <w:szCs w:val="22"/>
              </w:rPr>
              <m:t>b</m:t>
            </m:r>
          </m:e>
          <m:sub>
            <m:r>
              <w:rPr>
                <w:rFonts w:ascii="Cambria Math" w:eastAsia="Calibri" w:hAnsi="Cambria Math"/>
                <w:sz w:val="22"/>
                <w:szCs w:val="22"/>
              </w:rPr>
              <m:t>i</m:t>
            </m:r>
          </m:sub>
        </m:sSub>
      </m:oMath>
      <w:r w:rsidRPr="005C6AEF">
        <w:rPr>
          <w:sz w:val="22"/>
          <w:szCs w:val="22"/>
        </w:rPr>
        <w:t>. The standard deviations are quadratically summed while a correlation terms is added in case of dose uncertainty:</w:t>
      </w:r>
    </w:p>
    <w:tbl>
      <w:tblPr>
        <w:tblStyle w:val="Tabelraster1"/>
        <w:tblW w:w="5000" w:type="pct"/>
        <w:tblLook w:val="04A0" w:firstRow="1" w:lastRow="0" w:firstColumn="1" w:lastColumn="0" w:noHBand="0" w:noVBand="1"/>
      </w:tblPr>
      <w:tblGrid>
        <w:gridCol w:w="1047"/>
        <w:gridCol w:w="6967"/>
        <w:gridCol w:w="1058"/>
      </w:tblGrid>
      <w:tr w:rsidR="005C6AEF" w:rsidRPr="005C6AEF" w:rsidTr="00990DC7">
        <w:tc>
          <w:tcPr>
            <w:tcW w:w="1080" w:type="dxa"/>
            <w:tcBorders>
              <w:top w:val="nil"/>
              <w:left w:val="nil"/>
              <w:bottom w:val="nil"/>
              <w:right w:val="nil"/>
            </w:tcBorders>
            <w:shd w:val="clear" w:color="auto" w:fill="auto"/>
            <w:vAlign w:val="center"/>
          </w:tcPr>
          <w:p w:rsidR="005C6AEF" w:rsidRPr="005C6AEF" w:rsidRDefault="005C6AEF" w:rsidP="005C6AEF">
            <w:pPr>
              <w:spacing w:after="200" w:line="480" w:lineRule="auto"/>
              <w:jc w:val="both"/>
              <w:rPr>
                <w:rFonts w:eastAsia="Times New Roman"/>
                <w:sz w:val="22"/>
                <w:szCs w:val="22"/>
              </w:rPr>
            </w:pPr>
          </w:p>
        </w:tc>
        <w:tc>
          <w:tcPr>
            <w:tcW w:w="7199" w:type="dxa"/>
            <w:tcBorders>
              <w:top w:val="nil"/>
              <w:left w:val="nil"/>
              <w:bottom w:val="nil"/>
              <w:right w:val="nil"/>
            </w:tcBorders>
            <w:shd w:val="clear" w:color="auto" w:fill="auto"/>
            <w:vAlign w:val="center"/>
          </w:tcPr>
          <w:p w:rsidR="005C6AEF" w:rsidRPr="005C6AEF" w:rsidRDefault="004C004B" w:rsidP="005C6AEF">
            <w:pPr>
              <w:spacing w:before="120" w:after="200" w:line="480" w:lineRule="auto"/>
              <w:jc w:val="both"/>
              <w:rPr>
                <w:rFonts w:eastAsia="Times New Roman"/>
                <w:sz w:val="22"/>
                <w:szCs w:val="22"/>
              </w:rPr>
            </w:pPr>
            <m:oMathPara>
              <m:oMath>
                <m:sSub>
                  <m:sSubPr>
                    <m:ctrlPr>
                      <w:rPr>
                        <w:rFonts w:ascii="Cambria Math" w:hAnsi="Cambria Math"/>
                        <w:sz w:val="22"/>
                        <w:szCs w:val="22"/>
                      </w:rPr>
                    </m:ctrlPr>
                  </m:sSubPr>
                  <m:e>
                    <m:r>
                      <w:rPr>
                        <w:rFonts w:ascii="Cambria Math" w:hAnsi="Cambria Math"/>
                        <w:sz w:val="22"/>
                        <w:szCs w:val="22"/>
                      </w:rPr>
                      <m:t>SD</m:t>
                    </m:r>
                  </m:e>
                  <m:sub>
                    <m:sSub>
                      <m:sSubPr>
                        <m:ctrlPr>
                          <w:rPr>
                            <w:rFonts w:ascii="Cambria Math" w:hAnsi="Cambria Math"/>
                            <w:sz w:val="22"/>
                            <w:szCs w:val="22"/>
                          </w:rPr>
                        </m:ctrlPr>
                      </m:sSubPr>
                      <m:e>
                        <m:r>
                          <w:rPr>
                            <w:rFonts w:ascii="Cambria Math" w:hAnsi="Cambria Math"/>
                            <w:sz w:val="22"/>
                            <w:szCs w:val="22"/>
                          </w:rPr>
                          <m:t>s</m:t>
                        </m:r>
                      </m:e>
                      <m:sub>
                        <m:r>
                          <w:rPr>
                            <w:rFonts w:ascii="Cambria Math" w:hAnsi="Cambria Math"/>
                            <w:sz w:val="22"/>
                            <w:szCs w:val="22"/>
                          </w:rPr>
                          <m:t>model</m:t>
                        </m:r>
                      </m:sub>
                    </m:sSub>
                  </m:sub>
                </m:sSub>
                <m:r>
                  <w:rPr>
                    <w:rFonts w:ascii="Cambria Math" w:hAnsi="Cambria Math"/>
                    <w:sz w:val="22"/>
                    <w:szCs w:val="22"/>
                  </w:rPr>
                  <m:t>=</m:t>
                </m:r>
                <m:sSubSup>
                  <m:sSubSupPr>
                    <m:ctrlPr>
                      <w:rPr>
                        <w:rFonts w:ascii="Cambria Math" w:hAnsi="Cambria Math"/>
                        <w:sz w:val="22"/>
                        <w:szCs w:val="22"/>
                      </w:rPr>
                    </m:ctrlPr>
                  </m:sSubSupPr>
                  <m:e>
                    <m:r>
                      <w:rPr>
                        <w:rFonts w:ascii="Cambria Math" w:hAnsi="Cambria Math"/>
                        <w:sz w:val="22"/>
                        <w:szCs w:val="22"/>
                      </w:rPr>
                      <m:t>SD</m:t>
                    </m:r>
                  </m:e>
                  <m:sub>
                    <m:sSub>
                      <m:sSubPr>
                        <m:ctrlPr>
                          <w:rPr>
                            <w:rFonts w:ascii="Cambria Math" w:hAnsi="Cambria Math"/>
                            <w:sz w:val="22"/>
                            <w:szCs w:val="22"/>
                          </w:rPr>
                        </m:ctrlPr>
                      </m:sSubPr>
                      <m:e>
                        <m:r>
                          <w:rPr>
                            <w:rFonts w:ascii="Cambria Math" w:hAnsi="Cambria Math"/>
                            <w:sz w:val="22"/>
                            <w:szCs w:val="22"/>
                          </w:rPr>
                          <m:t>b</m:t>
                        </m:r>
                      </m:e>
                      <m:sub>
                        <m:r>
                          <w:rPr>
                            <w:rFonts w:ascii="Cambria Math" w:hAnsi="Cambria Math"/>
                            <w:sz w:val="22"/>
                            <w:szCs w:val="22"/>
                          </w:rPr>
                          <m:t>0</m:t>
                        </m:r>
                      </m:sub>
                    </m:sSub>
                  </m:sub>
                  <m:sup>
                    <m:r>
                      <w:rPr>
                        <w:rFonts w:ascii="Cambria Math" w:hAnsi="Cambria Math"/>
                        <w:sz w:val="22"/>
                        <w:szCs w:val="22"/>
                      </w:rPr>
                      <m:t>2</m:t>
                    </m:r>
                  </m:sup>
                </m:sSubSup>
                <m:r>
                  <w:rPr>
                    <w:rFonts w:ascii="Cambria Math" w:hAnsi="Cambria Math"/>
                    <w:sz w:val="22"/>
                    <w:szCs w:val="22"/>
                  </w:rPr>
                  <m:t>+</m:t>
                </m:r>
                <m:sSup>
                  <m:sSupPr>
                    <m:ctrlPr>
                      <w:rPr>
                        <w:rFonts w:ascii="Cambria Math" w:hAnsi="Cambria Math"/>
                        <w:sz w:val="22"/>
                        <w:szCs w:val="22"/>
                      </w:rPr>
                    </m:ctrlPr>
                  </m:sSupPr>
                  <m:e>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rPr>
                              <m:t>SD</m:t>
                            </m:r>
                          </m:e>
                          <m:sub>
                            <m:sSub>
                              <m:sSubPr>
                                <m:ctrlPr>
                                  <w:rPr>
                                    <w:rFonts w:ascii="Cambria Math" w:hAnsi="Cambria Math"/>
                                    <w:sz w:val="22"/>
                                    <w:szCs w:val="22"/>
                                  </w:rPr>
                                </m:ctrlPr>
                              </m:sSubPr>
                              <m:e>
                                <m:r>
                                  <w:rPr>
                                    <w:rFonts w:ascii="Cambria Math" w:hAnsi="Cambria Math"/>
                                    <w:sz w:val="22"/>
                                    <w:szCs w:val="22"/>
                                  </w:rPr>
                                  <m:t>b</m:t>
                                </m:r>
                              </m:e>
                              <m:sub>
                                <m:r>
                                  <w:rPr>
                                    <w:rFonts w:ascii="Cambria Math" w:hAnsi="Cambria Math"/>
                                    <w:sz w:val="22"/>
                                    <w:szCs w:val="22"/>
                                  </w:rPr>
                                  <m:t>1</m:t>
                                </m:r>
                              </m:sub>
                            </m:sSub>
                          </m:sub>
                        </m:sSub>
                        <m: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x</m:t>
                            </m:r>
                          </m:e>
                          <m:sub>
                            <m:r>
                              <w:rPr>
                                <w:rFonts w:ascii="Cambria Math" w:hAnsi="Cambria Math"/>
                                <w:sz w:val="22"/>
                                <w:szCs w:val="22"/>
                              </w:rPr>
                              <m:t>1</m:t>
                            </m:r>
                          </m:sub>
                        </m:sSub>
                      </m:e>
                    </m:d>
                  </m:e>
                  <m:sup>
                    <m:r>
                      <w:rPr>
                        <w:rFonts w:ascii="Cambria Math" w:hAnsi="Cambria Math"/>
                        <w:sz w:val="22"/>
                        <w:szCs w:val="22"/>
                      </w:rPr>
                      <m:t>2</m:t>
                    </m:r>
                  </m:sup>
                </m:sSup>
                <m:r>
                  <w:rPr>
                    <w:rFonts w:ascii="Cambria Math" w:hAnsi="Cambria Math"/>
                    <w:sz w:val="22"/>
                    <w:szCs w:val="22"/>
                  </w:rPr>
                  <m:t>+…+</m:t>
                </m:r>
                <m:sSup>
                  <m:sSupPr>
                    <m:ctrlPr>
                      <w:rPr>
                        <w:rFonts w:ascii="Cambria Math" w:hAnsi="Cambria Math"/>
                        <w:sz w:val="22"/>
                        <w:szCs w:val="22"/>
                      </w:rPr>
                    </m:ctrlPr>
                  </m:sSupPr>
                  <m:e>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rPr>
                              <m:t>SD</m:t>
                            </m:r>
                          </m:e>
                          <m:sub>
                            <m:sSub>
                              <m:sSubPr>
                                <m:ctrlPr>
                                  <w:rPr>
                                    <w:rFonts w:ascii="Cambria Math" w:hAnsi="Cambria Math"/>
                                    <w:sz w:val="22"/>
                                    <w:szCs w:val="22"/>
                                  </w:rPr>
                                </m:ctrlPr>
                              </m:sSubPr>
                              <m:e>
                                <m:r>
                                  <w:rPr>
                                    <w:rFonts w:ascii="Cambria Math" w:hAnsi="Cambria Math"/>
                                    <w:sz w:val="22"/>
                                    <w:szCs w:val="22"/>
                                  </w:rPr>
                                  <m:t>b</m:t>
                                </m:r>
                              </m:e>
                              <m:sub>
                                <m:r>
                                  <w:rPr>
                                    <w:rFonts w:ascii="Cambria Math" w:hAnsi="Cambria Math"/>
                                    <w:sz w:val="22"/>
                                    <w:szCs w:val="22"/>
                                  </w:rPr>
                                  <m:t>n</m:t>
                                </m:r>
                              </m:sub>
                            </m:sSub>
                          </m:sub>
                        </m:sSub>
                        <m: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x</m:t>
                            </m:r>
                          </m:e>
                          <m:sub>
                            <m:r>
                              <w:rPr>
                                <w:rFonts w:ascii="Cambria Math" w:hAnsi="Cambria Math"/>
                                <w:sz w:val="22"/>
                                <w:szCs w:val="22"/>
                              </w:rPr>
                              <m:t>n</m:t>
                            </m:r>
                          </m:sub>
                        </m:sSub>
                      </m:e>
                    </m:d>
                  </m:e>
                  <m:sup>
                    <m:r>
                      <w:rPr>
                        <w:rFonts w:ascii="Cambria Math" w:hAnsi="Cambria Math"/>
                        <w:sz w:val="22"/>
                        <w:szCs w:val="22"/>
                      </w:rPr>
                      <m:t>2</m:t>
                    </m:r>
                  </m:sup>
                </m:sSup>
              </m:oMath>
            </m:oMathPara>
          </w:p>
        </w:tc>
        <w:tc>
          <w:tcPr>
            <w:tcW w:w="1081" w:type="dxa"/>
            <w:tcBorders>
              <w:top w:val="nil"/>
              <w:left w:val="nil"/>
              <w:bottom w:val="nil"/>
              <w:right w:val="nil"/>
            </w:tcBorders>
            <w:shd w:val="clear" w:color="auto" w:fill="auto"/>
            <w:vAlign w:val="center"/>
          </w:tcPr>
          <w:p w:rsidR="005C6AEF" w:rsidRPr="005C6AEF" w:rsidRDefault="005C6AEF" w:rsidP="005C6AEF">
            <w:pPr>
              <w:spacing w:after="200" w:line="480" w:lineRule="auto"/>
              <w:jc w:val="both"/>
              <w:rPr>
                <w:rFonts w:eastAsia="Times New Roman"/>
                <w:sz w:val="22"/>
                <w:szCs w:val="22"/>
              </w:rPr>
            </w:pPr>
            <w:r w:rsidRPr="005C6AEF">
              <w:rPr>
                <w:rFonts w:eastAsia="Times New Roman"/>
                <w:sz w:val="22"/>
                <w:szCs w:val="22"/>
              </w:rPr>
              <w:t>(4)</w:t>
            </w:r>
          </w:p>
        </w:tc>
      </w:tr>
      <w:tr w:rsidR="005C6AEF" w:rsidRPr="005C6AEF" w:rsidTr="00990DC7">
        <w:tc>
          <w:tcPr>
            <w:tcW w:w="1080" w:type="dxa"/>
            <w:tcBorders>
              <w:top w:val="nil"/>
              <w:left w:val="nil"/>
              <w:bottom w:val="nil"/>
              <w:right w:val="nil"/>
            </w:tcBorders>
            <w:shd w:val="clear" w:color="auto" w:fill="auto"/>
            <w:vAlign w:val="center"/>
          </w:tcPr>
          <w:p w:rsidR="005C6AEF" w:rsidRPr="005C6AEF" w:rsidRDefault="005C6AEF" w:rsidP="005C6AEF">
            <w:pPr>
              <w:spacing w:before="240" w:after="200" w:line="480" w:lineRule="auto"/>
              <w:jc w:val="both"/>
              <w:rPr>
                <w:rFonts w:eastAsia="Times New Roman"/>
                <w:sz w:val="22"/>
                <w:szCs w:val="22"/>
              </w:rPr>
            </w:pPr>
          </w:p>
        </w:tc>
        <w:tc>
          <w:tcPr>
            <w:tcW w:w="7199" w:type="dxa"/>
            <w:tcBorders>
              <w:top w:val="nil"/>
              <w:left w:val="nil"/>
              <w:bottom w:val="nil"/>
              <w:right w:val="nil"/>
            </w:tcBorders>
            <w:shd w:val="clear" w:color="auto" w:fill="auto"/>
            <w:vAlign w:val="center"/>
          </w:tcPr>
          <w:p w:rsidR="005C6AEF" w:rsidRPr="005C6AEF" w:rsidRDefault="004C004B" w:rsidP="005C6AEF">
            <w:pPr>
              <w:spacing w:before="240" w:after="200" w:line="480" w:lineRule="auto"/>
              <w:jc w:val="both"/>
              <w:rPr>
                <w:rFonts w:eastAsia="Times New Roman"/>
                <w:sz w:val="22"/>
                <w:szCs w:val="22"/>
              </w:rPr>
            </w:pPr>
            <m:oMathPara>
              <m:oMath>
                <m:sSub>
                  <m:sSubPr>
                    <m:ctrlPr>
                      <w:rPr>
                        <w:rFonts w:ascii="Cambria Math" w:hAnsi="Cambria Math"/>
                        <w:sz w:val="22"/>
                        <w:szCs w:val="22"/>
                      </w:rPr>
                    </m:ctrlPr>
                  </m:sSubPr>
                  <m:e>
                    <m:r>
                      <w:rPr>
                        <w:rFonts w:ascii="Cambria Math" w:hAnsi="Cambria Math"/>
                        <w:sz w:val="22"/>
                        <w:szCs w:val="22"/>
                      </w:rPr>
                      <m:t>SD</m:t>
                    </m:r>
                  </m:e>
                  <m:sub>
                    <m:sSub>
                      <m:sSubPr>
                        <m:ctrlPr>
                          <w:rPr>
                            <w:rFonts w:ascii="Cambria Math" w:hAnsi="Cambria Math"/>
                            <w:sz w:val="22"/>
                            <w:szCs w:val="22"/>
                          </w:rPr>
                        </m:ctrlPr>
                      </m:sSubPr>
                      <m:e>
                        <m:r>
                          <w:rPr>
                            <w:rFonts w:ascii="Cambria Math" w:hAnsi="Cambria Math"/>
                            <w:sz w:val="22"/>
                            <w:szCs w:val="22"/>
                          </w:rPr>
                          <m:t>s</m:t>
                        </m:r>
                      </m:e>
                      <m:sub>
                        <m:r>
                          <w:rPr>
                            <w:rFonts w:ascii="Cambria Math" w:hAnsi="Cambria Math"/>
                            <w:sz w:val="22"/>
                            <w:szCs w:val="22"/>
                          </w:rPr>
                          <m:t>dose</m:t>
                        </m:r>
                      </m:sub>
                    </m:sSub>
                  </m:sub>
                </m:sSub>
                <m:r>
                  <w:rPr>
                    <w:rFonts w:ascii="Cambria Math" w:hAnsi="Cambria Math"/>
                    <w:sz w:val="22"/>
                    <w:szCs w:val="22"/>
                  </w:rPr>
                  <m:t>=</m:t>
                </m:r>
                <m:nary>
                  <m:naryPr>
                    <m:chr m:val="∑"/>
                    <m:supHide m:val="1"/>
                    <m:ctrlPr>
                      <w:rPr>
                        <w:rFonts w:ascii="Cambria Math" w:hAnsi="Cambria Math"/>
                        <w:sz w:val="22"/>
                        <w:szCs w:val="22"/>
                      </w:rPr>
                    </m:ctrlPr>
                  </m:naryPr>
                  <m:sub>
                    <m:r>
                      <w:rPr>
                        <w:rFonts w:ascii="Cambria Math" w:hAnsi="Cambria Math"/>
                        <w:sz w:val="22"/>
                        <w:szCs w:val="22"/>
                      </w:rPr>
                      <m:t>i</m:t>
                    </m:r>
                  </m:sub>
                  <m:sup/>
                  <m:e>
                    <m:sSup>
                      <m:sSupPr>
                        <m:ctrlPr>
                          <w:rPr>
                            <w:rFonts w:ascii="Cambria Math" w:hAnsi="Cambria Math"/>
                            <w:sz w:val="22"/>
                            <w:szCs w:val="22"/>
                          </w:rPr>
                        </m:ctrlPr>
                      </m:sSupPr>
                      <m:e>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rPr>
                                  <m:t>b</m:t>
                                </m:r>
                              </m:e>
                              <m:sub>
                                <m:r>
                                  <w:rPr>
                                    <w:rFonts w:ascii="Cambria Math" w:hAnsi="Cambria Math"/>
                                    <w:sz w:val="22"/>
                                    <w:szCs w:val="22"/>
                                  </w:rPr>
                                  <m:t>i</m:t>
                                </m:r>
                              </m:sub>
                            </m:sSub>
                            <m: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SD</m:t>
                                </m:r>
                              </m:e>
                              <m:sub>
                                <m:sSub>
                                  <m:sSubPr>
                                    <m:ctrlPr>
                                      <w:rPr>
                                        <w:rFonts w:ascii="Cambria Math" w:hAnsi="Cambria Math"/>
                                        <w:sz w:val="22"/>
                                        <w:szCs w:val="22"/>
                                      </w:rPr>
                                    </m:ctrlPr>
                                  </m:sSubPr>
                                  <m:e>
                                    <m:r>
                                      <w:rPr>
                                        <w:rFonts w:ascii="Cambria Math" w:hAnsi="Cambria Math"/>
                                        <w:sz w:val="22"/>
                                        <w:szCs w:val="22"/>
                                      </w:rPr>
                                      <m:t>x</m:t>
                                    </m:r>
                                  </m:e>
                                  <m:sub>
                                    <m:r>
                                      <w:rPr>
                                        <w:rFonts w:ascii="Cambria Math" w:hAnsi="Cambria Math"/>
                                        <w:sz w:val="22"/>
                                        <w:szCs w:val="22"/>
                                      </w:rPr>
                                      <m:t>i</m:t>
                                    </m:r>
                                  </m:sub>
                                </m:sSub>
                              </m:sub>
                            </m:sSub>
                          </m:e>
                        </m:d>
                      </m:e>
                      <m:sup>
                        <m:r>
                          <w:rPr>
                            <w:rFonts w:ascii="Cambria Math" w:hAnsi="Cambria Math"/>
                            <w:sz w:val="22"/>
                            <w:szCs w:val="22"/>
                          </w:rPr>
                          <m:t>2</m:t>
                        </m:r>
                      </m:sup>
                    </m:sSup>
                  </m:e>
                </m:nary>
                <m:r>
                  <w:rPr>
                    <w:rFonts w:ascii="Cambria Math" w:hAnsi="Cambria Math"/>
                    <w:sz w:val="22"/>
                    <w:szCs w:val="22"/>
                  </w:rPr>
                  <m:t>+2⋅</m:t>
                </m:r>
                <m:nary>
                  <m:naryPr>
                    <m:chr m:val="∑"/>
                    <m:supHide m:val="1"/>
                    <m:ctrlPr>
                      <w:rPr>
                        <w:rFonts w:ascii="Cambria Math" w:hAnsi="Cambria Math"/>
                        <w:sz w:val="22"/>
                        <w:szCs w:val="22"/>
                      </w:rPr>
                    </m:ctrlPr>
                  </m:naryPr>
                  <m:sub>
                    <m:r>
                      <w:rPr>
                        <w:rFonts w:ascii="Cambria Math" w:hAnsi="Cambria Math"/>
                        <w:sz w:val="22"/>
                        <w:szCs w:val="22"/>
                      </w:rPr>
                      <m:t>i,j</m:t>
                    </m:r>
                  </m:sub>
                  <m:sup/>
                  <m:e>
                    <m:sSub>
                      <m:sSubPr>
                        <m:ctrlPr>
                          <w:rPr>
                            <w:rFonts w:ascii="Cambria Math" w:hAnsi="Cambria Math"/>
                            <w:sz w:val="22"/>
                            <w:szCs w:val="22"/>
                          </w:rPr>
                        </m:ctrlPr>
                      </m:sSubPr>
                      <m:e>
                        <m:r>
                          <w:rPr>
                            <w:rFonts w:ascii="Cambria Math" w:hAnsi="Cambria Math"/>
                            <w:sz w:val="22"/>
                            <w:szCs w:val="22"/>
                          </w:rPr>
                          <m:t>ρ</m:t>
                        </m:r>
                      </m:e>
                      <m:sub>
                        <m:r>
                          <w:rPr>
                            <w:rFonts w:ascii="Cambria Math" w:hAnsi="Cambria Math"/>
                            <w:sz w:val="22"/>
                            <w:szCs w:val="22"/>
                          </w:rPr>
                          <m:t>i,j</m:t>
                        </m:r>
                      </m:sub>
                    </m:sSub>
                    <m:r>
                      <w:rPr>
                        <w:rFonts w:ascii="Cambria Math" w:hAnsi="Cambria Math"/>
                        <w:sz w:val="22"/>
                        <w:szCs w:val="22"/>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rPr>
                              <m:t>b</m:t>
                            </m:r>
                          </m:e>
                          <m:sub>
                            <m:r>
                              <w:rPr>
                                <w:rFonts w:ascii="Cambria Math" w:hAnsi="Cambria Math"/>
                                <w:sz w:val="22"/>
                                <w:szCs w:val="22"/>
                              </w:rPr>
                              <m:t>i</m:t>
                            </m:r>
                          </m:sub>
                        </m:sSub>
                        <m: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SD</m:t>
                            </m:r>
                          </m:e>
                          <m:sub>
                            <m:sSub>
                              <m:sSubPr>
                                <m:ctrlPr>
                                  <w:rPr>
                                    <w:rFonts w:ascii="Cambria Math" w:hAnsi="Cambria Math"/>
                                    <w:sz w:val="22"/>
                                    <w:szCs w:val="22"/>
                                  </w:rPr>
                                </m:ctrlPr>
                              </m:sSubPr>
                              <m:e>
                                <m:r>
                                  <w:rPr>
                                    <w:rFonts w:ascii="Cambria Math" w:hAnsi="Cambria Math"/>
                                    <w:sz w:val="22"/>
                                    <w:szCs w:val="22"/>
                                  </w:rPr>
                                  <m:t>x</m:t>
                                </m:r>
                              </m:e>
                              <m:sub>
                                <m:r>
                                  <w:rPr>
                                    <w:rFonts w:ascii="Cambria Math" w:hAnsi="Cambria Math"/>
                                    <w:sz w:val="22"/>
                                    <w:szCs w:val="22"/>
                                  </w:rPr>
                                  <m:t>i</m:t>
                                </m:r>
                              </m:sub>
                            </m:sSub>
                          </m:sub>
                        </m:sSub>
                      </m:e>
                    </m:d>
                    <m:r>
                      <w:rPr>
                        <w:rFonts w:ascii="Cambria Math" w:hAnsi="Cambria Math"/>
                        <w:sz w:val="22"/>
                        <w:szCs w:val="22"/>
                      </w:rPr>
                      <m:t>⋅</m:t>
                    </m:r>
                    <m:d>
                      <m:dPr>
                        <m:ctrlPr>
                          <w:rPr>
                            <w:rFonts w:ascii="Cambria Math" w:hAnsi="Cambria Math"/>
                            <w:sz w:val="22"/>
                            <w:szCs w:val="22"/>
                          </w:rPr>
                        </m:ctrlPr>
                      </m:dPr>
                      <m:e>
                        <m:sSub>
                          <m:sSubPr>
                            <m:ctrlPr>
                              <w:rPr>
                                <w:rFonts w:ascii="Cambria Math" w:hAnsi="Cambria Math"/>
                                <w:sz w:val="22"/>
                                <w:szCs w:val="22"/>
                              </w:rPr>
                            </m:ctrlPr>
                          </m:sSubPr>
                          <m:e>
                            <m:r>
                              <w:rPr>
                                <w:rFonts w:ascii="Cambria Math" w:hAnsi="Cambria Math"/>
                                <w:sz w:val="22"/>
                                <w:szCs w:val="22"/>
                              </w:rPr>
                              <m:t>b</m:t>
                            </m:r>
                          </m:e>
                          <m:sub>
                            <m:r>
                              <w:rPr>
                                <w:rFonts w:ascii="Cambria Math" w:hAnsi="Cambria Math"/>
                                <w:sz w:val="22"/>
                                <w:szCs w:val="22"/>
                              </w:rPr>
                              <m:t>j</m:t>
                            </m:r>
                          </m:sub>
                        </m:sSub>
                        <m:r>
                          <w:rPr>
                            <w:rFonts w:ascii="Cambria Math" w:hAnsi="Cambria Math"/>
                            <w:sz w:val="22"/>
                            <w:szCs w:val="22"/>
                          </w:rPr>
                          <m:t>⋅</m:t>
                        </m:r>
                        <m:sSub>
                          <m:sSubPr>
                            <m:ctrlPr>
                              <w:rPr>
                                <w:rFonts w:ascii="Cambria Math" w:hAnsi="Cambria Math"/>
                                <w:sz w:val="22"/>
                                <w:szCs w:val="22"/>
                              </w:rPr>
                            </m:ctrlPr>
                          </m:sSubPr>
                          <m:e>
                            <m:r>
                              <w:rPr>
                                <w:rFonts w:ascii="Cambria Math" w:hAnsi="Cambria Math"/>
                                <w:sz w:val="22"/>
                                <w:szCs w:val="22"/>
                              </w:rPr>
                              <m:t>SD</m:t>
                            </m:r>
                          </m:e>
                          <m:sub>
                            <m:sSub>
                              <m:sSubPr>
                                <m:ctrlPr>
                                  <w:rPr>
                                    <w:rFonts w:ascii="Cambria Math" w:hAnsi="Cambria Math"/>
                                    <w:sz w:val="22"/>
                                    <w:szCs w:val="22"/>
                                  </w:rPr>
                                </m:ctrlPr>
                              </m:sSubPr>
                              <m:e>
                                <m:r>
                                  <w:rPr>
                                    <w:rFonts w:ascii="Cambria Math" w:hAnsi="Cambria Math"/>
                                    <w:sz w:val="22"/>
                                    <w:szCs w:val="22"/>
                                  </w:rPr>
                                  <m:t>x</m:t>
                                </m:r>
                              </m:e>
                              <m:sub>
                                <m:r>
                                  <w:rPr>
                                    <w:rFonts w:ascii="Cambria Math" w:hAnsi="Cambria Math"/>
                                    <w:sz w:val="22"/>
                                    <w:szCs w:val="22"/>
                                  </w:rPr>
                                  <m:t>j</m:t>
                                </m:r>
                              </m:sub>
                            </m:sSub>
                          </m:sub>
                        </m:sSub>
                      </m:e>
                    </m:d>
                  </m:e>
                </m:nary>
              </m:oMath>
            </m:oMathPara>
          </w:p>
        </w:tc>
        <w:tc>
          <w:tcPr>
            <w:tcW w:w="1081" w:type="dxa"/>
            <w:tcBorders>
              <w:top w:val="nil"/>
              <w:left w:val="nil"/>
              <w:bottom w:val="nil"/>
              <w:right w:val="nil"/>
            </w:tcBorders>
            <w:shd w:val="clear" w:color="auto" w:fill="auto"/>
            <w:vAlign w:val="center"/>
          </w:tcPr>
          <w:p w:rsidR="005C6AEF" w:rsidRPr="005C6AEF" w:rsidRDefault="005C6AEF" w:rsidP="005C6AEF">
            <w:pPr>
              <w:spacing w:before="240" w:after="200" w:line="480" w:lineRule="auto"/>
              <w:jc w:val="both"/>
              <w:rPr>
                <w:rFonts w:eastAsia="Times New Roman"/>
                <w:sz w:val="22"/>
                <w:szCs w:val="22"/>
              </w:rPr>
            </w:pPr>
            <w:r w:rsidRPr="005C6AEF">
              <w:rPr>
                <w:rFonts w:eastAsia="Times New Roman"/>
                <w:sz w:val="22"/>
                <w:szCs w:val="22"/>
              </w:rPr>
              <w:t>(5)</w:t>
            </w:r>
          </w:p>
        </w:tc>
      </w:tr>
    </w:tbl>
    <w:p w:rsidR="005C6AEF" w:rsidRPr="005C6AEF" w:rsidRDefault="005C6AEF" w:rsidP="005C6AEF">
      <w:pPr>
        <w:spacing w:after="200" w:line="480" w:lineRule="auto"/>
        <w:jc w:val="both"/>
        <w:rPr>
          <w:sz w:val="22"/>
          <w:szCs w:val="22"/>
        </w:rPr>
      </w:pPr>
      <w:r w:rsidRPr="005C6AEF">
        <w:rPr>
          <w:rFonts w:eastAsia="Calibri"/>
          <w:sz w:val="22"/>
          <w:szCs w:val="22"/>
        </w:rPr>
        <w:t xml:space="preserve">Where </w:t>
      </w:r>
      <m:oMath>
        <m:r>
          <w:rPr>
            <w:rFonts w:ascii="Cambria Math" w:eastAsia="Calibri" w:hAnsi="Cambria Math"/>
            <w:sz w:val="22"/>
            <w:szCs w:val="22"/>
          </w:rPr>
          <m:t>i</m:t>
        </m:r>
      </m:oMath>
      <w:r w:rsidRPr="005C6AEF">
        <w:rPr>
          <w:sz w:val="22"/>
          <w:szCs w:val="22"/>
        </w:rPr>
        <w:t xml:space="preserve"> and </w:t>
      </w:r>
      <m:oMath>
        <m:r>
          <w:rPr>
            <w:rFonts w:ascii="Cambria Math" w:eastAsia="Calibri" w:hAnsi="Cambria Math"/>
            <w:sz w:val="22"/>
            <w:szCs w:val="22"/>
          </w:rPr>
          <m:t>j</m:t>
        </m:r>
      </m:oMath>
      <w:r w:rsidRPr="005C6AEF">
        <w:rPr>
          <w:sz w:val="22"/>
          <w:szCs w:val="22"/>
        </w:rPr>
        <w:t xml:space="preserve"> are identifiers of the dose variables. The contribution of the clinical variables is </w:t>
      </w:r>
      <m:oMath>
        <m:r>
          <w:rPr>
            <w:rFonts w:ascii="Cambria Math" w:eastAsia="Calibri" w:hAnsi="Cambria Math"/>
            <w:sz w:val="22"/>
            <w:szCs w:val="22"/>
          </w:rPr>
          <m:t>0</m:t>
        </m:r>
      </m:oMath>
      <w:r w:rsidRPr="005C6AEF">
        <w:rPr>
          <w:sz w:val="22"/>
          <w:szCs w:val="22"/>
        </w:rPr>
        <w:t xml:space="preserve"> since the uncertainty for those is assumed to be negligible. Since </w:t>
      </w:r>
      <m:oMath>
        <m:r>
          <w:rPr>
            <w:rFonts w:ascii="Cambria Math" w:eastAsia="Calibri" w:hAnsi="Cambria Math"/>
            <w:sz w:val="22"/>
            <w:szCs w:val="22"/>
          </w:rPr>
          <m:t>s</m:t>
        </m:r>
      </m:oMath>
      <w:r w:rsidRPr="005C6AEF">
        <w:rPr>
          <w:sz w:val="22"/>
          <w:szCs w:val="22"/>
        </w:rPr>
        <w:t xml:space="preserve"> is assumed to follow a normal distribution it could be proved that </w:t>
      </w:r>
      <m:oMath>
        <m:sSup>
          <m:sSupPr>
            <m:ctrlPr>
              <w:rPr>
                <w:rFonts w:ascii="Cambria Math" w:eastAsia="Calibri" w:hAnsi="Cambria Math"/>
                <w:sz w:val="22"/>
                <w:szCs w:val="22"/>
              </w:rPr>
            </m:ctrlPr>
          </m:sSupPr>
          <m:e>
            <m:r>
              <w:rPr>
                <w:rFonts w:ascii="Cambria Math" w:eastAsia="Calibri" w:hAnsi="Cambria Math"/>
                <w:sz w:val="22"/>
                <w:szCs w:val="22"/>
              </w:rPr>
              <m:t>e</m:t>
            </m:r>
          </m:e>
          <m:sup>
            <m:r>
              <w:rPr>
                <w:rFonts w:ascii="Cambria Math" w:eastAsia="Calibri" w:hAnsi="Cambria Math"/>
                <w:sz w:val="22"/>
                <w:szCs w:val="22"/>
              </w:rPr>
              <m:t>-s</m:t>
            </m:r>
          </m:sup>
        </m:sSup>
        <m:r>
          <w:rPr>
            <w:rFonts w:ascii="Cambria Math" w:eastAsia="Calibri" w:hAnsi="Cambria Math"/>
            <w:sz w:val="22"/>
            <w:szCs w:val="22"/>
          </w:rPr>
          <m:t>~ logN</m:t>
        </m:r>
        <m:d>
          <m:dPr>
            <m:ctrlPr>
              <w:rPr>
                <w:rFonts w:ascii="Cambria Math" w:eastAsia="Calibri" w:hAnsi="Cambria Math"/>
                <w:sz w:val="22"/>
                <w:szCs w:val="22"/>
              </w:rPr>
            </m:ctrlPr>
          </m:dPr>
          <m:e>
            <m:r>
              <w:rPr>
                <w:rFonts w:ascii="Cambria Math" w:eastAsia="Calibri" w:hAnsi="Cambria Math"/>
                <w:sz w:val="22"/>
                <w:szCs w:val="22"/>
              </w:rPr>
              <m:t>-</m:t>
            </m:r>
            <m:sSub>
              <m:sSubPr>
                <m:ctrlPr>
                  <w:rPr>
                    <w:rFonts w:ascii="Cambria Math" w:eastAsia="Calibri" w:hAnsi="Cambria Math"/>
                    <w:sz w:val="22"/>
                    <w:szCs w:val="22"/>
                  </w:rPr>
                </m:ctrlPr>
              </m:sSubPr>
              <m:e>
                <m:r>
                  <w:rPr>
                    <w:rFonts w:ascii="Cambria Math" w:eastAsia="Calibri" w:hAnsi="Cambria Math"/>
                    <w:sz w:val="22"/>
                    <w:szCs w:val="22"/>
                  </w:rPr>
                  <m:t>μ</m:t>
                </m:r>
              </m:e>
              <m:sub>
                <m:r>
                  <w:rPr>
                    <w:rFonts w:ascii="Cambria Math" w:eastAsia="Calibri" w:hAnsi="Cambria Math"/>
                    <w:sz w:val="22"/>
                    <w:szCs w:val="22"/>
                  </w:rPr>
                  <m:t>s</m:t>
                </m:r>
              </m:sub>
            </m:sSub>
            <m:r>
              <w:rPr>
                <w:rFonts w:ascii="Cambria Math" w:eastAsia="Calibri" w:hAnsi="Cambria Math"/>
                <w:sz w:val="22"/>
                <w:szCs w:val="22"/>
              </w:rPr>
              <m:t>,S</m:t>
            </m:r>
            <m:sSub>
              <m:sSubPr>
                <m:ctrlPr>
                  <w:rPr>
                    <w:rFonts w:ascii="Cambria Math" w:eastAsia="Calibri" w:hAnsi="Cambria Math"/>
                    <w:sz w:val="22"/>
                    <w:szCs w:val="22"/>
                  </w:rPr>
                </m:ctrlPr>
              </m:sSubPr>
              <m:e>
                <m:r>
                  <w:rPr>
                    <w:rFonts w:ascii="Cambria Math" w:eastAsia="Calibri" w:hAnsi="Cambria Math"/>
                    <w:sz w:val="22"/>
                    <w:szCs w:val="22"/>
                  </w:rPr>
                  <m:t>D</m:t>
                </m:r>
              </m:e>
              <m:sub>
                <m:r>
                  <w:rPr>
                    <w:rFonts w:ascii="Cambria Math" w:eastAsia="Calibri" w:hAnsi="Cambria Math"/>
                    <w:sz w:val="22"/>
                    <w:szCs w:val="22"/>
                  </w:rPr>
                  <m:t>s</m:t>
                </m:r>
              </m:sub>
            </m:sSub>
          </m:e>
        </m:d>
        <m:r>
          <w:rPr>
            <w:rFonts w:ascii="Cambria Math" w:eastAsia="Calibri" w:hAnsi="Cambria Math"/>
            <w:sz w:val="22"/>
            <w:szCs w:val="22"/>
          </w:rPr>
          <m:t>.</m:t>
        </m:r>
      </m:oMath>
      <w:r w:rsidRPr="005C6AEF">
        <w:rPr>
          <w:sz w:val="22"/>
          <w:szCs w:val="22"/>
        </w:rPr>
        <w:t xml:space="preserve"> </w:t>
      </w:r>
      <w:proofErr w:type="gramStart"/>
      <w:r w:rsidRPr="005C6AEF">
        <w:rPr>
          <w:sz w:val="22"/>
          <w:szCs w:val="22"/>
        </w:rPr>
        <w:t>The</w:t>
      </w:r>
      <w:proofErr w:type="gramEnd"/>
      <w:r w:rsidRPr="005C6AEF">
        <w:rPr>
          <w:sz w:val="22"/>
          <w:szCs w:val="22"/>
        </w:rPr>
        <w:t xml:space="preserve"> values of </w:t>
      </w:r>
      <m:oMath>
        <m:sSup>
          <m:sSupPr>
            <m:ctrlPr>
              <w:rPr>
                <w:rFonts w:ascii="Cambria Math" w:eastAsia="Calibri" w:hAnsi="Cambria Math"/>
                <w:sz w:val="22"/>
                <w:szCs w:val="22"/>
              </w:rPr>
            </m:ctrlPr>
          </m:sSupPr>
          <m:e>
            <m:r>
              <w:rPr>
                <w:rFonts w:ascii="Cambria Math" w:eastAsia="Calibri" w:hAnsi="Cambria Math"/>
                <w:sz w:val="22"/>
                <w:szCs w:val="22"/>
              </w:rPr>
              <m:t>e</m:t>
            </m:r>
          </m:e>
          <m:sup>
            <m:r>
              <w:rPr>
                <w:rFonts w:ascii="Cambria Math" w:eastAsia="Calibri" w:hAnsi="Cambria Math"/>
                <w:sz w:val="22"/>
                <w:szCs w:val="22"/>
              </w:rPr>
              <m:t>-s</m:t>
            </m:r>
          </m:sup>
        </m:sSup>
      </m:oMath>
      <w:r w:rsidRPr="005C6AEF">
        <w:rPr>
          <w:sz w:val="22"/>
          <w:szCs w:val="22"/>
        </w:rPr>
        <w:t xml:space="preserve"> are sampled from the derived lognormal distribution followed by the calculation of NTCP values for both the photon and proton plan. The results of this semi-analytical method are shown in figures A1 and </w:t>
      </w:r>
      <w:proofErr w:type="gramStart"/>
      <w:r w:rsidRPr="005C6AEF">
        <w:rPr>
          <w:sz w:val="22"/>
          <w:szCs w:val="22"/>
        </w:rPr>
        <w:t>A2  as</w:t>
      </w:r>
      <w:proofErr w:type="gramEnd"/>
      <w:r w:rsidRPr="005C6AEF">
        <w:rPr>
          <w:sz w:val="22"/>
          <w:szCs w:val="22"/>
        </w:rPr>
        <w:t xml:space="preserve"> a validation of the </w:t>
      </w:r>
      <w:r w:rsidRPr="005C6AEF">
        <w:rPr>
          <w:sz w:val="22"/>
          <w:szCs w:val="22"/>
        </w:rPr>
        <w:lastRenderedPageBreak/>
        <w:t xml:space="preserve">multiple-sample method. The accuracy levels for different ΔNTCP threshold show the same trend for both approaches. </w:t>
      </w:r>
    </w:p>
    <w:p w:rsidR="005C6AEF" w:rsidRPr="005C6AEF" w:rsidRDefault="005C6AEF" w:rsidP="005C6AEF">
      <w:pPr>
        <w:spacing w:after="200" w:line="480" w:lineRule="auto"/>
        <w:jc w:val="both"/>
        <w:rPr>
          <w:rFonts w:eastAsia="Calibri"/>
          <w:sz w:val="22"/>
          <w:szCs w:val="22"/>
        </w:rPr>
      </w:pPr>
      <w:r w:rsidRPr="005C6AEF">
        <w:rPr>
          <w:sz w:val="22"/>
          <w:szCs w:val="22"/>
        </w:rPr>
        <w:t xml:space="preserve">Nevertheless, this semi-analytical method has not been used since it </w:t>
      </w:r>
      <w:proofErr w:type="spellStart"/>
      <w:r w:rsidRPr="005C6AEF">
        <w:rPr>
          <w:sz w:val="22"/>
          <w:szCs w:val="22"/>
        </w:rPr>
        <w:t>can not</w:t>
      </w:r>
      <w:proofErr w:type="spellEnd"/>
      <w:r w:rsidRPr="005C6AEF">
        <w:rPr>
          <w:sz w:val="22"/>
          <w:szCs w:val="22"/>
        </w:rPr>
        <w:t xml:space="preserve"> be applied for the model of </w:t>
      </w:r>
      <w:proofErr w:type="spellStart"/>
      <w:r w:rsidRPr="005C6AEF">
        <w:rPr>
          <w:sz w:val="22"/>
          <w:szCs w:val="22"/>
        </w:rPr>
        <w:t>Dijkema</w:t>
      </w:r>
      <w:proofErr w:type="spellEnd"/>
      <w:r w:rsidRPr="005C6AEF">
        <w:rPr>
          <w:sz w:val="22"/>
          <w:szCs w:val="22"/>
        </w:rPr>
        <w:t xml:space="preserve"> et al. which is not based on logistic regression, it is an LKB model. The coefficients are not linearly dependent. For simplicity we decided to use the Monte Carlo sampling method for all NTCP models.</w:t>
      </w:r>
      <w:r w:rsidRPr="005C6AEF">
        <w:rPr>
          <w:rFonts w:eastAsia="Calibri"/>
          <w:noProof/>
          <w:sz w:val="22"/>
          <w:szCs w:val="22"/>
        </w:rPr>
        <w:drawing>
          <wp:inline distT="0" distB="0" distL="0" distR="0" wp14:anchorId="1FF3F11A" wp14:editId="6C7530DC">
            <wp:extent cx="5943600" cy="31172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A1_HD.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3117215"/>
                    </a:xfrm>
                    <a:prstGeom prst="rect">
                      <a:avLst/>
                    </a:prstGeom>
                  </pic:spPr>
                </pic:pic>
              </a:graphicData>
            </a:graphic>
          </wp:inline>
        </w:drawing>
      </w:r>
    </w:p>
    <w:p w:rsidR="005C6AEF" w:rsidRPr="005C6AEF" w:rsidRDefault="005C6AEF" w:rsidP="005C6AEF">
      <w:pPr>
        <w:spacing w:after="200"/>
        <w:jc w:val="both"/>
        <w:rPr>
          <w:bCs/>
          <w:color w:val="000000"/>
          <w:sz w:val="18"/>
          <w:szCs w:val="18"/>
        </w:rPr>
      </w:pPr>
      <w:r w:rsidRPr="005C6AEF">
        <w:rPr>
          <w:rFonts w:eastAsia="Calibri"/>
          <w:b/>
          <w:bCs/>
          <w:color w:val="000000"/>
          <w:sz w:val="18"/>
          <w:szCs w:val="18"/>
        </w:rPr>
        <w:t>Figure A1:</w:t>
      </w:r>
      <w:r w:rsidRPr="005C6AEF">
        <w:rPr>
          <w:rFonts w:eastAsia="Calibri"/>
          <w:bCs/>
          <w:color w:val="000000"/>
          <w:sz w:val="18"/>
          <w:szCs w:val="18"/>
        </w:rPr>
        <w:t xml:space="preserve"> </w:t>
      </w:r>
      <w:r w:rsidRPr="005C6AEF">
        <w:rPr>
          <w:rFonts w:eastAsia="Calibri"/>
          <w:bCs/>
          <w:i/>
          <w:color w:val="000000"/>
          <w:sz w:val="18"/>
          <w:szCs w:val="18"/>
        </w:rPr>
        <w:t xml:space="preserve">Selection accuracy due to model uncertainty validation using Semi-Analytical method. </w:t>
      </w:r>
    </w:p>
    <w:p w:rsidR="005C6AEF" w:rsidRPr="005C6AEF" w:rsidRDefault="005C6AEF" w:rsidP="005C6AEF">
      <w:pPr>
        <w:keepNext/>
        <w:spacing w:after="200" w:line="360" w:lineRule="auto"/>
        <w:jc w:val="both"/>
        <w:rPr>
          <w:rFonts w:eastAsia="Calibri"/>
          <w:sz w:val="22"/>
          <w:szCs w:val="22"/>
        </w:rPr>
      </w:pPr>
      <w:r w:rsidRPr="005C6AEF">
        <w:rPr>
          <w:rFonts w:eastAsia="Calibri"/>
          <w:noProof/>
          <w:sz w:val="22"/>
          <w:szCs w:val="22"/>
        </w:rPr>
        <w:lastRenderedPageBreak/>
        <w:drawing>
          <wp:inline distT="0" distB="0" distL="0" distR="0" wp14:anchorId="66E04D86" wp14:editId="460AF335">
            <wp:extent cx="5943600" cy="311721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A2_HD.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3117215"/>
                    </a:xfrm>
                    <a:prstGeom prst="rect">
                      <a:avLst/>
                    </a:prstGeom>
                  </pic:spPr>
                </pic:pic>
              </a:graphicData>
            </a:graphic>
          </wp:inline>
        </w:drawing>
      </w:r>
    </w:p>
    <w:p w:rsidR="005C6AEF" w:rsidRPr="005C6AEF" w:rsidRDefault="005C6AEF" w:rsidP="005C6AEF">
      <w:pPr>
        <w:spacing w:after="200"/>
        <w:jc w:val="both"/>
        <w:rPr>
          <w:bCs/>
          <w:color w:val="000000"/>
          <w:sz w:val="18"/>
          <w:szCs w:val="18"/>
        </w:rPr>
      </w:pPr>
      <w:r w:rsidRPr="005C6AEF">
        <w:rPr>
          <w:rFonts w:eastAsia="Calibri"/>
          <w:b/>
          <w:bCs/>
          <w:color w:val="000000"/>
          <w:sz w:val="18"/>
          <w:szCs w:val="18"/>
        </w:rPr>
        <w:t xml:space="preserve">Figure A2: </w:t>
      </w:r>
      <w:r w:rsidRPr="005C6AEF">
        <w:rPr>
          <w:rFonts w:eastAsia="Calibri"/>
          <w:bCs/>
          <w:i/>
          <w:color w:val="000000"/>
          <w:sz w:val="18"/>
          <w:szCs w:val="18"/>
        </w:rPr>
        <w:t>Selection accuracy due to dose uncertainty validation using Semi-Analytical method. (</w:t>
      </w:r>
      <w:proofErr w:type="spellStart"/>
      <w:r w:rsidRPr="005C6AEF">
        <w:rPr>
          <w:rFonts w:eastAsia="Calibri"/>
          <w:bCs/>
          <w:i/>
          <w:color w:val="000000"/>
          <w:sz w:val="18"/>
          <w:szCs w:val="18"/>
        </w:rPr>
        <w:t>SD</w:t>
      </w:r>
      <w:r w:rsidRPr="005C6AEF">
        <w:rPr>
          <w:rFonts w:eastAsia="Calibri"/>
          <w:bCs/>
          <w:i/>
          <w:color w:val="000000"/>
          <w:sz w:val="18"/>
          <w:szCs w:val="18"/>
          <w:vertAlign w:val="subscript"/>
        </w:rPr>
        <w:t>dose</w:t>
      </w:r>
      <w:proofErr w:type="spellEnd"/>
      <w:r w:rsidRPr="005C6AEF">
        <w:rPr>
          <w:rFonts w:eastAsia="Calibri"/>
          <w:bCs/>
          <w:i/>
          <w:color w:val="000000"/>
          <w:sz w:val="18"/>
          <w:szCs w:val="18"/>
          <w:vertAlign w:val="subscript"/>
        </w:rPr>
        <w:t xml:space="preserve"> </w:t>
      </w:r>
      <w:r w:rsidRPr="005C6AEF">
        <w:rPr>
          <w:rFonts w:eastAsia="Calibri"/>
          <w:bCs/>
          <w:i/>
          <w:color w:val="000000"/>
          <w:sz w:val="18"/>
          <w:szCs w:val="18"/>
        </w:rPr>
        <w:t xml:space="preserve">= 3 </w:t>
      </w:r>
      <w:proofErr w:type="spellStart"/>
      <w:r w:rsidRPr="005C6AEF">
        <w:rPr>
          <w:rFonts w:eastAsia="Calibri"/>
          <w:bCs/>
          <w:i/>
          <w:color w:val="000000"/>
          <w:sz w:val="18"/>
          <w:szCs w:val="18"/>
        </w:rPr>
        <w:t>Gy</w:t>
      </w:r>
      <w:proofErr w:type="spellEnd"/>
      <w:r w:rsidRPr="005C6AEF">
        <w:rPr>
          <w:rFonts w:eastAsia="Calibri"/>
          <w:bCs/>
          <w:i/>
          <w:color w:val="000000"/>
          <w:sz w:val="18"/>
          <w:szCs w:val="18"/>
        </w:rPr>
        <w:t>)</w:t>
      </w:r>
    </w:p>
    <w:p w:rsidR="009F31DE" w:rsidRDefault="009F31DE"/>
    <w:sectPr w:rsidR="009F31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E62F1C"/>
    <w:multiLevelType w:val="multilevel"/>
    <w:tmpl w:val="72F23060"/>
    <w:lvl w:ilvl="0">
      <w:start w:val="1"/>
      <w:numFmt w:val="decimal"/>
      <w:lvlText w:val="%1."/>
      <w:lvlJc w:val="left"/>
      <w:pPr>
        <w:ind w:left="432" w:hanging="432"/>
      </w:pPr>
      <w:rPr>
        <w:rFonts w:hint="default"/>
        <w:color w:val="000000" w:themeColor="text1"/>
        <w:sz w:val="144"/>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AEF"/>
    <w:rsid w:val="000E5398"/>
    <w:rsid w:val="00442B3A"/>
    <w:rsid w:val="004C004B"/>
    <w:rsid w:val="005C6AEF"/>
    <w:rsid w:val="00634C90"/>
    <w:rsid w:val="00713F13"/>
    <w:rsid w:val="009F31DE"/>
    <w:rsid w:val="00A837A6"/>
    <w:rsid w:val="00AD4FE3"/>
    <w:rsid w:val="00AE11C4"/>
    <w:rsid w:val="00BC38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B290E6-154B-471C-AF3E-F8FF7FA22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F13"/>
    <w:rPr>
      <w:rFonts w:ascii="Calibri" w:hAnsi="Calibri"/>
      <w:sz w:val="24"/>
      <w:szCs w:val="24"/>
      <w:lang w:val="en-US"/>
    </w:rPr>
  </w:style>
  <w:style w:type="paragraph" w:styleId="Heading1">
    <w:name w:val="heading 1"/>
    <w:basedOn w:val="Normal"/>
    <w:next w:val="Normal"/>
    <w:link w:val="Heading1Char"/>
    <w:uiPriority w:val="9"/>
    <w:qFormat/>
    <w:rsid w:val="00713F13"/>
    <w:pPr>
      <w:keepNext/>
      <w:spacing w:before="240" w:after="60"/>
      <w:outlineLvl w:val="0"/>
    </w:pPr>
    <w:rPr>
      <w:rFonts w:ascii="Bookman Old Style" w:eastAsiaTheme="majorEastAsia" w:hAnsi="Bookman Old Style" w:cstheme="majorBidi"/>
      <w:bCs/>
      <w:color w:val="00B0F0"/>
      <w:kern w:val="32"/>
      <w:sz w:val="96"/>
      <w:szCs w:val="32"/>
    </w:rPr>
  </w:style>
  <w:style w:type="paragraph" w:styleId="Heading2">
    <w:name w:val="heading 2"/>
    <w:next w:val="Normal"/>
    <w:link w:val="Heading2Char"/>
    <w:uiPriority w:val="9"/>
    <w:unhideWhenUsed/>
    <w:qFormat/>
    <w:rsid w:val="00713F13"/>
    <w:pPr>
      <w:keepNext/>
      <w:keepLines/>
      <w:numPr>
        <w:ilvl w:val="1"/>
        <w:numId w:val="8"/>
      </w:numPr>
      <w:spacing w:before="40"/>
      <w:outlineLvl w:val="1"/>
    </w:pPr>
    <w:rPr>
      <w:rFonts w:ascii="Bookman Old Style" w:eastAsiaTheme="majorEastAsia" w:hAnsi="Bookman Old Style" w:cstheme="majorBidi"/>
      <w:b/>
      <w:bCs/>
      <w:color w:val="2E74B5" w:themeColor="accent1" w:themeShade="BF"/>
      <w:kern w:val="32"/>
      <w:sz w:val="26"/>
      <w:szCs w:val="26"/>
      <w:lang w:val="en-US"/>
    </w:rPr>
  </w:style>
  <w:style w:type="paragraph" w:styleId="Heading3">
    <w:name w:val="heading 3"/>
    <w:basedOn w:val="Normal"/>
    <w:next w:val="Normal"/>
    <w:link w:val="Heading3Char"/>
    <w:uiPriority w:val="9"/>
    <w:unhideWhenUsed/>
    <w:qFormat/>
    <w:rsid w:val="00713F13"/>
    <w:pPr>
      <w:keepNext/>
      <w:keepLines/>
      <w:numPr>
        <w:ilvl w:val="2"/>
        <w:numId w:val="8"/>
      </w:numPr>
      <w:spacing w:before="40"/>
      <w:outlineLvl w:val="2"/>
    </w:pPr>
    <w:rPr>
      <w:rFonts w:asciiTheme="majorHAnsi" w:eastAsiaTheme="majorEastAsia" w:hAnsiTheme="majorHAnsi" w:cstheme="majorBidi"/>
      <w:b/>
      <w:color w:val="1F4D78" w:themeColor="accent1" w:themeShade="7F"/>
    </w:rPr>
  </w:style>
  <w:style w:type="paragraph" w:styleId="Heading4">
    <w:name w:val="heading 4"/>
    <w:basedOn w:val="Normal"/>
    <w:next w:val="Normal"/>
    <w:link w:val="Heading4Char"/>
    <w:uiPriority w:val="9"/>
    <w:semiHidden/>
    <w:unhideWhenUsed/>
    <w:qFormat/>
    <w:rsid w:val="00713F13"/>
    <w:pPr>
      <w:keepNext/>
      <w:keepLines/>
      <w:numPr>
        <w:ilvl w:val="3"/>
        <w:numId w:val="8"/>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13F13"/>
    <w:pPr>
      <w:keepNext/>
      <w:keepLines/>
      <w:numPr>
        <w:ilvl w:val="4"/>
        <w:numId w:val="8"/>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713F13"/>
    <w:pPr>
      <w:keepNext/>
      <w:keepLines/>
      <w:numPr>
        <w:ilvl w:val="5"/>
        <w:numId w:val="8"/>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713F13"/>
    <w:pPr>
      <w:keepNext/>
      <w:keepLines/>
      <w:numPr>
        <w:ilvl w:val="6"/>
        <w:numId w:val="8"/>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713F13"/>
    <w:pPr>
      <w:keepNext/>
      <w:keepLines/>
      <w:numPr>
        <w:ilvl w:val="7"/>
        <w:numId w:val="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13F13"/>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opvaninhoudsopgave1">
    <w:name w:val="Kop van inhoudsopgave1"/>
    <w:basedOn w:val="Heading1"/>
    <w:next w:val="Normal"/>
    <w:uiPriority w:val="39"/>
    <w:qFormat/>
    <w:rsid w:val="00713F13"/>
    <w:pPr>
      <w:keepLines/>
      <w:spacing w:before="480" w:after="0" w:line="276" w:lineRule="auto"/>
      <w:outlineLvl w:val="9"/>
    </w:pPr>
    <w:rPr>
      <w:rFonts w:eastAsia="Times New Roman" w:cs="Times New Roman"/>
      <w:color w:val="365F91"/>
      <w:kern w:val="0"/>
      <w:sz w:val="28"/>
      <w:szCs w:val="28"/>
      <w:lang w:eastAsia="ja-JP"/>
    </w:rPr>
  </w:style>
  <w:style w:type="character" w:customStyle="1" w:styleId="Heading1Char">
    <w:name w:val="Heading 1 Char"/>
    <w:link w:val="Heading1"/>
    <w:uiPriority w:val="9"/>
    <w:rsid w:val="00713F13"/>
    <w:rPr>
      <w:rFonts w:ascii="Bookman Old Style" w:eastAsiaTheme="majorEastAsia" w:hAnsi="Bookman Old Style" w:cstheme="majorBidi"/>
      <w:bCs/>
      <w:color w:val="00B0F0"/>
      <w:kern w:val="32"/>
      <w:sz w:val="96"/>
      <w:szCs w:val="32"/>
      <w:lang w:val="en-US"/>
    </w:rPr>
  </w:style>
  <w:style w:type="character" w:customStyle="1" w:styleId="Heading2Char">
    <w:name w:val="Heading 2 Char"/>
    <w:basedOn w:val="DefaultParagraphFont"/>
    <w:link w:val="Heading2"/>
    <w:uiPriority w:val="9"/>
    <w:rsid w:val="00713F13"/>
    <w:rPr>
      <w:rFonts w:ascii="Bookman Old Style" w:eastAsiaTheme="majorEastAsia" w:hAnsi="Bookman Old Style" w:cstheme="majorBidi"/>
      <w:b/>
      <w:bCs/>
      <w:color w:val="2E74B5" w:themeColor="accent1" w:themeShade="BF"/>
      <w:kern w:val="32"/>
      <w:sz w:val="26"/>
      <w:szCs w:val="26"/>
      <w:lang w:val="en-US"/>
    </w:rPr>
  </w:style>
  <w:style w:type="character" w:customStyle="1" w:styleId="Heading3Char">
    <w:name w:val="Heading 3 Char"/>
    <w:basedOn w:val="DefaultParagraphFont"/>
    <w:link w:val="Heading3"/>
    <w:uiPriority w:val="9"/>
    <w:rsid w:val="00713F13"/>
    <w:rPr>
      <w:rFonts w:asciiTheme="majorHAnsi" w:eastAsiaTheme="majorEastAsia" w:hAnsiTheme="majorHAnsi" w:cstheme="majorBidi"/>
      <w:b/>
      <w:color w:val="1F4D78" w:themeColor="accent1" w:themeShade="7F"/>
      <w:sz w:val="24"/>
      <w:szCs w:val="24"/>
      <w:lang w:val="en-US"/>
    </w:rPr>
  </w:style>
  <w:style w:type="character" w:customStyle="1" w:styleId="Heading4Char">
    <w:name w:val="Heading 4 Char"/>
    <w:basedOn w:val="DefaultParagraphFont"/>
    <w:link w:val="Heading4"/>
    <w:uiPriority w:val="9"/>
    <w:semiHidden/>
    <w:rsid w:val="00713F13"/>
    <w:rPr>
      <w:rFonts w:asciiTheme="majorHAnsi" w:eastAsiaTheme="majorEastAsia" w:hAnsiTheme="majorHAnsi" w:cstheme="majorBidi"/>
      <w:i/>
      <w:iCs/>
      <w:color w:val="2E74B5" w:themeColor="accent1" w:themeShade="BF"/>
      <w:sz w:val="24"/>
      <w:szCs w:val="24"/>
      <w:lang w:val="en-US"/>
    </w:rPr>
  </w:style>
  <w:style w:type="character" w:customStyle="1" w:styleId="Heading5Char">
    <w:name w:val="Heading 5 Char"/>
    <w:basedOn w:val="DefaultParagraphFont"/>
    <w:link w:val="Heading5"/>
    <w:uiPriority w:val="9"/>
    <w:semiHidden/>
    <w:rsid w:val="00713F13"/>
    <w:rPr>
      <w:rFonts w:asciiTheme="majorHAnsi" w:eastAsiaTheme="majorEastAsia" w:hAnsiTheme="majorHAnsi" w:cstheme="majorBidi"/>
      <w:color w:val="2E74B5" w:themeColor="accent1" w:themeShade="BF"/>
      <w:sz w:val="24"/>
      <w:szCs w:val="24"/>
      <w:lang w:val="en-US"/>
    </w:rPr>
  </w:style>
  <w:style w:type="character" w:customStyle="1" w:styleId="Heading6Char">
    <w:name w:val="Heading 6 Char"/>
    <w:basedOn w:val="DefaultParagraphFont"/>
    <w:link w:val="Heading6"/>
    <w:uiPriority w:val="9"/>
    <w:semiHidden/>
    <w:rsid w:val="00713F13"/>
    <w:rPr>
      <w:rFonts w:asciiTheme="majorHAnsi" w:eastAsiaTheme="majorEastAsia" w:hAnsiTheme="majorHAnsi" w:cstheme="majorBidi"/>
      <w:color w:val="1F4D78" w:themeColor="accent1" w:themeShade="7F"/>
      <w:sz w:val="24"/>
      <w:szCs w:val="24"/>
      <w:lang w:val="en-US"/>
    </w:rPr>
  </w:style>
  <w:style w:type="character" w:customStyle="1" w:styleId="Heading7Char">
    <w:name w:val="Heading 7 Char"/>
    <w:basedOn w:val="DefaultParagraphFont"/>
    <w:link w:val="Heading7"/>
    <w:uiPriority w:val="9"/>
    <w:semiHidden/>
    <w:rsid w:val="00713F13"/>
    <w:rPr>
      <w:rFonts w:asciiTheme="majorHAnsi" w:eastAsiaTheme="majorEastAsia" w:hAnsiTheme="majorHAnsi" w:cstheme="majorBidi"/>
      <w:i/>
      <w:iCs/>
      <w:color w:val="1F4D78" w:themeColor="accent1" w:themeShade="7F"/>
      <w:sz w:val="24"/>
      <w:szCs w:val="24"/>
      <w:lang w:val="en-US"/>
    </w:rPr>
  </w:style>
  <w:style w:type="character" w:customStyle="1" w:styleId="Heading8Char">
    <w:name w:val="Heading 8 Char"/>
    <w:basedOn w:val="DefaultParagraphFont"/>
    <w:link w:val="Heading8"/>
    <w:uiPriority w:val="9"/>
    <w:semiHidden/>
    <w:rsid w:val="00713F13"/>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713F13"/>
    <w:rPr>
      <w:rFonts w:asciiTheme="majorHAnsi" w:eastAsiaTheme="majorEastAsia" w:hAnsiTheme="majorHAnsi" w:cstheme="majorBidi"/>
      <w:i/>
      <w:iCs/>
      <w:color w:val="272727" w:themeColor="text1" w:themeTint="D8"/>
      <w:sz w:val="21"/>
      <w:szCs w:val="21"/>
      <w:lang w:val="en-US"/>
    </w:rPr>
  </w:style>
  <w:style w:type="paragraph" w:styleId="Caption">
    <w:name w:val="caption"/>
    <w:basedOn w:val="Normal"/>
    <w:next w:val="Normal"/>
    <w:uiPriority w:val="35"/>
    <w:unhideWhenUsed/>
    <w:qFormat/>
    <w:rsid w:val="00713F13"/>
    <w:pPr>
      <w:spacing w:before="200" w:after="200"/>
    </w:pPr>
    <w:rPr>
      <w:rFonts w:asciiTheme="minorHAnsi" w:eastAsiaTheme="minorHAnsi" w:hAnsiTheme="minorHAnsi" w:cstheme="minorBidi"/>
      <w:i/>
      <w:iCs/>
      <w:color w:val="2E74B5" w:themeColor="accent1" w:themeShade="BF"/>
      <w:sz w:val="22"/>
      <w:szCs w:val="18"/>
      <w:lang w:val="nl-NL"/>
    </w:rPr>
  </w:style>
  <w:style w:type="paragraph" w:styleId="Title">
    <w:name w:val="Title"/>
    <w:basedOn w:val="Normal"/>
    <w:next w:val="Normal"/>
    <w:link w:val="TitleChar"/>
    <w:uiPriority w:val="10"/>
    <w:qFormat/>
    <w:rsid w:val="00713F13"/>
    <w:pPr>
      <w:spacing w:before="240" w:after="60"/>
      <w:jc w:val="center"/>
      <w:outlineLvl w:val="0"/>
    </w:pPr>
    <w:rPr>
      <w:rFonts w:ascii="Bookman Old Style" w:hAnsi="Bookman Old Style"/>
      <w:b/>
      <w:bCs/>
      <w:color w:val="00B0F0"/>
      <w:kern w:val="28"/>
      <w:sz w:val="32"/>
      <w:szCs w:val="32"/>
    </w:rPr>
  </w:style>
  <w:style w:type="character" w:customStyle="1" w:styleId="TitleChar">
    <w:name w:val="Title Char"/>
    <w:link w:val="Title"/>
    <w:uiPriority w:val="10"/>
    <w:rsid w:val="00713F13"/>
    <w:rPr>
      <w:rFonts w:ascii="Bookman Old Style" w:hAnsi="Bookman Old Style"/>
      <w:b/>
      <w:bCs/>
      <w:color w:val="00B0F0"/>
      <w:kern w:val="28"/>
      <w:sz w:val="32"/>
      <w:szCs w:val="32"/>
      <w:lang w:val="en-US"/>
    </w:rPr>
  </w:style>
  <w:style w:type="paragraph" w:styleId="Subtitle">
    <w:name w:val="Subtitle"/>
    <w:basedOn w:val="Normal"/>
    <w:next w:val="Normal"/>
    <w:link w:val="SubtitleChar"/>
    <w:uiPriority w:val="11"/>
    <w:qFormat/>
    <w:rsid w:val="00713F13"/>
    <w:pPr>
      <w:numPr>
        <w:ilvl w:val="1"/>
      </w:numPr>
      <w:spacing w:after="160"/>
      <w:jc w:val="right"/>
    </w:pPr>
    <w:rPr>
      <w:rFonts w:ascii="Bookman Old Style" w:eastAsiaTheme="minorEastAsia" w:hAnsi="Bookman Old Style" w:cstheme="minorBidi"/>
      <w:b/>
      <w:color w:val="00B0F0"/>
      <w:spacing w:val="15"/>
      <w:sz w:val="32"/>
      <w:szCs w:val="22"/>
    </w:rPr>
  </w:style>
  <w:style w:type="character" w:customStyle="1" w:styleId="SubtitleChar">
    <w:name w:val="Subtitle Char"/>
    <w:basedOn w:val="DefaultParagraphFont"/>
    <w:link w:val="Subtitle"/>
    <w:uiPriority w:val="11"/>
    <w:rsid w:val="00713F13"/>
    <w:rPr>
      <w:rFonts w:ascii="Bookman Old Style" w:eastAsiaTheme="minorEastAsia" w:hAnsi="Bookman Old Style" w:cstheme="minorBidi"/>
      <w:b/>
      <w:color w:val="00B0F0"/>
      <w:spacing w:val="15"/>
      <w:sz w:val="32"/>
      <w:szCs w:val="22"/>
      <w:lang w:val="en-US"/>
    </w:rPr>
  </w:style>
  <w:style w:type="character" w:styleId="Emphasis">
    <w:name w:val="Emphasis"/>
    <w:basedOn w:val="DefaultParagraphFont"/>
    <w:uiPriority w:val="20"/>
    <w:qFormat/>
    <w:rsid w:val="00713F13"/>
    <w:rPr>
      <w:i/>
      <w:iCs/>
    </w:rPr>
  </w:style>
  <w:style w:type="paragraph" w:styleId="ListParagraph">
    <w:name w:val="List Paragraph"/>
    <w:basedOn w:val="Normal"/>
    <w:link w:val="ListParagraphChar"/>
    <w:uiPriority w:val="34"/>
    <w:qFormat/>
    <w:rsid w:val="00713F13"/>
    <w:pPr>
      <w:ind w:left="720"/>
    </w:pPr>
    <w:rPr>
      <w:rFonts w:eastAsia="Calibri"/>
      <w:szCs w:val="22"/>
      <w:lang w:val="nl-NL"/>
    </w:rPr>
  </w:style>
  <w:style w:type="character" w:customStyle="1" w:styleId="ListParagraphChar">
    <w:name w:val="List Paragraph Char"/>
    <w:basedOn w:val="DefaultParagraphFont"/>
    <w:link w:val="ListParagraph"/>
    <w:uiPriority w:val="34"/>
    <w:rsid w:val="00713F13"/>
    <w:rPr>
      <w:rFonts w:ascii="Calibri" w:eastAsia="Calibri" w:hAnsi="Calibri"/>
      <w:sz w:val="24"/>
      <w:szCs w:val="22"/>
    </w:rPr>
  </w:style>
  <w:style w:type="character" w:styleId="SubtleEmphasis">
    <w:name w:val="Subtle Emphasis"/>
    <w:basedOn w:val="DefaultParagraphFont"/>
    <w:uiPriority w:val="19"/>
    <w:qFormat/>
    <w:rsid w:val="00713F13"/>
    <w:rPr>
      <w:i/>
      <w:iCs/>
      <w:color w:val="404040" w:themeColor="text1" w:themeTint="BF"/>
    </w:rPr>
  </w:style>
  <w:style w:type="paragraph" w:styleId="TOCHeading">
    <w:name w:val="TOC Heading"/>
    <w:basedOn w:val="Heading1"/>
    <w:next w:val="Normal"/>
    <w:uiPriority w:val="39"/>
    <w:unhideWhenUsed/>
    <w:qFormat/>
    <w:rsid w:val="00713F13"/>
    <w:pPr>
      <w:keepLines/>
      <w:spacing w:after="0" w:line="259" w:lineRule="auto"/>
      <w:outlineLvl w:val="9"/>
    </w:pPr>
    <w:rPr>
      <w:rFonts w:asciiTheme="majorHAnsi" w:hAnsiTheme="majorHAnsi"/>
      <w:bCs w:val="0"/>
      <w:color w:val="2E74B5" w:themeColor="accent1" w:themeShade="BF"/>
      <w:kern w:val="0"/>
      <w:sz w:val="32"/>
      <w:lang w:val="nl-NL" w:eastAsia="nl-NL"/>
    </w:rPr>
  </w:style>
  <w:style w:type="table" w:customStyle="1" w:styleId="Tabelraster1">
    <w:name w:val="Tabelraster1"/>
    <w:basedOn w:val="TableNormal"/>
    <w:next w:val="TableGrid"/>
    <w:uiPriority w:val="59"/>
    <w:rsid w:val="005C6AEF"/>
    <w:rPr>
      <w:rFonts w:ascii="Calibri" w:eastAsia="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C6A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f"/><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351</Words>
  <Characters>2004</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 Bijman</dc:creator>
  <cp:keywords/>
  <dc:description/>
  <cp:lastModifiedBy>Pertreesia Maria</cp:lastModifiedBy>
  <cp:revision>2</cp:revision>
  <dcterms:created xsi:type="dcterms:W3CDTF">2017-08-18T12:04:00Z</dcterms:created>
  <dcterms:modified xsi:type="dcterms:W3CDTF">2017-08-18T12:04:00Z</dcterms:modified>
</cp:coreProperties>
</file>