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240"/>
        <w:jc w:val="center"/>
        <w:rPr>
          <w:color w:val="0D0D0D"/>
        </w:rPr>
      </w:pPr>
      <w:r>
        <w:rPr>
          <w:color w:val="0D0D0D"/>
        </w:rPr>
        <w:t>SUPPLEMENTARY MATERIAL</w:t>
      </w:r>
    </w:p>
    <w:p>
      <w:pPr>
        <w:rPr>
          <w:rFonts w:ascii="Times New Roman" w:hAnsi="Times New Roman" w:cs="Times New Roman"/>
          <w:sz w:val="24"/>
          <w:szCs w:val="24"/>
        </w:rPr>
      </w:pPr>
      <w:bookmarkStart w:id="0" w:name="OLE_LINK108"/>
      <w:r>
        <w:rPr>
          <w:rFonts w:ascii="Times New Roman" w:hAnsi="Times New Roman" w:cs="Times New Roman"/>
          <w:sz w:val="24"/>
          <w:szCs w:val="24"/>
        </w:rPr>
        <w:t>Design potential</w:t>
      </w:r>
      <w:r>
        <w:rPr>
          <w:rFonts w:hint="eastAsia" w:ascii="Times New Roman" w:hAnsi="Times New Roman" w:cs="Times New Roman"/>
          <w:sz w:val="24"/>
          <w:szCs w:val="24"/>
        </w:rPr>
        <w:t xml:space="preserve"> selective </w:t>
      </w:r>
      <w:r>
        <w:rPr>
          <w:rFonts w:ascii="Times New Roman" w:hAnsi="Times New Roman" w:cs="Times New Roman"/>
          <w:sz w:val="24"/>
          <w:szCs w:val="24"/>
        </w:rPr>
        <w:t xml:space="preserve">inhibitors for </w:t>
      </w:r>
      <w:r>
        <w:rPr>
          <w:rFonts w:hint="eastAsia"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uman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leukocyte common antigen-related (PTP-LAR) with</w:t>
      </w:r>
      <w:bookmarkStart w:id="1" w:name="OLE_LINK15"/>
      <w:bookmarkStart w:id="2" w:name="OLE_LINK16"/>
      <w:r>
        <w:rPr>
          <w:rFonts w:ascii="Times New Roman" w:hAnsi="Times New Roman" w:cs="Times New Roman"/>
          <w:sz w:val="24"/>
          <w:szCs w:val="24"/>
        </w:rPr>
        <w:t xml:space="preserve"> fragment replace approach</w:t>
      </w:r>
      <w:bookmarkEnd w:id="1"/>
      <w:bookmarkEnd w:id="2"/>
    </w:p>
    <w:bookmarkEnd w:id="0"/>
    <w:p>
      <w:pPr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Cs w:val="21"/>
          <w:highlight w:val="none"/>
        </w:rPr>
        <w:t>Jing-Wei Wu</w:t>
      </w:r>
      <w:r>
        <w:rPr>
          <w:rFonts w:hint="eastAsia" w:ascii="Times New Roman" w:hAnsi="Times New Roman" w:cs="Times New Roman"/>
          <w:szCs w:val="21"/>
          <w:highlight w:val="none"/>
          <w:vertAlign w:val="superscript"/>
        </w:rPr>
        <w:t>a,1</w:t>
      </w:r>
      <w:r>
        <w:rPr>
          <w:rFonts w:hint="eastAsia" w:ascii="Times New Roman" w:hAnsi="Times New Roman" w:cs="Times New Roman"/>
          <w:szCs w:val="21"/>
          <w:highlight w:val="none"/>
        </w:rPr>
        <w:t>, Huan Zhang</w:t>
      </w:r>
      <w:r>
        <w:rPr>
          <w:rFonts w:hint="eastAsia" w:ascii="Times New Roman" w:hAnsi="Times New Roman" w:cs="Times New Roman"/>
          <w:szCs w:val="21"/>
          <w:highlight w:val="none"/>
          <w:vertAlign w:val="superscript"/>
        </w:rPr>
        <w:t xml:space="preserve"> b,1</w:t>
      </w:r>
      <w:r>
        <w:rPr>
          <w:rFonts w:hint="eastAsia" w:ascii="Times New Roman" w:hAnsi="Times New Roman" w:cs="Times New Roman"/>
          <w:szCs w:val="21"/>
          <w:highlight w:val="none"/>
        </w:rPr>
        <w:t>, Wei-Ya Li</w:t>
      </w:r>
      <w:r>
        <w:rPr>
          <w:rFonts w:hint="eastAsia" w:ascii="Times New Roman" w:hAnsi="Times New Roman" w:cs="Times New Roman"/>
          <w:szCs w:val="21"/>
          <w:highlight w:val="none"/>
          <w:vertAlign w:val="superscript"/>
        </w:rPr>
        <w:t>a,1</w:t>
      </w:r>
      <w:r>
        <w:rPr>
          <w:rFonts w:hint="eastAsia" w:ascii="Times New Roman" w:hAnsi="Times New Roman" w:cs="Times New Roman"/>
          <w:szCs w:val="21"/>
          <w:highlight w:val="none"/>
        </w:rPr>
        <w:t>,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Xue Tang</w:t>
      </w:r>
      <w:r>
        <w:rPr>
          <w:rFonts w:hint="eastAsia" w:ascii="Times New Roman" w:hAnsi="Times New Roman" w:cs="Times New Roman"/>
          <w:szCs w:val="21"/>
          <w:highlight w:val="none"/>
          <w:vertAlign w:val="superscript"/>
          <w:lang w:val="en-US" w:eastAsia="zh-CN"/>
        </w:rPr>
        <w:t>c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,</w:t>
      </w:r>
      <w:r>
        <w:rPr>
          <w:rFonts w:hint="eastAsia" w:ascii="Times New Roman" w:hAnsi="Times New Roman" w:cs="Times New Roman"/>
          <w:szCs w:val="21"/>
          <w:highlight w:val="none"/>
        </w:rPr>
        <w:t xml:space="preserve"> </w:t>
      </w:r>
      <w:r>
        <w:rPr>
          <w:rFonts w:ascii="Times New Roman" w:hAnsi="Times New Roman" w:cs="Times New Roman"/>
          <w:kern w:val="0"/>
          <w:szCs w:val="21"/>
          <w:highlight w:val="none"/>
        </w:rPr>
        <w:t>Hong-Lian Li</w:t>
      </w:r>
      <w:r>
        <w:rPr>
          <w:rFonts w:ascii="Times New Roman" w:hAnsi="Times New Roman" w:cs="Times New Roman"/>
          <w:kern w:val="0"/>
          <w:szCs w:val="21"/>
          <w:highlight w:val="none"/>
          <w:vertAlign w:val="superscript"/>
        </w:rPr>
        <w:t>a</w:t>
      </w:r>
      <w:r>
        <w:rPr>
          <w:rFonts w:ascii="Times New Roman" w:hAnsi="Times New Roman" w:cs="Times New Roman"/>
          <w:kern w:val="0"/>
          <w:szCs w:val="21"/>
          <w:highlight w:val="none"/>
        </w:rPr>
        <w:t>,</w:t>
      </w:r>
      <w:r>
        <w:rPr>
          <w:rFonts w:hint="eastAsia" w:ascii="Times New Roman" w:hAnsi="Times New Roman" w:cs="Times New Roman"/>
          <w:kern w:val="0"/>
          <w:szCs w:val="21"/>
          <w:highlight w:val="none"/>
        </w:rPr>
        <w:t xml:space="preserve"> Xin-Hua Lu</w:t>
      </w:r>
      <w:r>
        <w:rPr>
          <w:rFonts w:hint="eastAsia" w:ascii="Times New Roman" w:hAnsi="Times New Roman" w:cs="Times New Roman"/>
          <w:kern w:val="0"/>
          <w:szCs w:val="21"/>
          <w:highlight w:val="none"/>
          <w:vertAlign w:val="superscript"/>
          <w:lang w:val="en-US" w:eastAsia="zh-CN"/>
        </w:rPr>
        <w:t>d</w:t>
      </w:r>
      <w:r>
        <w:rPr>
          <w:rFonts w:hint="eastAsia" w:ascii="Times New Roman" w:hAnsi="Times New Roman" w:cs="Times New Roman"/>
          <w:kern w:val="0"/>
          <w:szCs w:val="21"/>
          <w:highlight w:val="none"/>
        </w:rPr>
        <w:t>, Zhi-Hui Zheng</w:t>
      </w:r>
      <w:r>
        <w:rPr>
          <w:rFonts w:hint="eastAsia" w:ascii="Times New Roman" w:hAnsi="Times New Roman" w:cs="Times New Roman"/>
          <w:kern w:val="0"/>
          <w:szCs w:val="21"/>
          <w:highlight w:val="none"/>
          <w:vertAlign w:val="superscript"/>
          <w:lang w:val="en-US" w:eastAsia="zh-CN"/>
        </w:rPr>
        <w:t>d</w:t>
      </w:r>
      <w:r>
        <w:rPr>
          <w:rFonts w:hint="eastAsia" w:ascii="Times New Roman" w:hAnsi="Times New Roman" w:cs="Times New Roman"/>
          <w:kern w:val="0"/>
          <w:szCs w:val="21"/>
          <w:highlight w:val="none"/>
        </w:rPr>
        <w:t xml:space="preserve">, </w:t>
      </w:r>
      <w:r>
        <w:rPr>
          <w:rFonts w:ascii="Times New Roman" w:hAnsi="Times New Roman" w:cs="Times New Roman"/>
          <w:kern w:val="0"/>
          <w:szCs w:val="21"/>
          <w:highlight w:val="none"/>
        </w:rPr>
        <w:t>Ying Ma</w:t>
      </w:r>
      <w:r>
        <w:rPr>
          <w:rFonts w:ascii="Times New Roman" w:hAnsi="Times New Roman" w:cs="Times New Roman"/>
          <w:szCs w:val="21"/>
          <w:highlight w:val="none"/>
          <w:vertAlign w:val="superscript"/>
        </w:rPr>
        <w:t>a</w:t>
      </w:r>
      <w:r>
        <w:rPr>
          <w:rFonts w:hint="eastAsia" w:ascii="Times New Roman" w:hAnsi="Times New Roman" w:cs="Times New Roman"/>
          <w:szCs w:val="21"/>
          <w:highlight w:val="none"/>
          <w:vertAlign w:val="superscript"/>
        </w:rPr>
        <w:t>,</w:t>
      </w:r>
      <w:r>
        <w:rPr>
          <w:rFonts w:ascii="Times New Roman" w:hAnsi="Times New Roman" w:cs="Times New Roman"/>
          <w:kern w:val="0"/>
          <w:szCs w:val="21"/>
          <w:highlight w:val="none"/>
          <w:vertAlign w:val="superscript"/>
        </w:rPr>
        <w:t>*</w:t>
      </w:r>
      <w:r>
        <w:rPr>
          <w:rFonts w:ascii="Times New Roman" w:hAnsi="Times New Roman" w:cs="Times New Roman"/>
          <w:szCs w:val="21"/>
          <w:highlight w:val="none"/>
        </w:rPr>
        <w:t>,</w:t>
      </w:r>
      <w:r>
        <w:rPr>
          <w:rFonts w:hint="eastAsia" w:ascii="Times New Roman" w:hAnsi="Times New Roman" w:cs="Times New Roman"/>
          <w:szCs w:val="21"/>
          <w:highlight w:val="none"/>
        </w:rPr>
        <w:t xml:space="preserve"> </w:t>
      </w:r>
      <w:r>
        <w:rPr>
          <w:rFonts w:ascii="Times New Roman" w:hAnsi="Times New Roman" w:cs="Times New Roman"/>
          <w:kern w:val="0"/>
          <w:szCs w:val="21"/>
          <w:highlight w:val="none"/>
        </w:rPr>
        <w:t>Run-Ling Wang</w:t>
      </w:r>
      <w:r>
        <w:rPr>
          <w:rFonts w:ascii="Times New Roman" w:hAnsi="Times New Roman" w:cs="Times New Roman"/>
          <w:kern w:val="0"/>
          <w:szCs w:val="21"/>
          <w:highlight w:val="none"/>
          <w:vertAlign w:val="superscript"/>
        </w:rPr>
        <w:t>a,</w:t>
      </w:r>
      <w:r>
        <w:rPr>
          <w:rFonts w:ascii="Times New Roman" w:hAnsi="Times New Roman" w:cs="Times New Roman"/>
          <w:kern w:val="0"/>
          <w:szCs w:val="21"/>
          <w:highlight w:val="none"/>
        </w:rPr>
        <w:t>*</w:t>
      </w:r>
    </w:p>
    <w:p>
      <w:pPr>
        <w:autoSpaceDE w:val="0"/>
        <w:autoSpaceDN w:val="0"/>
        <w:adjustRightInd w:val="0"/>
        <w:jc w:val="left"/>
        <w:rPr>
          <w:rFonts w:ascii="AdvOT863180fb" w:hAnsi="AdvOT863180fb" w:cs="AdvOT863180fb"/>
          <w:kern w:val="0"/>
          <w:sz w:val="18"/>
          <w:szCs w:val="18"/>
          <w:highlight w:val="none"/>
        </w:rPr>
      </w:pPr>
      <w:r>
        <w:rPr>
          <w:rFonts w:hint="eastAsia" w:ascii="AdvOT863180fb" w:hAnsi="AdvOT863180fb" w:cs="AdvOT863180fb"/>
          <w:kern w:val="0"/>
          <w:sz w:val="18"/>
          <w:szCs w:val="18"/>
          <w:highlight w:val="none"/>
          <w:vertAlign w:val="superscript"/>
        </w:rPr>
        <w:t>a</w:t>
      </w:r>
      <w:bookmarkStart w:id="3" w:name="OLE_LINK122"/>
      <w:bookmarkStart w:id="4" w:name="OLE_LINK121"/>
      <w:r>
        <w:rPr>
          <w:rFonts w:ascii="AdvOTb92eb7df.I" w:hAnsi="AdvOTb92eb7df.I" w:cs="AdvOTb92eb7df.I"/>
          <w:kern w:val="0"/>
          <w:sz w:val="18"/>
          <w:szCs w:val="18"/>
          <w:highlight w:val="none"/>
        </w:rPr>
        <w:t xml:space="preserve">Tianjin Key Laboratory on Technologies Enabling Development of Clinical Therapeutics and Diagnostics (Theranostics), School of </w:t>
      </w:r>
      <w:r>
        <w:rPr>
          <w:rFonts w:hint="eastAsia" w:ascii="AdvOTb92eb7df.I" w:hAnsi="AdvOTb92eb7df.I" w:cs="AdvOTb92eb7df.I"/>
          <w:kern w:val="0"/>
          <w:sz w:val="18"/>
          <w:szCs w:val="18"/>
          <w:highlight w:val="none"/>
        </w:rPr>
        <w:t xml:space="preserve"> </w:t>
      </w:r>
      <w:r>
        <w:rPr>
          <w:rFonts w:ascii="AdvOTb92eb7df.I" w:hAnsi="AdvOTb92eb7df.I" w:cs="AdvOTb92eb7df.I"/>
          <w:kern w:val="0"/>
          <w:sz w:val="18"/>
          <w:szCs w:val="18"/>
          <w:highlight w:val="none"/>
        </w:rPr>
        <w:t xml:space="preserve">Pharmacy, </w:t>
      </w:r>
      <w:bookmarkStart w:id="5" w:name="OLE_LINK123"/>
      <w:bookmarkStart w:id="6" w:name="OLE_LINK124"/>
      <w:r>
        <w:rPr>
          <w:rFonts w:ascii="AdvOTb92eb7df.I" w:hAnsi="AdvOTb92eb7df.I" w:cs="AdvOTb92eb7df.I"/>
          <w:kern w:val="0"/>
          <w:sz w:val="18"/>
          <w:szCs w:val="18"/>
          <w:highlight w:val="none"/>
        </w:rPr>
        <w:t>Tianjin</w:t>
      </w:r>
      <w:r>
        <w:rPr>
          <w:rFonts w:hint="eastAsia" w:ascii="AdvOTb92eb7df.I" w:hAnsi="AdvOTb92eb7df.I" w:cs="AdvOTb92eb7df.I"/>
          <w:kern w:val="0"/>
          <w:sz w:val="18"/>
          <w:szCs w:val="18"/>
          <w:highlight w:val="none"/>
        </w:rPr>
        <w:t xml:space="preserve"> </w:t>
      </w:r>
      <w:r>
        <w:rPr>
          <w:rFonts w:ascii="AdvOTb92eb7df.I" w:hAnsi="AdvOTb92eb7df.I" w:cs="AdvOTb92eb7df.I"/>
          <w:kern w:val="0"/>
          <w:sz w:val="18"/>
          <w:szCs w:val="18"/>
          <w:highlight w:val="none"/>
        </w:rPr>
        <w:t>Medical University</w:t>
      </w:r>
      <w:bookmarkEnd w:id="5"/>
      <w:bookmarkEnd w:id="6"/>
      <w:r>
        <w:rPr>
          <w:rFonts w:ascii="AdvOTb92eb7df.I" w:hAnsi="AdvOTb92eb7df.I" w:cs="AdvOTb92eb7df.I"/>
          <w:kern w:val="0"/>
          <w:sz w:val="18"/>
          <w:szCs w:val="18"/>
          <w:highlight w:val="none"/>
        </w:rPr>
        <w:t xml:space="preserve">, </w:t>
      </w:r>
      <w:bookmarkEnd w:id="3"/>
      <w:bookmarkEnd w:id="4"/>
      <w:r>
        <w:rPr>
          <w:rFonts w:ascii="AdvOTb92eb7df.I" w:hAnsi="AdvOTb92eb7df.I" w:cs="AdvOTb92eb7df.I"/>
          <w:kern w:val="0"/>
          <w:sz w:val="18"/>
          <w:szCs w:val="18"/>
          <w:highlight w:val="none"/>
        </w:rPr>
        <w:t>Tianjin 300070, China</w:t>
      </w:r>
      <w:r>
        <w:rPr>
          <w:rFonts w:hint="eastAsia" w:ascii="AdvOTb92eb7df.I" w:hAnsi="AdvOTb92eb7df.I" w:cs="AdvOTb92eb7df.I"/>
          <w:kern w:val="0"/>
          <w:sz w:val="18"/>
          <w:szCs w:val="18"/>
          <w:highlight w:val="none"/>
        </w:rPr>
        <w:t xml:space="preserve">; </w:t>
      </w:r>
      <w:r>
        <w:rPr>
          <w:rFonts w:ascii="AdvOT863180fb" w:hAnsi="AdvOT863180fb" w:cs="AdvOT863180fb"/>
          <w:kern w:val="0"/>
          <w:sz w:val="18"/>
          <w:szCs w:val="18"/>
          <w:highlight w:val="none"/>
        </w:rPr>
        <w:t>Tel/Fax: +86-22-83336690</w:t>
      </w:r>
      <w:r>
        <w:rPr>
          <w:rFonts w:hint="eastAsia" w:ascii="AdvOT863180fb" w:hAnsi="AdvOT863180fb" w:cs="AdvOT863180fb"/>
          <w:kern w:val="0"/>
          <w:sz w:val="18"/>
          <w:szCs w:val="18"/>
          <w:highlight w:val="none"/>
        </w:rPr>
        <w:t>;</w:t>
      </w:r>
    </w:p>
    <w:p>
      <w:pPr>
        <w:rPr>
          <w:rFonts w:hint="eastAsia" w:ascii="AdvOT863180fb" w:hAnsi="AdvOT863180fb" w:cs="AdvOT863180fb"/>
          <w:i w:val="0"/>
          <w:sz w:val="18"/>
          <w:szCs w:val="18"/>
          <w:highlight w:val="none"/>
          <w:lang w:eastAsia="zh-CN"/>
        </w:rPr>
      </w:pPr>
      <w:r>
        <w:rPr>
          <w:rFonts w:ascii="AdvOTb92eb7df.I" w:hAnsi="AdvOTb92eb7df.I" w:cs="AdvOTb92eb7df.I"/>
          <w:i w:val="0"/>
          <w:sz w:val="18"/>
          <w:szCs w:val="18"/>
          <w:highlight w:val="none"/>
          <w:vertAlign w:val="superscript"/>
        </w:rPr>
        <w:t>b</w:t>
      </w:r>
      <w:r>
        <w:rPr>
          <w:rFonts w:ascii="AdvOTb92eb7df.I" w:hAnsi="AdvOTb92eb7df.I" w:cs="AdvOTb92eb7df.I"/>
          <w:i w:val="0"/>
          <w:sz w:val="18"/>
          <w:szCs w:val="18"/>
          <w:highlight w:val="none"/>
        </w:rPr>
        <w:t>Department of Pharmacy, Tianjin Medical University Gener</w:t>
      </w:r>
      <w:bookmarkStart w:id="7" w:name="_GoBack"/>
      <w:bookmarkEnd w:id="7"/>
      <w:r>
        <w:rPr>
          <w:rFonts w:ascii="AdvOTb92eb7df.I" w:hAnsi="AdvOTb92eb7df.I" w:cs="AdvOTb92eb7df.I"/>
          <w:i w:val="0"/>
          <w:sz w:val="18"/>
          <w:szCs w:val="18"/>
          <w:highlight w:val="none"/>
        </w:rPr>
        <w:t>al Hospital</w:t>
      </w:r>
      <w:r>
        <w:rPr>
          <w:rFonts w:ascii="AdvOTb92eb7df.I" w:hAnsi="AdvOTb92eb7df.I" w:cs="AdvOTb92eb7df.I"/>
          <w:sz w:val="18"/>
          <w:szCs w:val="18"/>
          <w:highlight w:val="none"/>
        </w:rPr>
        <w:t>,</w:t>
      </w:r>
      <w:r>
        <w:rPr>
          <w:rFonts w:ascii="AdvOTb92eb7df.I" w:hAnsi="AdvOTb92eb7df.I" w:cs="AdvOTb92eb7df.I" w:eastAsiaTheme="minorEastAsia"/>
          <w:i w:val="0"/>
          <w:sz w:val="18"/>
          <w:szCs w:val="18"/>
          <w:highlight w:val="none"/>
          <w:lang w:eastAsia="zh-CN"/>
        </w:rPr>
        <w:t xml:space="preserve"> </w:t>
      </w:r>
      <w:r>
        <w:rPr>
          <w:rFonts w:hint="eastAsia" w:ascii="AdvOTb92eb7df.I" w:hAnsi="AdvOTb92eb7df.I" w:cs="AdvOTb92eb7df.I" w:eastAsiaTheme="minorEastAsia"/>
          <w:i w:val="0"/>
          <w:sz w:val="18"/>
          <w:szCs w:val="18"/>
          <w:highlight w:val="none"/>
          <w:lang w:eastAsia="zh-CN"/>
        </w:rPr>
        <w:t>Tianjin 300052, China;</w:t>
      </w:r>
      <w:r>
        <w:rPr>
          <w:rFonts w:ascii="AdvOT863180fb" w:hAnsi="AdvOT863180fb" w:cs="AdvOT863180fb"/>
          <w:sz w:val="18"/>
          <w:szCs w:val="18"/>
          <w:highlight w:val="none"/>
        </w:rPr>
        <w:t xml:space="preserve"> Tel/Fax: </w:t>
      </w:r>
      <w:r>
        <w:rPr>
          <w:rFonts w:ascii="AdvOT863180fb" w:hAnsi="AdvOT863180fb" w:cs="AdvOT863180fb"/>
          <w:i w:val="0"/>
          <w:sz w:val="18"/>
          <w:szCs w:val="18"/>
          <w:highlight w:val="none"/>
        </w:rPr>
        <w:t>+86-22-</w:t>
      </w:r>
      <w:r>
        <w:rPr>
          <w:rFonts w:hint="eastAsia" w:ascii="AdvOT863180fb" w:hAnsi="AdvOT863180fb" w:cs="AdvOT863180fb"/>
          <w:i w:val="0"/>
          <w:sz w:val="18"/>
          <w:szCs w:val="18"/>
          <w:highlight w:val="none"/>
          <w:lang w:eastAsia="zh-CN"/>
        </w:rPr>
        <w:t>60362235;</w:t>
      </w:r>
    </w:p>
    <w:p>
      <w:pPr>
        <w:rPr>
          <w:rFonts w:hint="default" w:ascii="AdvOT863180fb" w:hAnsi="AdvOT863180fb" w:cs="AdvOT863180fb"/>
          <w:kern w:val="0"/>
          <w:sz w:val="18"/>
          <w:szCs w:val="18"/>
          <w:highlight w:val="none"/>
          <w:lang w:val="en-US" w:eastAsia="zh-CN"/>
        </w:rPr>
      </w:pPr>
      <w:r>
        <w:rPr>
          <w:rFonts w:hint="eastAsia" w:ascii="AdvOT863180fb" w:hAnsi="AdvOT863180fb" w:cs="AdvOT863180fb"/>
          <w:i w:val="0"/>
          <w:sz w:val="18"/>
          <w:szCs w:val="18"/>
          <w:highlight w:val="none"/>
          <w:vertAlign w:val="superscript"/>
          <w:lang w:val="en-US" w:eastAsia="zh-CN"/>
        </w:rPr>
        <w:t>c</w:t>
      </w:r>
      <w:r>
        <w:rPr>
          <w:rFonts w:hint="eastAsia" w:ascii="AdvOT863180fb" w:hAnsi="AdvOT863180fb" w:cs="AdvOT863180fb"/>
          <w:kern w:val="0"/>
          <w:sz w:val="18"/>
          <w:szCs w:val="18"/>
          <w:highlight w:val="none"/>
        </w:rPr>
        <w:t>Tasly Research Institute</w:t>
      </w:r>
      <w:r>
        <w:rPr>
          <w:rFonts w:hint="eastAsia" w:ascii="AdvOT863180fb" w:hAnsi="AdvOT863180fb" w:cs="AdvOT863180fb"/>
          <w:kern w:val="0"/>
          <w:sz w:val="18"/>
          <w:szCs w:val="18"/>
          <w:highlight w:val="none"/>
          <w:lang w:val="en-US" w:eastAsia="zh-CN"/>
        </w:rPr>
        <w:t xml:space="preserve">, </w:t>
      </w:r>
      <w:r>
        <w:rPr>
          <w:rFonts w:hint="eastAsia" w:ascii="AdvOT863180fb" w:hAnsi="AdvOT863180fb" w:cs="AdvOT863180fb"/>
          <w:kern w:val="0"/>
          <w:sz w:val="18"/>
          <w:szCs w:val="18"/>
          <w:highlight w:val="none"/>
        </w:rPr>
        <w:t>Tasly Holding Group Co., Ltd</w:t>
      </w:r>
      <w:r>
        <w:rPr>
          <w:rFonts w:hint="eastAsia" w:ascii="AdvOT863180fb" w:hAnsi="AdvOT863180fb" w:cs="AdvOT863180fb"/>
          <w:kern w:val="0"/>
          <w:sz w:val="18"/>
          <w:szCs w:val="18"/>
          <w:highlight w:val="none"/>
          <w:lang w:val="en-US" w:eastAsia="zh-CN"/>
        </w:rPr>
        <w:t xml:space="preserve">, </w:t>
      </w:r>
      <w:r>
        <w:rPr>
          <w:rFonts w:hint="eastAsia" w:ascii="AdvOT863180fb" w:hAnsi="AdvOT863180fb" w:cs="AdvOT863180fb"/>
          <w:kern w:val="0"/>
          <w:sz w:val="18"/>
          <w:szCs w:val="18"/>
          <w:highlight w:val="none"/>
        </w:rPr>
        <w:t>Tianjin</w:t>
      </w:r>
    </w:p>
    <w:p>
      <w:pPr>
        <w:autoSpaceDE w:val="0"/>
        <w:autoSpaceDN w:val="0"/>
        <w:adjustRightInd w:val="0"/>
        <w:jc w:val="left"/>
        <w:rPr>
          <w:rFonts w:ascii="AdvOT863180fb" w:hAnsi="AdvOT863180fb" w:cs="AdvOT863180fb"/>
          <w:kern w:val="0"/>
          <w:sz w:val="18"/>
          <w:szCs w:val="18"/>
        </w:rPr>
      </w:pPr>
      <w:r>
        <w:rPr>
          <w:rFonts w:hint="eastAsia" w:ascii="AdvOT863180fb" w:hAnsi="AdvOT863180fb" w:cs="AdvOT863180fb"/>
          <w:kern w:val="0"/>
          <w:sz w:val="18"/>
          <w:szCs w:val="18"/>
          <w:highlight w:val="none"/>
          <w:vertAlign w:val="superscript"/>
          <w:lang w:val="en-US" w:eastAsia="zh-CN"/>
        </w:rPr>
        <w:t>d</w:t>
      </w:r>
      <w:r>
        <w:rPr>
          <w:rFonts w:hint="eastAsia" w:ascii="AdvOT863180fb" w:hAnsi="AdvOT863180fb" w:cs="AdvOT863180fb"/>
          <w:kern w:val="0"/>
          <w:sz w:val="18"/>
          <w:szCs w:val="18"/>
          <w:highlight w:val="none"/>
        </w:rPr>
        <w:t xml:space="preserve">New Drug Research and Development Center of North China Pharmaceutical Group Corporation, National </w:t>
      </w:r>
      <w:r>
        <w:rPr>
          <w:rFonts w:hint="eastAsia" w:ascii="AdvOT863180fb" w:hAnsi="AdvOT863180fb" w:cs="AdvOT863180fb"/>
          <w:kern w:val="0"/>
          <w:sz w:val="18"/>
          <w:szCs w:val="18"/>
        </w:rPr>
        <w:t>Microbial Medicine Engineering and Research Center, Hebei Industry Microbial Metabolic Engineering &amp;Technology Research Center, Key Laboratory for New Drug Screening Technology of Shijiazhuang City, Shijiazhuang, Hebei, China.</w:t>
      </w:r>
    </w:p>
    <w:p>
      <w:pPr>
        <w:autoSpaceDE w:val="0"/>
        <w:autoSpaceDN w:val="0"/>
        <w:adjustRightInd w:val="0"/>
        <w:jc w:val="left"/>
        <w:rPr>
          <w:rFonts w:ascii="AdvOTb92eb7df.I" w:hAnsi="AdvOTb92eb7df.I" w:cs="AdvOTb92eb7df.I"/>
          <w:kern w:val="0"/>
          <w:sz w:val="18"/>
          <w:szCs w:val="18"/>
        </w:rPr>
      </w:pPr>
      <w:r>
        <w:rPr>
          <w:rFonts w:hint="eastAsia" w:ascii="AdvOT863180fb" w:hAnsi="AdvOT863180fb" w:cs="AdvOT863180fb"/>
          <w:kern w:val="0"/>
          <w:sz w:val="18"/>
          <w:szCs w:val="18"/>
          <w:vertAlign w:val="superscript"/>
        </w:rPr>
        <w:t>1</w:t>
      </w:r>
      <w:r>
        <w:rPr>
          <w:rFonts w:ascii="AdvOT863180fb" w:hAnsi="AdvOT863180fb" w:cs="AdvOT863180fb"/>
          <w:kern w:val="0"/>
          <w:sz w:val="18"/>
          <w:szCs w:val="18"/>
        </w:rPr>
        <w:t xml:space="preserve"> These authors contributed equally to this work</w:t>
      </w:r>
      <w:r>
        <w:rPr>
          <w:rFonts w:hint="eastAsia" w:ascii="AdvOT863180fb" w:hAnsi="AdvOT863180fb" w:cs="AdvOT863180fb"/>
          <w:kern w:val="0"/>
          <w:sz w:val="18"/>
          <w:szCs w:val="18"/>
        </w:rPr>
        <w:t>;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vertAlign w:val="superscript"/>
        </w:rPr>
        <w:t xml:space="preserve"> *</w:t>
      </w:r>
      <w:r>
        <w:rPr>
          <w:rFonts w:ascii="AdvOT863180fb" w:hAnsi="AdvOT863180fb" w:cs="AdvOT863180fb"/>
          <w:kern w:val="0"/>
          <w:sz w:val="18"/>
          <w:szCs w:val="18"/>
        </w:rPr>
        <w:t>Corresponding author.</w:t>
      </w:r>
      <w:r>
        <w:rPr>
          <w:rFonts w:hint="eastAsia" w:ascii="AdvOT863180fb" w:hAnsi="AdvOT863180fb" w:cs="AdvOT863180fb"/>
          <w:kern w:val="0"/>
          <w:sz w:val="18"/>
          <w:szCs w:val="18"/>
        </w:rPr>
        <w:t xml:space="preserve"> </w:t>
      </w:r>
      <w:r>
        <w:rPr>
          <w:rFonts w:ascii="AdvOT863180fb" w:hAnsi="AdvOT863180fb" w:cs="AdvOT863180fb"/>
          <w:kern w:val="0"/>
          <w:sz w:val="18"/>
          <w:szCs w:val="18"/>
        </w:rPr>
        <w:t>E</w:t>
      </w:r>
      <w:r>
        <w:rPr>
          <w:rFonts w:hint="eastAsia" w:ascii="AdvOT863180fb" w:hAnsi="AdvOT863180fb" w:cs="AdvOT863180fb"/>
          <w:kern w:val="0"/>
          <w:sz w:val="18"/>
          <w:szCs w:val="18"/>
        </w:rPr>
        <w:t xml:space="preserve">mail-address: </w:t>
      </w:r>
      <w:r>
        <w:fldChar w:fldCharType="begin"/>
      </w:r>
      <w:r>
        <w:instrText xml:space="preserve"> HYPERLINK "mailto:maying@tmu.edu.cn" </w:instrText>
      </w:r>
      <w:r>
        <w:fldChar w:fldCharType="separate"/>
      </w:r>
      <w:r>
        <w:rPr>
          <w:rFonts w:hint="eastAsia" w:ascii="AdvOT863180fb" w:hAnsi="AdvOT863180fb" w:cs="AdvOT863180fb"/>
          <w:kern w:val="0"/>
          <w:sz w:val="18"/>
          <w:szCs w:val="18"/>
        </w:rPr>
        <w:t>maying@tmu.edu.cn</w:t>
      </w:r>
      <w:r>
        <w:rPr>
          <w:rFonts w:hint="eastAsia" w:ascii="AdvOT863180fb" w:hAnsi="AdvOT863180fb" w:cs="AdvOT863180fb"/>
          <w:kern w:val="0"/>
          <w:sz w:val="18"/>
          <w:szCs w:val="18"/>
        </w:rPr>
        <w:fldChar w:fldCharType="end"/>
      </w:r>
      <w:r>
        <w:rPr>
          <w:rFonts w:hint="eastAsia" w:ascii="AdvOT863180fb" w:hAnsi="AdvOT863180fb" w:cs="AdvOT863180fb"/>
          <w:kern w:val="0"/>
          <w:sz w:val="18"/>
          <w:szCs w:val="18"/>
        </w:rPr>
        <w:t xml:space="preserve"> (Y Ma); </w:t>
      </w:r>
      <w:r>
        <w:fldChar w:fldCharType="begin"/>
      </w:r>
      <w:r>
        <w:instrText xml:space="preserve"> HYPERLINK "mailto:wangrunling@tmu.edu.cn" </w:instrText>
      </w:r>
      <w:r>
        <w:fldChar w:fldCharType="separate"/>
      </w:r>
      <w:r>
        <w:rPr>
          <w:rFonts w:hint="eastAsia" w:ascii="AdvOT863180fb" w:hAnsi="AdvOT863180fb" w:cs="AdvOT863180fb"/>
          <w:kern w:val="0"/>
          <w:sz w:val="18"/>
          <w:szCs w:val="18"/>
        </w:rPr>
        <w:t>wangrunling@tmu.edu.cn</w:t>
      </w:r>
      <w:r>
        <w:rPr>
          <w:rFonts w:hint="eastAsia" w:ascii="AdvOT863180fb" w:hAnsi="AdvOT863180fb" w:cs="AdvOT863180fb"/>
          <w:kern w:val="0"/>
          <w:sz w:val="18"/>
          <w:szCs w:val="18"/>
        </w:rPr>
        <w:fldChar w:fldCharType="end"/>
      </w:r>
      <w:r>
        <w:rPr>
          <w:rFonts w:hint="eastAsia" w:ascii="AdvOT863180fb" w:hAnsi="AdvOT863180fb" w:cs="AdvOT863180fb"/>
          <w:kern w:val="0"/>
          <w:sz w:val="18"/>
          <w:szCs w:val="18"/>
        </w:rPr>
        <w:t xml:space="preserve"> </w:t>
      </w:r>
      <w:r>
        <w:rPr>
          <w:rFonts w:ascii="AdvOT863180fb" w:hAnsi="AdvOT863180fb" w:cs="AdvOT863180fb"/>
          <w:kern w:val="0"/>
          <w:sz w:val="18"/>
          <w:szCs w:val="18"/>
        </w:rPr>
        <w:t>(R.-L. Wang).</w:t>
      </w:r>
      <w:r>
        <w:rPr>
          <w:rFonts w:hint="eastAsia" w:ascii="AdvOT863180fb" w:hAnsi="AdvOT863180fb" w:cs="AdvOT863180fb"/>
          <w:kern w:val="0"/>
          <w:sz w:val="18"/>
          <w:szCs w:val="18"/>
        </w:rPr>
        <w:t xml:space="preserve"> </w:t>
      </w:r>
    </w:p>
    <w:p>
      <w:pPr>
        <w:rPr>
          <w:rFonts w:ascii="AdvOT863180fb" w:hAnsi="AdvOT863180fb" w:cs="AdvOT863180fb"/>
          <w:kern w:val="0"/>
          <w:sz w:val="13"/>
          <w:szCs w:val="13"/>
        </w:rPr>
      </w:pPr>
    </w:p>
    <w:p>
      <w:pPr>
        <w:rPr>
          <w:rFonts w:ascii="AdvOT863180fb" w:hAnsi="AdvOT863180fb" w:cs="AdvOT863180fb"/>
          <w:kern w:val="0"/>
          <w:sz w:val="13"/>
          <w:szCs w:val="13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AdvP403A40" w:hAnsi="AdvP403A40" w:cs="AdvP403A40"/>
          <w:kern w:val="0"/>
          <w:sz w:val="14"/>
          <w:szCs w:val="14"/>
        </w:rPr>
      </w:pPr>
      <w:r>
        <w:rPr>
          <w:rFonts w:ascii="AdvP403A40" w:hAnsi="AdvP403A40" w:cs="AdvP403A40"/>
          <w:kern w:val="0"/>
          <w:sz w:val="14"/>
          <w:szCs w:val="14"/>
        </w:rPr>
        <w:drawing>
          <wp:inline distT="0" distB="0" distL="0" distR="0">
            <wp:extent cx="5274310" cy="40754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dvP403A40" w:hAnsi="AdvP403A40" w:cs="AdvP403A40"/>
          <w:kern w:val="0"/>
          <w:sz w:val="14"/>
          <w:szCs w:val="14"/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1"/>
        </w:rPr>
        <w:t>Figure S1 Relationship between the experimental pIC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</w:rPr>
        <w:t>50</w:t>
      </w:r>
      <w:r>
        <w:rPr>
          <w:rFonts w:hint="eastAsia" w:ascii="Times New Roman" w:hAnsi="Times New Roman" w:eastAsia="宋体" w:cs="Times New Roman"/>
          <w:color w:val="000000" w:themeColor="text1"/>
          <w:szCs w:val="21"/>
        </w:rPr>
        <w:t xml:space="preserve"> and the docking score of 20 inhibitors of LAR (R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</w:rPr>
        <w:t>=0.93).</w:t>
      </w:r>
    </w:p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853815"/>
            <wp:effectExtent l="0" t="0" r="4445" b="13335"/>
            <wp:docPr id="1" name="图片 1" descr="lar-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r-7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Figure 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S2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The 2D diagram of LAR-compound 7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f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4625" cy="3920490"/>
            <wp:effectExtent l="0" t="0" r="3175" b="3810"/>
            <wp:docPr id="3" name="图片 3" descr="Figure 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igure S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highlight w:val="none"/>
          <w:lang w:val="en-US" w:eastAsia="zh-CN" w:bidi="ar-SA"/>
        </w:rPr>
      </w:pPr>
      <w:r>
        <w:rPr>
          <w:rFonts w:ascii="Times New Roman" w:hAnsi="Times New Roman" w:cs="Times New Roman"/>
          <w:kern w:val="0"/>
          <w:sz w:val="24"/>
          <w:szCs w:val="24"/>
          <w:highlight w:val="none"/>
        </w:rPr>
        <w:t xml:space="preserve">Figure </w:t>
      </w:r>
      <w:r>
        <w:rPr>
          <w:rFonts w:hint="eastAsia" w:ascii="Times New Roman" w:hAnsi="Times New Roman" w:cs="Times New Roman"/>
          <w:kern w:val="0"/>
          <w:sz w:val="24"/>
          <w:szCs w:val="24"/>
          <w:highlight w:val="none"/>
        </w:rPr>
        <w:t>S3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The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docked poses of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20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inhibitors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of 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>PTP-LAR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dvOT863180f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dvOTb92eb7df.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dvP403A4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4F23"/>
    <w:rsid w:val="00184315"/>
    <w:rsid w:val="001C4E96"/>
    <w:rsid w:val="00253DB1"/>
    <w:rsid w:val="00471B42"/>
    <w:rsid w:val="00492860"/>
    <w:rsid w:val="00494E43"/>
    <w:rsid w:val="004A7ADD"/>
    <w:rsid w:val="00521154"/>
    <w:rsid w:val="00564F23"/>
    <w:rsid w:val="0057766E"/>
    <w:rsid w:val="00712C12"/>
    <w:rsid w:val="00916194"/>
    <w:rsid w:val="009510EC"/>
    <w:rsid w:val="00980FD4"/>
    <w:rsid w:val="00CE71F8"/>
    <w:rsid w:val="00D437D5"/>
    <w:rsid w:val="00D93862"/>
    <w:rsid w:val="00E314C0"/>
    <w:rsid w:val="00E61B93"/>
    <w:rsid w:val="00F12C58"/>
    <w:rsid w:val="00FA5826"/>
    <w:rsid w:val="0DA376C3"/>
    <w:rsid w:val="144F5473"/>
    <w:rsid w:val="1DA53A2D"/>
    <w:rsid w:val="552126E0"/>
    <w:rsid w:val="5AB92A01"/>
    <w:rsid w:val="64FB0FE0"/>
    <w:rsid w:val="6B5B747B"/>
    <w:rsid w:val="6E97255E"/>
    <w:rsid w:val="776D23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06-Heading-1"/>
    <w:basedOn w:val="1"/>
    <w:qFormat/>
    <w:uiPriority w:val="0"/>
    <w:pPr>
      <w:widowControl/>
      <w:spacing w:before="120" w:after="120" w:line="220" w:lineRule="exact"/>
    </w:pPr>
    <w:rPr>
      <w:rFonts w:ascii="Times New Roman" w:hAnsi="Times New Roman" w:eastAsia="Times" w:cs="Times New Roman"/>
      <w:b/>
      <w:caps/>
      <w:kern w:val="0"/>
      <w:sz w:val="20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648</Characters>
  <Lines>5</Lines>
  <Paragraphs>1</Paragraphs>
  <TotalTime>0</TotalTime>
  <ScaleCrop>false</ScaleCrop>
  <LinksUpToDate>false</LinksUpToDate>
  <CharactersWithSpaces>760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2017-01-14T03:32:00Z</dcterms:created>
  <dc:creator>yh</dc:creator>
  <cp:lastModifiedBy>Administrator</cp:lastModifiedBy>
  <dcterms:modified xsi:type="dcterms:W3CDTF">2019-11-19T02:27:07Z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