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4F86D" w14:textId="77777777" w:rsidR="00872B5D" w:rsidRPr="00872B5D" w:rsidRDefault="00872B5D" w:rsidP="00872B5D">
      <w:pPr>
        <w:pStyle w:val="Heading1"/>
        <w:rPr>
          <w:lang w:val="en-GB"/>
        </w:rPr>
      </w:pPr>
      <w:r w:rsidRPr="00872B5D">
        <w:rPr>
          <w:lang w:val="en-GB"/>
        </w:rPr>
        <w:t xml:space="preserve">Appendix </w:t>
      </w:r>
      <w:r w:rsidR="0086025A">
        <w:rPr>
          <w:lang w:val="en-GB"/>
        </w:rPr>
        <w:t>3</w:t>
      </w:r>
      <w:r w:rsidRPr="00872B5D">
        <w:rPr>
          <w:lang w:val="en-GB"/>
        </w:rPr>
        <w:t xml:space="preserve"> Details on the search </w:t>
      </w:r>
      <w:r w:rsidR="0086025A">
        <w:rPr>
          <w:lang w:val="en-GB"/>
        </w:rPr>
        <w:t>process and the resulting papers</w:t>
      </w:r>
    </w:p>
    <w:p w14:paraId="05EB492A" w14:textId="77777777" w:rsidR="00872B5D" w:rsidRPr="00872B5D" w:rsidRDefault="00872B5D" w:rsidP="00872B5D">
      <w:pPr>
        <w:spacing w:after="0" w:line="480" w:lineRule="auto"/>
        <w:ind w:firstLine="720"/>
        <w:rPr>
          <w:sz w:val="20"/>
          <w:szCs w:val="20"/>
          <w:lang w:val="en-GB"/>
        </w:rPr>
      </w:pPr>
    </w:p>
    <w:p w14:paraId="2E628263" w14:textId="233720D6" w:rsidR="00872B5D" w:rsidRPr="00872B5D" w:rsidRDefault="00872B5D" w:rsidP="00872B5D">
      <w:pPr>
        <w:spacing w:after="0" w:line="480" w:lineRule="auto"/>
        <w:ind w:firstLine="720"/>
        <w:rPr>
          <w:sz w:val="20"/>
          <w:szCs w:val="20"/>
          <w:lang w:val="en-GB"/>
        </w:rPr>
      </w:pPr>
      <w:r w:rsidRPr="00872B5D">
        <w:rPr>
          <w:sz w:val="20"/>
          <w:szCs w:val="20"/>
          <w:lang w:val="en-GB"/>
        </w:rPr>
        <w:t xml:space="preserve">We searched for relevant articles in PubMed, PsycINFO, ERIC, CINAHL and </w:t>
      </w:r>
      <w:proofErr w:type="spellStart"/>
      <w:r w:rsidRPr="00872B5D">
        <w:rPr>
          <w:sz w:val="20"/>
          <w:szCs w:val="20"/>
          <w:lang w:val="en-GB"/>
        </w:rPr>
        <w:t>Embase</w:t>
      </w:r>
      <w:proofErr w:type="spellEnd"/>
      <w:r w:rsidRPr="00872B5D">
        <w:rPr>
          <w:sz w:val="20"/>
          <w:szCs w:val="20"/>
          <w:lang w:val="en-GB"/>
        </w:rPr>
        <w:t xml:space="preserve"> in 2016. Since we did not have a convincing rationale to limit our search to a certain time frame, we decided to include all relevant articles up till then, which implies all years before and through 2016. We started our search strategy with keywords like </w:t>
      </w:r>
      <w:r w:rsidR="0049578C">
        <w:rPr>
          <w:sz w:val="20"/>
          <w:szCs w:val="20"/>
          <w:lang w:val="en-GB"/>
        </w:rPr>
        <w:t>patient-</w:t>
      </w:r>
      <w:proofErr w:type="spellStart"/>
      <w:r w:rsidR="0049578C">
        <w:rPr>
          <w:sz w:val="20"/>
          <w:szCs w:val="20"/>
          <w:lang w:val="en-GB"/>
        </w:rPr>
        <w:t>centredness</w:t>
      </w:r>
      <w:proofErr w:type="spellEnd"/>
      <w:r w:rsidRPr="00872B5D">
        <w:rPr>
          <w:sz w:val="20"/>
          <w:szCs w:val="20"/>
          <w:lang w:val="en-GB"/>
        </w:rPr>
        <w:t xml:space="preserve"> and patient-centred care. We used </w:t>
      </w:r>
      <w:proofErr w:type="spellStart"/>
      <w:r w:rsidRPr="00872B5D">
        <w:rPr>
          <w:sz w:val="20"/>
          <w:szCs w:val="20"/>
          <w:lang w:val="en-GB"/>
        </w:rPr>
        <w:t>MeSH</w:t>
      </w:r>
      <w:proofErr w:type="spellEnd"/>
      <w:r w:rsidRPr="00872B5D">
        <w:rPr>
          <w:sz w:val="20"/>
          <w:szCs w:val="20"/>
          <w:lang w:val="en-GB"/>
        </w:rPr>
        <w:t xml:space="preserve">-terms used in the articles found to make our search more comprehensive. We combined the string with keywords referring to the context, learning and intervention. A broad spectrum of interventions was included. We adapted for idiosyncrasies of each of the databases. </w:t>
      </w:r>
    </w:p>
    <w:p w14:paraId="1430D74D" w14:textId="14F3781A" w:rsidR="00872B5D" w:rsidRPr="00872B5D" w:rsidRDefault="00872B5D" w:rsidP="00872B5D">
      <w:pPr>
        <w:spacing w:after="0" w:line="480" w:lineRule="auto"/>
        <w:ind w:firstLine="720"/>
        <w:rPr>
          <w:sz w:val="20"/>
          <w:szCs w:val="20"/>
          <w:lang w:val="en-GB"/>
        </w:rPr>
      </w:pPr>
      <w:r w:rsidRPr="00872B5D">
        <w:rPr>
          <w:sz w:val="20"/>
          <w:szCs w:val="20"/>
          <w:lang w:val="en-GB"/>
        </w:rPr>
        <w:t xml:space="preserve">Because of the large number of articles retrieved (4597) with this broad spectrum of interventions, the review team narrowed the focus and solely included articles about interventions in which real patients or simulated or standardised patients were part of the intervention. Later in the process we decided, see </w:t>
      </w:r>
      <w:proofErr w:type="gramStart"/>
      <w:r w:rsidRPr="00872B5D">
        <w:rPr>
          <w:sz w:val="20"/>
          <w:szCs w:val="20"/>
          <w:lang w:val="en-GB"/>
        </w:rPr>
        <w:t>argument</w:t>
      </w:r>
      <w:proofErr w:type="gramEnd"/>
      <w:r w:rsidRPr="00872B5D">
        <w:rPr>
          <w:sz w:val="20"/>
          <w:szCs w:val="20"/>
          <w:lang w:val="en-GB"/>
        </w:rPr>
        <w:t xml:space="preserve"> below, to focus purely on articles about interventions employing real patients, and to perform a separate review for articles about interventions employing simulated </w:t>
      </w:r>
      <w:r w:rsidR="0049578C">
        <w:rPr>
          <w:sz w:val="20"/>
          <w:szCs w:val="20"/>
          <w:lang w:val="en-GB"/>
        </w:rPr>
        <w:t>patients</w:t>
      </w:r>
      <w:r w:rsidRPr="00872B5D">
        <w:rPr>
          <w:sz w:val="20"/>
          <w:szCs w:val="20"/>
          <w:lang w:val="en-GB"/>
        </w:rPr>
        <w:t xml:space="preserve">. </w:t>
      </w:r>
    </w:p>
    <w:p w14:paraId="30C05574" w14:textId="5C0D9ADC" w:rsidR="00872B5D" w:rsidRPr="00872B5D" w:rsidRDefault="00872B5D" w:rsidP="00872B5D">
      <w:pPr>
        <w:spacing w:after="0" w:line="480" w:lineRule="auto"/>
        <w:ind w:firstLine="720"/>
        <w:rPr>
          <w:b/>
          <w:bCs/>
          <w:sz w:val="20"/>
          <w:szCs w:val="20"/>
          <w:lang w:val="en-GB"/>
        </w:rPr>
      </w:pPr>
      <w:r w:rsidRPr="00872B5D">
        <w:rPr>
          <w:sz w:val="20"/>
          <w:szCs w:val="20"/>
          <w:lang w:val="en-GB"/>
        </w:rPr>
        <w:t xml:space="preserve">To come to a shared understanding of the in- and exclusion criteria and to check the feasibility of these criteria, all members of the team individually screened and then discussed the same, randomly chosen 150 title-abstracts. Two couples of the review team individually screened sets of 450 articles and then discussed the outcomes within their couples. When the two members could not agree on an article, it was screened by the other couple and discussed in the whole team. After this, the in- and exclusion criteria were finalised (see Table </w:t>
      </w:r>
      <w:r w:rsidR="003E1127">
        <w:rPr>
          <w:sz w:val="20"/>
          <w:szCs w:val="20"/>
          <w:lang w:val="en-GB"/>
        </w:rPr>
        <w:t>below</w:t>
      </w:r>
      <w:r w:rsidRPr="00872B5D">
        <w:rPr>
          <w:sz w:val="20"/>
          <w:szCs w:val="20"/>
          <w:lang w:val="en-GB"/>
        </w:rPr>
        <w:t xml:space="preserve">). </w:t>
      </w:r>
    </w:p>
    <w:p w14:paraId="5D9B0A9F" w14:textId="32177A68" w:rsidR="00872B5D" w:rsidRPr="00872B5D" w:rsidRDefault="00872B5D" w:rsidP="00872B5D">
      <w:pPr>
        <w:spacing w:after="0" w:line="480" w:lineRule="auto"/>
        <w:ind w:firstLine="720"/>
        <w:rPr>
          <w:sz w:val="20"/>
          <w:szCs w:val="20"/>
          <w:lang w:val="en-GB"/>
        </w:rPr>
      </w:pPr>
      <w:r w:rsidRPr="00872B5D">
        <w:rPr>
          <w:sz w:val="20"/>
          <w:szCs w:val="20"/>
          <w:lang w:val="en-GB"/>
        </w:rPr>
        <w:t xml:space="preserve">The remaining articles were divided over the review team. The title/abstract screening for each set of articles was done by a single screener. In case of uncertainty, an article was screened by a second team member also to decide on in- or exclusion. If no decision could be made by the first two screeners, the abstract was screened by all team members to reach a decision. After title/abstract screening, we searched </w:t>
      </w:r>
      <w:r w:rsidRPr="00872B5D">
        <w:rPr>
          <w:sz w:val="20"/>
          <w:szCs w:val="20"/>
          <w:lang w:val="en-GB"/>
        </w:rPr>
        <w:lastRenderedPageBreak/>
        <w:t xml:space="preserve">the full text of the remaining 590 articles. Most articles were obtained through the library, but for those that were not accessible through the library, we performed additional searches on </w:t>
      </w:r>
      <w:proofErr w:type="spellStart"/>
      <w:r w:rsidRPr="00872B5D">
        <w:rPr>
          <w:sz w:val="20"/>
          <w:szCs w:val="20"/>
          <w:lang w:val="en-GB"/>
        </w:rPr>
        <w:t>Researchgate</w:t>
      </w:r>
      <w:proofErr w:type="spellEnd"/>
      <w:r w:rsidRPr="00872B5D">
        <w:rPr>
          <w:sz w:val="20"/>
          <w:szCs w:val="20"/>
          <w:lang w:val="en-GB"/>
        </w:rPr>
        <w:t xml:space="preserve"> and Google, approached librarians for help, and e-mailed the first authors of the missing articles. </w:t>
      </w:r>
      <w:r w:rsidR="00AE1C02" w:rsidRPr="00872B5D">
        <w:rPr>
          <w:sz w:val="20"/>
          <w:szCs w:val="20"/>
          <w:lang w:val="en-GB"/>
        </w:rPr>
        <w:t>Six percent of the articles, all older papers, were not found in full-text, a percentage that we considered acceptable because we searched without time limitation</w:t>
      </w:r>
      <w:r w:rsidR="00AE1C02">
        <w:rPr>
          <w:sz w:val="20"/>
          <w:szCs w:val="20"/>
          <w:lang w:val="en-GB"/>
        </w:rPr>
        <w:t xml:space="preserve"> which means that</w:t>
      </w:r>
      <w:r w:rsidRPr="00872B5D">
        <w:rPr>
          <w:sz w:val="20"/>
          <w:szCs w:val="20"/>
          <w:lang w:val="en-GB"/>
        </w:rPr>
        <w:t>, eventually</w:t>
      </w:r>
      <w:r w:rsidR="00AE1C02">
        <w:rPr>
          <w:sz w:val="20"/>
          <w:szCs w:val="20"/>
          <w:lang w:val="en-GB"/>
        </w:rPr>
        <w:t>, we</w:t>
      </w:r>
      <w:r w:rsidRPr="00872B5D">
        <w:rPr>
          <w:sz w:val="20"/>
          <w:szCs w:val="20"/>
          <w:lang w:val="en-GB"/>
        </w:rPr>
        <w:t xml:space="preserve"> obtained 554 full-text articles. Up till this point in the process, our set contained papers about interventions with real, simulated or standardised patients. During the phase of screening articles with an intervention with real patients and articles with an intervention with simulated or standardised patients, we found that the latter kind of interventions adhered to a different pedagogy than the interventions focusing on learning from real patients. Therefore, we split the set of included articles and decided to limit the current study to interventions with real patients. We will report the analysis of papers about simulated and standardised patients elsewhere. </w:t>
      </w:r>
      <w:r w:rsidRPr="00872B5D">
        <w:rPr>
          <w:lang w:val="en-GB"/>
        </w:rPr>
        <w:t xml:space="preserve"> </w:t>
      </w:r>
    </w:p>
    <w:p w14:paraId="1FF35A8B" w14:textId="739C9369" w:rsidR="00872B5D" w:rsidRPr="00872B5D" w:rsidRDefault="00872B5D" w:rsidP="00872B5D">
      <w:pPr>
        <w:spacing w:after="0" w:line="480" w:lineRule="auto"/>
        <w:rPr>
          <w:sz w:val="20"/>
          <w:szCs w:val="20"/>
          <w:lang w:val="en-GB"/>
        </w:rPr>
      </w:pPr>
      <w:r w:rsidRPr="00872B5D">
        <w:rPr>
          <w:sz w:val="20"/>
          <w:szCs w:val="20"/>
          <w:u w:val="single"/>
          <w:lang w:val="en-GB"/>
        </w:rPr>
        <w:t>Table</w:t>
      </w:r>
      <w:r w:rsidRPr="00872B5D">
        <w:rPr>
          <w:sz w:val="20"/>
          <w:szCs w:val="20"/>
          <w:lang w:val="en-GB"/>
        </w:rPr>
        <w:t>: In- and exclusion criteria applied in the review</w:t>
      </w:r>
    </w:p>
    <w:p w14:paraId="55E545BC" w14:textId="77777777" w:rsidR="00872B5D" w:rsidRPr="00872B5D" w:rsidRDefault="00872B5D" w:rsidP="00872B5D">
      <w:pPr>
        <w:keepLines/>
        <w:pBdr>
          <w:top w:val="single" w:sz="4" w:space="0" w:color="000000"/>
          <w:left w:val="single" w:sz="4" w:space="0" w:color="000000"/>
          <w:bottom w:val="single" w:sz="4" w:space="0" w:color="000000"/>
          <w:right w:val="single" w:sz="4" w:space="0" w:color="000000"/>
        </w:pBdr>
        <w:spacing w:after="0" w:line="240" w:lineRule="auto"/>
        <w:rPr>
          <w:sz w:val="16"/>
          <w:szCs w:val="16"/>
          <w:lang w:val="en-GB"/>
        </w:rPr>
      </w:pPr>
      <w:r w:rsidRPr="00872B5D">
        <w:rPr>
          <w:sz w:val="16"/>
          <w:szCs w:val="16"/>
          <w:lang w:val="en-GB"/>
        </w:rPr>
        <w:t>Inclusion criteria</w:t>
      </w:r>
    </w:p>
    <w:p w14:paraId="57B122D3" w14:textId="77777777" w:rsidR="00872B5D" w:rsidRPr="00872B5D" w:rsidRDefault="00872B5D" w:rsidP="00872B5D">
      <w:pPr>
        <w:pStyle w:val="ListParagraph"/>
        <w:keepLines/>
        <w:numPr>
          <w:ilvl w:val="0"/>
          <w:numId w:val="2"/>
        </w:numPr>
        <w:spacing w:after="0" w:line="240" w:lineRule="auto"/>
        <w:rPr>
          <w:sz w:val="16"/>
          <w:szCs w:val="16"/>
          <w:lang w:val="en-GB"/>
        </w:rPr>
      </w:pPr>
      <w:r w:rsidRPr="00872B5D">
        <w:rPr>
          <w:sz w:val="16"/>
          <w:szCs w:val="16"/>
          <w:lang w:val="en-GB"/>
        </w:rPr>
        <w:t>Language English or Dutch</w:t>
      </w:r>
    </w:p>
    <w:p w14:paraId="4191D736" w14:textId="77777777" w:rsidR="00872B5D" w:rsidRPr="00872B5D" w:rsidRDefault="00872B5D" w:rsidP="00872B5D">
      <w:pPr>
        <w:pStyle w:val="ListParagraph"/>
        <w:keepLines/>
        <w:numPr>
          <w:ilvl w:val="0"/>
          <w:numId w:val="2"/>
        </w:numPr>
        <w:spacing w:after="0" w:line="240" w:lineRule="auto"/>
        <w:rPr>
          <w:sz w:val="16"/>
          <w:szCs w:val="16"/>
          <w:lang w:val="en-GB"/>
        </w:rPr>
      </w:pPr>
      <w:r w:rsidRPr="00872B5D">
        <w:rPr>
          <w:sz w:val="16"/>
          <w:szCs w:val="16"/>
          <w:lang w:val="en-GB"/>
        </w:rPr>
        <w:t>Context: medical graduate and undergraduate education, medicine, (professional) continuing education</w:t>
      </w:r>
    </w:p>
    <w:p w14:paraId="12FA154D" w14:textId="77777777" w:rsidR="00872B5D" w:rsidRPr="00872B5D" w:rsidRDefault="00872B5D" w:rsidP="00872B5D">
      <w:pPr>
        <w:pStyle w:val="ListParagraph"/>
        <w:keepLines/>
        <w:numPr>
          <w:ilvl w:val="0"/>
          <w:numId w:val="2"/>
        </w:numPr>
        <w:spacing w:after="0" w:line="240" w:lineRule="auto"/>
        <w:rPr>
          <w:sz w:val="16"/>
          <w:szCs w:val="16"/>
          <w:lang w:val="en-GB"/>
        </w:rPr>
      </w:pPr>
      <w:r w:rsidRPr="00872B5D">
        <w:rPr>
          <w:sz w:val="16"/>
          <w:szCs w:val="16"/>
          <w:lang w:val="en-GB"/>
        </w:rPr>
        <w:t>Participants: Students, residents, doctors, nurses, dentists</w:t>
      </w:r>
    </w:p>
    <w:p w14:paraId="1F0FE6EB" w14:textId="77777777" w:rsidR="00872B5D" w:rsidRPr="00872B5D" w:rsidRDefault="00872B5D" w:rsidP="00872B5D">
      <w:pPr>
        <w:pStyle w:val="ListParagraph"/>
        <w:keepLines/>
        <w:numPr>
          <w:ilvl w:val="0"/>
          <w:numId w:val="2"/>
        </w:numPr>
        <w:spacing w:after="0" w:line="240" w:lineRule="auto"/>
        <w:rPr>
          <w:sz w:val="16"/>
          <w:szCs w:val="16"/>
          <w:lang w:val="en-GB"/>
        </w:rPr>
      </w:pPr>
      <w:r w:rsidRPr="00872B5D">
        <w:rPr>
          <w:sz w:val="16"/>
          <w:szCs w:val="16"/>
          <w:lang w:val="en-GB"/>
        </w:rPr>
        <w:t>The central outcome is aspects of the concept ‘patient-</w:t>
      </w:r>
      <w:proofErr w:type="spellStart"/>
      <w:r w:rsidRPr="00872B5D">
        <w:rPr>
          <w:sz w:val="16"/>
          <w:szCs w:val="16"/>
          <w:lang w:val="en-GB"/>
        </w:rPr>
        <w:t>centredness</w:t>
      </w:r>
      <w:proofErr w:type="spellEnd"/>
      <w:r w:rsidRPr="00872B5D">
        <w:rPr>
          <w:sz w:val="16"/>
          <w:szCs w:val="16"/>
          <w:lang w:val="en-GB"/>
        </w:rPr>
        <w:t>’. Key-terms in patient-</w:t>
      </w:r>
      <w:proofErr w:type="spellStart"/>
      <w:r w:rsidRPr="00872B5D">
        <w:rPr>
          <w:sz w:val="16"/>
          <w:szCs w:val="16"/>
          <w:lang w:val="en-GB"/>
        </w:rPr>
        <w:t>centredness</w:t>
      </w:r>
      <w:proofErr w:type="spellEnd"/>
      <w:r w:rsidRPr="00872B5D">
        <w:rPr>
          <w:sz w:val="16"/>
          <w:szCs w:val="16"/>
          <w:lang w:val="en-GB"/>
        </w:rPr>
        <w:t xml:space="preserve"> according to Scholl: essential characteristics of clinician, clinician-patient relationship, clinician-patient communication, patient as unique person, bio-psycho</w:t>
      </w:r>
      <w:r w:rsidR="0049578C">
        <w:rPr>
          <w:sz w:val="16"/>
          <w:szCs w:val="16"/>
          <w:lang w:val="en-GB"/>
        </w:rPr>
        <w:t>-</w:t>
      </w:r>
      <w:r w:rsidRPr="00872B5D">
        <w:rPr>
          <w:sz w:val="16"/>
          <w:szCs w:val="16"/>
          <w:lang w:val="en-GB"/>
        </w:rPr>
        <w:t>social perspective, patient information, patient involvement in care, involvement of family and friends, patient empowerment, physical support, emotional support, integration of medical and non-medical care, teamwork and teambuilding, access to care, coordination and continuity of care.</w:t>
      </w:r>
    </w:p>
    <w:p w14:paraId="401A84D6" w14:textId="77777777" w:rsidR="00872B5D" w:rsidRPr="00872B5D" w:rsidRDefault="00872B5D" w:rsidP="00872B5D">
      <w:pPr>
        <w:pStyle w:val="ListParagraph"/>
        <w:keepLines/>
        <w:numPr>
          <w:ilvl w:val="0"/>
          <w:numId w:val="2"/>
        </w:numPr>
        <w:spacing w:after="0" w:line="240" w:lineRule="auto"/>
        <w:rPr>
          <w:sz w:val="16"/>
          <w:szCs w:val="16"/>
          <w:lang w:val="en-GB"/>
        </w:rPr>
      </w:pPr>
      <w:r w:rsidRPr="00872B5D">
        <w:rPr>
          <w:sz w:val="16"/>
          <w:szCs w:val="16"/>
          <w:lang w:val="en-GB"/>
        </w:rPr>
        <w:t>Educational intervention. The intervention is evaluated. The intervention does not necessarily have to have been developed especially for the study.</w:t>
      </w:r>
    </w:p>
    <w:p w14:paraId="5466D9D0" w14:textId="49BFA645" w:rsidR="00872B5D" w:rsidRPr="00872B5D" w:rsidRDefault="00872B5D" w:rsidP="00872B5D">
      <w:pPr>
        <w:pStyle w:val="ListParagraph"/>
        <w:keepLines/>
        <w:numPr>
          <w:ilvl w:val="0"/>
          <w:numId w:val="2"/>
        </w:numPr>
        <w:spacing w:after="0" w:line="240" w:lineRule="auto"/>
        <w:rPr>
          <w:sz w:val="16"/>
          <w:szCs w:val="16"/>
          <w:lang w:val="en-GB"/>
        </w:rPr>
      </w:pPr>
      <w:r w:rsidRPr="00872B5D">
        <w:rPr>
          <w:sz w:val="16"/>
          <w:szCs w:val="16"/>
          <w:lang w:val="en-GB"/>
        </w:rPr>
        <w:t>Rich enough descriptions in the results and discussion section to allow for identification of mechanisms</w:t>
      </w:r>
    </w:p>
    <w:p w14:paraId="08BED2C3" w14:textId="77777777" w:rsidR="00872B5D" w:rsidRPr="00872B5D" w:rsidRDefault="00872B5D" w:rsidP="00872B5D">
      <w:pPr>
        <w:pStyle w:val="ListParagraph"/>
        <w:keepLines/>
        <w:numPr>
          <w:ilvl w:val="0"/>
          <w:numId w:val="2"/>
        </w:numPr>
        <w:spacing w:after="0" w:line="240" w:lineRule="auto"/>
        <w:rPr>
          <w:sz w:val="16"/>
          <w:szCs w:val="16"/>
          <w:lang w:val="en-GB"/>
        </w:rPr>
      </w:pPr>
      <w:r w:rsidRPr="00872B5D">
        <w:rPr>
          <w:sz w:val="16"/>
          <w:szCs w:val="16"/>
          <w:lang w:val="en-GB"/>
        </w:rPr>
        <w:t>Type of study: qualitative as well as quantitative research studies</w:t>
      </w:r>
      <w:r w:rsidRPr="00872B5D">
        <w:rPr>
          <w:sz w:val="16"/>
          <w:szCs w:val="16"/>
          <w:lang w:val="en-GB"/>
        </w:rPr>
        <w:br/>
      </w:r>
    </w:p>
    <w:p w14:paraId="1BA84049" w14:textId="77777777" w:rsidR="00872B5D" w:rsidRPr="00872B5D" w:rsidRDefault="00872B5D" w:rsidP="00872B5D">
      <w:pPr>
        <w:keepLines/>
        <w:pBdr>
          <w:top w:val="single" w:sz="4" w:space="0" w:color="000000"/>
          <w:left w:val="single" w:sz="4" w:space="0" w:color="000000"/>
          <w:bottom w:val="single" w:sz="4" w:space="0" w:color="000000"/>
          <w:right w:val="single" w:sz="4" w:space="0" w:color="000000"/>
        </w:pBdr>
        <w:spacing w:after="0" w:line="240" w:lineRule="auto"/>
        <w:rPr>
          <w:sz w:val="16"/>
          <w:szCs w:val="16"/>
          <w:lang w:val="en-GB"/>
        </w:rPr>
      </w:pPr>
      <w:r w:rsidRPr="00872B5D">
        <w:rPr>
          <w:sz w:val="16"/>
          <w:szCs w:val="16"/>
          <w:lang w:val="en-GB"/>
        </w:rPr>
        <w:t>Exclusion criteria</w:t>
      </w:r>
    </w:p>
    <w:p w14:paraId="20B6E1E6" w14:textId="77777777" w:rsidR="00872B5D" w:rsidRPr="00872B5D" w:rsidRDefault="00872B5D" w:rsidP="00872B5D">
      <w:pPr>
        <w:pStyle w:val="ListParagraph"/>
        <w:keepLines/>
        <w:numPr>
          <w:ilvl w:val="0"/>
          <w:numId w:val="4"/>
        </w:numPr>
        <w:spacing w:after="0" w:line="240" w:lineRule="auto"/>
        <w:rPr>
          <w:sz w:val="16"/>
          <w:szCs w:val="16"/>
          <w:lang w:val="en-GB"/>
        </w:rPr>
      </w:pPr>
      <w:r w:rsidRPr="00872B5D">
        <w:rPr>
          <w:sz w:val="16"/>
          <w:szCs w:val="16"/>
          <w:lang w:val="en-GB"/>
        </w:rPr>
        <w:t>Articles about a theoretical concept, without any empirical results</w:t>
      </w:r>
    </w:p>
    <w:p w14:paraId="230502EF" w14:textId="2591FBA0" w:rsidR="00872B5D" w:rsidRPr="00872B5D" w:rsidRDefault="00872B5D" w:rsidP="00872B5D">
      <w:pPr>
        <w:pStyle w:val="ListParagraph"/>
        <w:keepLines/>
        <w:numPr>
          <w:ilvl w:val="0"/>
          <w:numId w:val="4"/>
        </w:numPr>
        <w:spacing w:after="0" w:line="240" w:lineRule="auto"/>
        <w:rPr>
          <w:sz w:val="16"/>
          <w:szCs w:val="16"/>
          <w:lang w:val="en-GB"/>
        </w:rPr>
      </w:pPr>
      <w:r w:rsidRPr="00872B5D">
        <w:rPr>
          <w:sz w:val="16"/>
          <w:szCs w:val="16"/>
          <w:lang w:val="en-GB"/>
        </w:rPr>
        <w:t>Articles with a focus on patient outcomes only (without attention to the learning process).</w:t>
      </w:r>
    </w:p>
    <w:p w14:paraId="124E3E27" w14:textId="77777777" w:rsidR="00872B5D" w:rsidRPr="00872B5D" w:rsidRDefault="00872B5D" w:rsidP="00872B5D">
      <w:pPr>
        <w:pStyle w:val="ListParagraph"/>
        <w:keepLines/>
        <w:numPr>
          <w:ilvl w:val="0"/>
          <w:numId w:val="4"/>
        </w:numPr>
        <w:spacing w:after="0" w:line="240" w:lineRule="auto"/>
        <w:rPr>
          <w:sz w:val="16"/>
          <w:szCs w:val="16"/>
          <w:lang w:val="en-GB"/>
        </w:rPr>
      </w:pPr>
      <w:r w:rsidRPr="00872B5D">
        <w:rPr>
          <w:sz w:val="16"/>
          <w:szCs w:val="16"/>
          <w:lang w:val="en-GB"/>
        </w:rPr>
        <w:t>Articles which are about teaching – or learning the knowledge component of patient-</w:t>
      </w:r>
      <w:proofErr w:type="spellStart"/>
      <w:r w:rsidRPr="00872B5D">
        <w:rPr>
          <w:sz w:val="16"/>
          <w:szCs w:val="16"/>
          <w:lang w:val="en-GB"/>
        </w:rPr>
        <w:t>centredness</w:t>
      </w:r>
      <w:proofErr w:type="spellEnd"/>
      <w:r w:rsidRPr="00872B5D">
        <w:rPr>
          <w:sz w:val="16"/>
          <w:szCs w:val="16"/>
          <w:lang w:val="en-GB"/>
        </w:rPr>
        <w:t xml:space="preserve"> (“what is PC”).</w:t>
      </w:r>
    </w:p>
    <w:p w14:paraId="5EB321E7" w14:textId="77777777" w:rsidR="00872B5D" w:rsidRPr="00872B5D" w:rsidRDefault="00872B5D" w:rsidP="00872B5D">
      <w:pPr>
        <w:pStyle w:val="ListParagraph"/>
        <w:keepLines/>
        <w:numPr>
          <w:ilvl w:val="0"/>
          <w:numId w:val="4"/>
        </w:numPr>
        <w:spacing w:after="0" w:line="240" w:lineRule="auto"/>
        <w:rPr>
          <w:sz w:val="16"/>
          <w:szCs w:val="16"/>
          <w:lang w:val="en-GB"/>
        </w:rPr>
      </w:pPr>
      <w:r w:rsidRPr="00872B5D">
        <w:rPr>
          <w:sz w:val="16"/>
          <w:szCs w:val="16"/>
          <w:lang w:val="en-GB"/>
        </w:rPr>
        <w:t>Articles in which a whole curriculum change is evaluated, with a focus on curriculum change as a whole and not on (evaluation of) individual components of the curriculum that might contribute to PC</w:t>
      </w:r>
    </w:p>
    <w:p w14:paraId="19287C8D" w14:textId="77777777" w:rsidR="00872B5D" w:rsidRPr="00872B5D" w:rsidRDefault="00872B5D" w:rsidP="00872B5D">
      <w:pPr>
        <w:pStyle w:val="ListParagraph"/>
        <w:keepLines/>
        <w:numPr>
          <w:ilvl w:val="0"/>
          <w:numId w:val="4"/>
        </w:numPr>
        <w:spacing w:after="0" w:line="240" w:lineRule="auto"/>
        <w:rPr>
          <w:sz w:val="16"/>
          <w:szCs w:val="16"/>
          <w:lang w:val="en-GB"/>
        </w:rPr>
      </w:pPr>
      <w:r w:rsidRPr="00872B5D">
        <w:rPr>
          <w:sz w:val="16"/>
          <w:szCs w:val="16"/>
          <w:lang w:val="en-GB"/>
        </w:rPr>
        <w:t>Articles which are about the assessment of patient-</w:t>
      </w:r>
      <w:proofErr w:type="spellStart"/>
      <w:r w:rsidRPr="00872B5D">
        <w:rPr>
          <w:sz w:val="16"/>
          <w:szCs w:val="16"/>
          <w:lang w:val="en-GB"/>
        </w:rPr>
        <w:t>centredness</w:t>
      </w:r>
      <w:proofErr w:type="spellEnd"/>
      <w:r w:rsidRPr="00872B5D">
        <w:rPr>
          <w:sz w:val="16"/>
          <w:szCs w:val="16"/>
          <w:lang w:val="en-GB"/>
        </w:rPr>
        <w:t xml:space="preserve"> primarily.</w:t>
      </w:r>
    </w:p>
    <w:p w14:paraId="413EFAB3" w14:textId="77777777" w:rsidR="00872B5D" w:rsidRPr="00872B5D" w:rsidRDefault="00872B5D" w:rsidP="00872B5D">
      <w:pPr>
        <w:pStyle w:val="ListParagraph"/>
        <w:keepLines/>
        <w:numPr>
          <w:ilvl w:val="0"/>
          <w:numId w:val="4"/>
        </w:numPr>
        <w:spacing w:after="0" w:line="240" w:lineRule="auto"/>
        <w:rPr>
          <w:sz w:val="16"/>
          <w:szCs w:val="16"/>
          <w:lang w:val="en-GB"/>
        </w:rPr>
      </w:pPr>
      <w:r w:rsidRPr="00872B5D">
        <w:rPr>
          <w:sz w:val="16"/>
          <w:szCs w:val="16"/>
          <w:lang w:val="en-GB"/>
        </w:rPr>
        <w:t>Patients (real or simulated) are not part of the intervention</w:t>
      </w:r>
    </w:p>
    <w:p w14:paraId="282477D3" w14:textId="77777777" w:rsidR="00872B5D" w:rsidRPr="00872B5D" w:rsidRDefault="00872B5D" w:rsidP="00872B5D">
      <w:pPr>
        <w:pStyle w:val="ListParagraph"/>
        <w:keepLines/>
        <w:numPr>
          <w:ilvl w:val="0"/>
          <w:numId w:val="4"/>
        </w:numPr>
        <w:spacing w:after="0" w:line="240" w:lineRule="auto"/>
        <w:rPr>
          <w:sz w:val="16"/>
          <w:szCs w:val="16"/>
          <w:lang w:val="en-GB"/>
        </w:rPr>
      </w:pPr>
      <w:r w:rsidRPr="00872B5D">
        <w:rPr>
          <w:sz w:val="16"/>
          <w:szCs w:val="16"/>
          <w:lang w:val="en-GB"/>
        </w:rPr>
        <w:t>Interventions about training general communication skills only (for example bad news conversations) without a clear link to patient-</w:t>
      </w:r>
      <w:proofErr w:type="spellStart"/>
      <w:r w:rsidRPr="00872B5D">
        <w:rPr>
          <w:sz w:val="16"/>
          <w:szCs w:val="16"/>
          <w:lang w:val="en-GB"/>
        </w:rPr>
        <w:t>centredness</w:t>
      </w:r>
      <w:proofErr w:type="spellEnd"/>
      <w:r w:rsidRPr="00872B5D">
        <w:rPr>
          <w:sz w:val="16"/>
          <w:szCs w:val="16"/>
          <w:lang w:val="en-GB"/>
        </w:rPr>
        <w:t>.</w:t>
      </w:r>
      <w:r w:rsidRPr="00872B5D">
        <w:rPr>
          <w:sz w:val="16"/>
          <w:szCs w:val="16"/>
          <w:lang w:val="en-GB"/>
        </w:rPr>
        <w:br/>
      </w:r>
    </w:p>
    <w:p w14:paraId="40DC1F41" w14:textId="77777777" w:rsidR="001D0D8E" w:rsidRPr="0086025A" w:rsidRDefault="001D0D8E" w:rsidP="00F92F65">
      <w:pPr>
        <w:rPr>
          <w:color w:val="FF0000"/>
        </w:rPr>
      </w:pPr>
      <w:bookmarkStart w:id="0" w:name="_GoBack"/>
      <w:bookmarkEnd w:id="0"/>
    </w:p>
    <w:sectPr w:rsidR="001D0D8E" w:rsidRPr="008602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3D246" w14:textId="77777777" w:rsidR="00C356D2" w:rsidRDefault="00C356D2">
      <w:pPr>
        <w:spacing w:after="0" w:line="240" w:lineRule="auto"/>
      </w:pPr>
      <w:r>
        <w:separator/>
      </w:r>
    </w:p>
  </w:endnote>
  <w:endnote w:type="continuationSeparator" w:id="0">
    <w:p w14:paraId="179EB12E" w14:textId="77777777" w:rsidR="00C356D2" w:rsidRDefault="00C35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4B7E" w14:textId="77777777" w:rsidR="00E5695E" w:rsidRDefault="001D0D8E">
    <w:pPr>
      <w:pStyle w:val="Footer"/>
      <w:jc w:val="right"/>
    </w:pPr>
    <w:r>
      <w:fldChar w:fldCharType="begin"/>
    </w:r>
    <w:r>
      <w:instrText xml:space="preserve"> PAGE </w:instrText>
    </w:r>
    <w:r>
      <w:fldChar w:fldCharType="separate"/>
    </w:r>
    <w:r w:rsidR="00D17B1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6FBC0" w14:textId="77777777" w:rsidR="00C356D2" w:rsidRDefault="00C356D2">
      <w:pPr>
        <w:spacing w:after="0" w:line="240" w:lineRule="auto"/>
      </w:pPr>
      <w:r>
        <w:separator/>
      </w:r>
    </w:p>
  </w:footnote>
  <w:footnote w:type="continuationSeparator" w:id="0">
    <w:p w14:paraId="7D19583B" w14:textId="77777777" w:rsidR="00C356D2" w:rsidRDefault="00C35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3E019" w14:textId="77777777" w:rsidR="00E5695E" w:rsidRDefault="00C356D2">
    <w:pPr>
      <w:pStyle w:val="Kop-en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E4"/>
    <w:multiLevelType w:val="hybridMultilevel"/>
    <w:tmpl w:val="366E6DBE"/>
    <w:styleLink w:val="Gemporteerdestijl1"/>
    <w:lvl w:ilvl="0" w:tplc="8CA879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58C40CA">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20646A">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68767A">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E60900">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8D28AE6">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6E030C">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ADD5E">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DA3ABC">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CE31F61"/>
    <w:multiLevelType w:val="hybridMultilevel"/>
    <w:tmpl w:val="366E6DBE"/>
    <w:numStyleLink w:val="Gemporteerdestijl1"/>
  </w:abstractNum>
  <w:abstractNum w:abstractNumId="2" w15:restartNumberingAfterBreak="0">
    <w:nsid w:val="586D200C"/>
    <w:multiLevelType w:val="hybridMultilevel"/>
    <w:tmpl w:val="8A684FEE"/>
    <w:numStyleLink w:val="Gemporteerdestijl2"/>
  </w:abstractNum>
  <w:abstractNum w:abstractNumId="3" w15:restartNumberingAfterBreak="0">
    <w:nsid w:val="6EA86E1E"/>
    <w:multiLevelType w:val="hybridMultilevel"/>
    <w:tmpl w:val="8A684FEE"/>
    <w:styleLink w:val="Gemporteerdestijl2"/>
    <w:lvl w:ilvl="0" w:tplc="B344ED0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020A2A">
      <w:start w:val="1"/>
      <w:numFmt w:val="bullet"/>
      <w:lvlText w:val="o"/>
      <w:lvlJc w:val="left"/>
      <w:pPr>
        <w:ind w:left="14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C03BB2">
      <w:start w:val="1"/>
      <w:numFmt w:val="bullet"/>
      <w:lvlText w:val="▪"/>
      <w:lvlJc w:val="left"/>
      <w:pPr>
        <w:ind w:left="21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4671EA">
      <w:start w:val="1"/>
      <w:numFmt w:val="bullet"/>
      <w:lvlText w:val="•"/>
      <w:lvlJc w:val="left"/>
      <w:pPr>
        <w:ind w:left="28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F0414A">
      <w:start w:val="1"/>
      <w:numFmt w:val="bullet"/>
      <w:lvlText w:val="o"/>
      <w:lvlJc w:val="left"/>
      <w:pPr>
        <w:ind w:left="360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D12CF9C">
      <w:start w:val="1"/>
      <w:numFmt w:val="bullet"/>
      <w:lvlText w:val="▪"/>
      <w:lvlJc w:val="left"/>
      <w:pPr>
        <w:ind w:left="432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8460CC">
      <w:start w:val="1"/>
      <w:numFmt w:val="bullet"/>
      <w:lvlText w:val="•"/>
      <w:lvlJc w:val="left"/>
      <w:pPr>
        <w:ind w:left="504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FAB728">
      <w:start w:val="1"/>
      <w:numFmt w:val="bullet"/>
      <w:lvlText w:val="o"/>
      <w:lvlJc w:val="left"/>
      <w:pPr>
        <w:ind w:left="576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FEED284">
      <w:start w:val="1"/>
      <w:numFmt w:val="bullet"/>
      <w:lvlText w:val="▪"/>
      <w:lvlJc w:val="left"/>
      <w:pPr>
        <w:ind w:left="6480" w:hanging="36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5D"/>
    <w:rsid w:val="000010BC"/>
    <w:rsid w:val="000052F4"/>
    <w:rsid w:val="000101C3"/>
    <w:rsid w:val="0001296C"/>
    <w:rsid w:val="00014B5B"/>
    <w:rsid w:val="00015989"/>
    <w:rsid w:val="00040A47"/>
    <w:rsid w:val="00050816"/>
    <w:rsid w:val="00051DD4"/>
    <w:rsid w:val="00051FE9"/>
    <w:rsid w:val="000568DF"/>
    <w:rsid w:val="0005698C"/>
    <w:rsid w:val="00060218"/>
    <w:rsid w:val="00063586"/>
    <w:rsid w:val="00066851"/>
    <w:rsid w:val="000763D1"/>
    <w:rsid w:val="0008281E"/>
    <w:rsid w:val="00095DF9"/>
    <w:rsid w:val="000A1D33"/>
    <w:rsid w:val="000A208D"/>
    <w:rsid w:val="000A367F"/>
    <w:rsid w:val="000C0331"/>
    <w:rsid w:val="000C6F2E"/>
    <w:rsid w:val="000D30AA"/>
    <w:rsid w:val="000D3553"/>
    <w:rsid w:val="000E122A"/>
    <w:rsid w:val="000F182B"/>
    <w:rsid w:val="000F4FD5"/>
    <w:rsid w:val="001040F4"/>
    <w:rsid w:val="00110C82"/>
    <w:rsid w:val="001200BE"/>
    <w:rsid w:val="00124813"/>
    <w:rsid w:val="00130D25"/>
    <w:rsid w:val="00132157"/>
    <w:rsid w:val="00134FF2"/>
    <w:rsid w:val="00140604"/>
    <w:rsid w:val="00142299"/>
    <w:rsid w:val="0014265B"/>
    <w:rsid w:val="0015083E"/>
    <w:rsid w:val="00154CCA"/>
    <w:rsid w:val="001568F4"/>
    <w:rsid w:val="001638CF"/>
    <w:rsid w:val="00170B25"/>
    <w:rsid w:val="00171EE5"/>
    <w:rsid w:val="001726AE"/>
    <w:rsid w:val="00176BBE"/>
    <w:rsid w:val="00177539"/>
    <w:rsid w:val="0018159B"/>
    <w:rsid w:val="00192978"/>
    <w:rsid w:val="00195823"/>
    <w:rsid w:val="00195F12"/>
    <w:rsid w:val="00196D8E"/>
    <w:rsid w:val="001A146D"/>
    <w:rsid w:val="001A4260"/>
    <w:rsid w:val="001A4540"/>
    <w:rsid w:val="001A4588"/>
    <w:rsid w:val="001A7B92"/>
    <w:rsid w:val="001B1A6E"/>
    <w:rsid w:val="001B5FBE"/>
    <w:rsid w:val="001B70C8"/>
    <w:rsid w:val="001C2C04"/>
    <w:rsid w:val="001C76CB"/>
    <w:rsid w:val="001D0D8E"/>
    <w:rsid w:val="001D30E1"/>
    <w:rsid w:val="001D47FA"/>
    <w:rsid w:val="001E2C49"/>
    <w:rsid w:val="001E5416"/>
    <w:rsid w:val="001E6EF1"/>
    <w:rsid w:val="001F484D"/>
    <w:rsid w:val="001F6742"/>
    <w:rsid w:val="00201104"/>
    <w:rsid w:val="00201C7F"/>
    <w:rsid w:val="00202727"/>
    <w:rsid w:val="00206FDA"/>
    <w:rsid w:val="00213618"/>
    <w:rsid w:val="002137CD"/>
    <w:rsid w:val="0021409F"/>
    <w:rsid w:val="00221F28"/>
    <w:rsid w:val="00223153"/>
    <w:rsid w:val="00224D22"/>
    <w:rsid w:val="0023663C"/>
    <w:rsid w:val="00237376"/>
    <w:rsid w:val="00240499"/>
    <w:rsid w:val="00240926"/>
    <w:rsid w:val="00243E0C"/>
    <w:rsid w:val="00254ADF"/>
    <w:rsid w:val="00255576"/>
    <w:rsid w:val="00257C92"/>
    <w:rsid w:val="00265114"/>
    <w:rsid w:val="00272F4A"/>
    <w:rsid w:val="00280621"/>
    <w:rsid w:val="00280822"/>
    <w:rsid w:val="00280D14"/>
    <w:rsid w:val="00281A6E"/>
    <w:rsid w:val="002845FD"/>
    <w:rsid w:val="002915EA"/>
    <w:rsid w:val="002933A7"/>
    <w:rsid w:val="002935AA"/>
    <w:rsid w:val="002963F2"/>
    <w:rsid w:val="002A2D0C"/>
    <w:rsid w:val="002A68A9"/>
    <w:rsid w:val="002B1FE1"/>
    <w:rsid w:val="002B233B"/>
    <w:rsid w:val="002B3BAB"/>
    <w:rsid w:val="002C2596"/>
    <w:rsid w:val="002C49C1"/>
    <w:rsid w:val="002C53AD"/>
    <w:rsid w:val="002D4753"/>
    <w:rsid w:val="002D55A3"/>
    <w:rsid w:val="002E10D1"/>
    <w:rsid w:val="002E3F17"/>
    <w:rsid w:val="002E784E"/>
    <w:rsid w:val="002F0C7A"/>
    <w:rsid w:val="002F32ED"/>
    <w:rsid w:val="002F37A8"/>
    <w:rsid w:val="002F6983"/>
    <w:rsid w:val="00307D4E"/>
    <w:rsid w:val="00313CB9"/>
    <w:rsid w:val="00320615"/>
    <w:rsid w:val="00320642"/>
    <w:rsid w:val="003217EC"/>
    <w:rsid w:val="003224EE"/>
    <w:rsid w:val="0032304D"/>
    <w:rsid w:val="0033758C"/>
    <w:rsid w:val="0034684E"/>
    <w:rsid w:val="00352297"/>
    <w:rsid w:val="00352ECC"/>
    <w:rsid w:val="003545AC"/>
    <w:rsid w:val="00355942"/>
    <w:rsid w:val="00364AD8"/>
    <w:rsid w:val="00365EB7"/>
    <w:rsid w:val="00376A5F"/>
    <w:rsid w:val="0038198F"/>
    <w:rsid w:val="0038209F"/>
    <w:rsid w:val="00382FAA"/>
    <w:rsid w:val="00391777"/>
    <w:rsid w:val="00395E58"/>
    <w:rsid w:val="003A004B"/>
    <w:rsid w:val="003A20DE"/>
    <w:rsid w:val="003B0FEE"/>
    <w:rsid w:val="003C1355"/>
    <w:rsid w:val="003C6585"/>
    <w:rsid w:val="003D1A3E"/>
    <w:rsid w:val="003D66DE"/>
    <w:rsid w:val="003D6EC9"/>
    <w:rsid w:val="003E0D52"/>
    <w:rsid w:val="003E1127"/>
    <w:rsid w:val="003E55F0"/>
    <w:rsid w:val="003E562D"/>
    <w:rsid w:val="003F7E69"/>
    <w:rsid w:val="00402D90"/>
    <w:rsid w:val="00410596"/>
    <w:rsid w:val="00414C27"/>
    <w:rsid w:val="004152B8"/>
    <w:rsid w:val="0041617C"/>
    <w:rsid w:val="00417FCF"/>
    <w:rsid w:val="004237B6"/>
    <w:rsid w:val="00426BC0"/>
    <w:rsid w:val="0043288B"/>
    <w:rsid w:val="004437D2"/>
    <w:rsid w:val="00455151"/>
    <w:rsid w:val="004557F2"/>
    <w:rsid w:val="00461C3B"/>
    <w:rsid w:val="00475BE3"/>
    <w:rsid w:val="00476461"/>
    <w:rsid w:val="0049578C"/>
    <w:rsid w:val="004A0945"/>
    <w:rsid w:val="004A6ABF"/>
    <w:rsid w:val="004C15A9"/>
    <w:rsid w:val="004C4501"/>
    <w:rsid w:val="004C6AA9"/>
    <w:rsid w:val="004C7B24"/>
    <w:rsid w:val="004D25F4"/>
    <w:rsid w:val="004E50C1"/>
    <w:rsid w:val="004E7460"/>
    <w:rsid w:val="004E7EF2"/>
    <w:rsid w:val="004F05A1"/>
    <w:rsid w:val="004F207C"/>
    <w:rsid w:val="004F281F"/>
    <w:rsid w:val="004F7A80"/>
    <w:rsid w:val="004F7AE8"/>
    <w:rsid w:val="00505789"/>
    <w:rsid w:val="00513A73"/>
    <w:rsid w:val="00514EE3"/>
    <w:rsid w:val="00517400"/>
    <w:rsid w:val="00530315"/>
    <w:rsid w:val="0053441F"/>
    <w:rsid w:val="00535381"/>
    <w:rsid w:val="0053684B"/>
    <w:rsid w:val="0054209A"/>
    <w:rsid w:val="0054271F"/>
    <w:rsid w:val="0054669C"/>
    <w:rsid w:val="00550171"/>
    <w:rsid w:val="005540EC"/>
    <w:rsid w:val="00561C20"/>
    <w:rsid w:val="00563945"/>
    <w:rsid w:val="00564C58"/>
    <w:rsid w:val="0057572E"/>
    <w:rsid w:val="00583DFC"/>
    <w:rsid w:val="00585AC7"/>
    <w:rsid w:val="00596C46"/>
    <w:rsid w:val="00597C79"/>
    <w:rsid w:val="005A04E4"/>
    <w:rsid w:val="005B0930"/>
    <w:rsid w:val="005B5BD0"/>
    <w:rsid w:val="005B76EC"/>
    <w:rsid w:val="005D0A21"/>
    <w:rsid w:val="005D2143"/>
    <w:rsid w:val="005D4300"/>
    <w:rsid w:val="005D7DF5"/>
    <w:rsid w:val="005F09FF"/>
    <w:rsid w:val="005F6BB9"/>
    <w:rsid w:val="005F75B3"/>
    <w:rsid w:val="00612297"/>
    <w:rsid w:val="00614596"/>
    <w:rsid w:val="00616476"/>
    <w:rsid w:val="00626583"/>
    <w:rsid w:val="006276A1"/>
    <w:rsid w:val="0063185D"/>
    <w:rsid w:val="00643C26"/>
    <w:rsid w:val="00651124"/>
    <w:rsid w:val="00652A7B"/>
    <w:rsid w:val="006534DC"/>
    <w:rsid w:val="00660508"/>
    <w:rsid w:val="006617B5"/>
    <w:rsid w:val="0067186F"/>
    <w:rsid w:val="00676632"/>
    <w:rsid w:val="006842F6"/>
    <w:rsid w:val="006914CF"/>
    <w:rsid w:val="0069240E"/>
    <w:rsid w:val="00692BAB"/>
    <w:rsid w:val="00693269"/>
    <w:rsid w:val="0069563D"/>
    <w:rsid w:val="00695CB0"/>
    <w:rsid w:val="006A1F83"/>
    <w:rsid w:val="006A247D"/>
    <w:rsid w:val="006A788D"/>
    <w:rsid w:val="006B19F9"/>
    <w:rsid w:val="006B4D42"/>
    <w:rsid w:val="006B6336"/>
    <w:rsid w:val="006C19C6"/>
    <w:rsid w:val="006C5515"/>
    <w:rsid w:val="006C70C8"/>
    <w:rsid w:val="006D2D83"/>
    <w:rsid w:val="006E74D4"/>
    <w:rsid w:val="006F3E23"/>
    <w:rsid w:val="006F3EE9"/>
    <w:rsid w:val="006F4495"/>
    <w:rsid w:val="00702B7D"/>
    <w:rsid w:val="007037F1"/>
    <w:rsid w:val="007047C5"/>
    <w:rsid w:val="00710A4A"/>
    <w:rsid w:val="00713971"/>
    <w:rsid w:val="007142D5"/>
    <w:rsid w:val="007308E0"/>
    <w:rsid w:val="0073142F"/>
    <w:rsid w:val="007339FB"/>
    <w:rsid w:val="00734405"/>
    <w:rsid w:val="0073629D"/>
    <w:rsid w:val="00743AF3"/>
    <w:rsid w:val="0074414C"/>
    <w:rsid w:val="00744FED"/>
    <w:rsid w:val="007471C7"/>
    <w:rsid w:val="0075124F"/>
    <w:rsid w:val="00752D9C"/>
    <w:rsid w:val="007560DC"/>
    <w:rsid w:val="00756CF1"/>
    <w:rsid w:val="007572FC"/>
    <w:rsid w:val="00762647"/>
    <w:rsid w:val="00770654"/>
    <w:rsid w:val="00774A92"/>
    <w:rsid w:val="007755F9"/>
    <w:rsid w:val="00786632"/>
    <w:rsid w:val="0079029C"/>
    <w:rsid w:val="007942E1"/>
    <w:rsid w:val="0079666A"/>
    <w:rsid w:val="007A3D3A"/>
    <w:rsid w:val="007B0370"/>
    <w:rsid w:val="007B0464"/>
    <w:rsid w:val="007B2956"/>
    <w:rsid w:val="007B5AAD"/>
    <w:rsid w:val="007C29A9"/>
    <w:rsid w:val="007D017C"/>
    <w:rsid w:val="007D0766"/>
    <w:rsid w:val="007D401B"/>
    <w:rsid w:val="007D50EA"/>
    <w:rsid w:val="007D58D3"/>
    <w:rsid w:val="007E108A"/>
    <w:rsid w:val="007E1D9C"/>
    <w:rsid w:val="007E3E27"/>
    <w:rsid w:val="007F65EC"/>
    <w:rsid w:val="007F6A01"/>
    <w:rsid w:val="00804DC6"/>
    <w:rsid w:val="00807B4C"/>
    <w:rsid w:val="00812881"/>
    <w:rsid w:val="0081706E"/>
    <w:rsid w:val="008176A9"/>
    <w:rsid w:val="00830289"/>
    <w:rsid w:val="0083376C"/>
    <w:rsid w:val="008426FB"/>
    <w:rsid w:val="00843501"/>
    <w:rsid w:val="00844420"/>
    <w:rsid w:val="008466E0"/>
    <w:rsid w:val="00846819"/>
    <w:rsid w:val="00846886"/>
    <w:rsid w:val="00846F3C"/>
    <w:rsid w:val="0086025A"/>
    <w:rsid w:val="00860B85"/>
    <w:rsid w:val="00862607"/>
    <w:rsid w:val="00864608"/>
    <w:rsid w:val="0086723A"/>
    <w:rsid w:val="00870AD9"/>
    <w:rsid w:val="00872B5D"/>
    <w:rsid w:val="00880082"/>
    <w:rsid w:val="008830CA"/>
    <w:rsid w:val="00884EF4"/>
    <w:rsid w:val="008851CE"/>
    <w:rsid w:val="00886FE3"/>
    <w:rsid w:val="008871A4"/>
    <w:rsid w:val="00887A86"/>
    <w:rsid w:val="00890EB2"/>
    <w:rsid w:val="008926EA"/>
    <w:rsid w:val="008949E8"/>
    <w:rsid w:val="0089669E"/>
    <w:rsid w:val="008A095B"/>
    <w:rsid w:val="008A2D0D"/>
    <w:rsid w:val="008A3B8D"/>
    <w:rsid w:val="008A4A2C"/>
    <w:rsid w:val="008A5AC1"/>
    <w:rsid w:val="008B0611"/>
    <w:rsid w:val="008B2F37"/>
    <w:rsid w:val="008B4FD6"/>
    <w:rsid w:val="008E052B"/>
    <w:rsid w:val="008E151B"/>
    <w:rsid w:val="008E1706"/>
    <w:rsid w:val="008E41DD"/>
    <w:rsid w:val="008E44EA"/>
    <w:rsid w:val="008E455C"/>
    <w:rsid w:val="008E73BB"/>
    <w:rsid w:val="008F209E"/>
    <w:rsid w:val="008F33F7"/>
    <w:rsid w:val="008F5DEB"/>
    <w:rsid w:val="008F79CB"/>
    <w:rsid w:val="00900E30"/>
    <w:rsid w:val="00904A2C"/>
    <w:rsid w:val="0090657E"/>
    <w:rsid w:val="009069AE"/>
    <w:rsid w:val="0091407E"/>
    <w:rsid w:val="00915315"/>
    <w:rsid w:val="009155A0"/>
    <w:rsid w:val="00915C9B"/>
    <w:rsid w:val="00916B88"/>
    <w:rsid w:val="00917036"/>
    <w:rsid w:val="00924112"/>
    <w:rsid w:val="00935381"/>
    <w:rsid w:val="009365EE"/>
    <w:rsid w:val="00941942"/>
    <w:rsid w:val="00946223"/>
    <w:rsid w:val="009562FB"/>
    <w:rsid w:val="0095690A"/>
    <w:rsid w:val="0097164F"/>
    <w:rsid w:val="00972536"/>
    <w:rsid w:val="00975B59"/>
    <w:rsid w:val="009772D2"/>
    <w:rsid w:val="00983BFA"/>
    <w:rsid w:val="00986333"/>
    <w:rsid w:val="00987AE9"/>
    <w:rsid w:val="0099053F"/>
    <w:rsid w:val="00991638"/>
    <w:rsid w:val="009B4E3B"/>
    <w:rsid w:val="009B5EFA"/>
    <w:rsid w:val="009B61D7"/>
    <w:rsid w:val="009B698E"/>
    <w:rsid w:val="009B746E"/>
    <w:rsid w:val="009C5ADE"/>
    <w:rsid w:val="009D1F4F"/>
    <w:rsid w:val="009D34B9"/>
    <w:rsid w:val="009D3955"/>
    <w:rsid w:val="009D45A5"/>
    <w:rsid w:val="009D7B7F"/>
    <w:rsid w:val="009E60A4"/>
    <w:rsid w:val="009E7D1B"/>
    <w:rsid w:val="009F0C10"/>
    <w:rsid w:val="009F425E"/>
    <w:rsid w:val="00A009D6"/>
    <w:rsid w:val="00A03376"/>
    <w:rsid w:val="00A050EA"/>
    <w:rsid w:val="00A15DFD"/>
    <w:rsid w:val="00A166BC"/>
    <w:rsid w:val="00A17819"/>
    <w:rsid w:val="00A17985"/>
    <w:rsid w:val="00A223F9"/>
    <w:rsid w:val="00A24514"/>
    <w:rsid w:val="00A26020"/>
    <w:rsid w:val="00A33D18"/>
    <w:rsid w:val="00A357F5"/>
    <w:rsid w:val="00A5248F"/>
    <w:rsid w:val="00A53D46"/>
    <w:rsid w:val="00A565D4"/>
    <w:rsid w:val="00A67755"/>
    <w:rsid w:val="00A75CA7"/>
    <w:rsid w:val="00A7604F"/>
    <w:rsid w:val="00A764B8"/>
    <w:rsid w:val="00A80301"/>
    <w:rsid w:val="00A863D0"/>
    <w:rsid w:val="00A87303"/>
    <w:rsid w:val="00A90223"/>
    <w:rsid w:val="00A92B15"/>
    <w:rsid w:val="00A9403A"/>
    <w:rsid w:val="00A95DC4"/>
    <w:rsid w:val="00A96B64"/>
    <w:rsid w:val="00AA1DB1"/>
    <w:rsid w:val="00AB172D"/>
    <w:rsid w:val="00AB2191"/>
    <w:rsid w:val="00AB4406"/>
    <w:rsid w:val="00AB52FE"/>
    <w:rsid w:val="00AD1550"/>
    <w:rsid w:val="00AD28B4"/>
    <w:rsid w:val="00AD44CA"/>
    <w:rsid w:val="00AD4D76"/>
    <w:rsid w:val="00AD76F1"/>
    <w:rsid w:val="00AE197E"/>
    <w:rsid w:val="00AE1A5B"/>
    <w:rsid w:val="00AE1C02"/>
    <w:rsid w:val="00AE1F85"/>
    <w:rsid w:val="00AE2B00"/>
    <w:rsid w:val="00AF16B6"/>
    <w:rsid w:val="00AF4089"/>
    <w:rsid w:val="00AF5A21"/>
    <w:rsid w:val="00B01F4D"/>
    <w:rsid w:val="00B02D3E"/>
    <w:rsid w:val="00B043EE"/>
    <w:rsid w:val="00B057D8"/>
    <w:rsid w:val="00B060D7"/>
    <w:rsid w:val="00B126EC"/>
    <w:rsid w:val="00B13788"/>
    <w:rsid w:val="00B13C2A"/>
    <w:rsid w:val="00B1612D"/>
    <w:rsid w:val="00B16494"/>
    <w:rsid w:val="00B25859"/>
    <w:rsid w:val="00B30E0F"/>
    <w:rsid w:val="00B313AD"/>
    <w:rsid w:val="00B3173A"/>
    <w:rsid w:val="00B33C0A"/>
    <w:rsid w:val="00B3552F"/>
    <w:rsid w:val="00B414AC"/>
    <w:rsid w:val="00B4525F"/>
    <w:rsid w:val="00B5076C"/>
    <w:rsid w:val="00B52E59"/>
    <w:rsid w:val="00B60299"/>
    <w:rsid w:val="00B6467B"/>
    <w:rsid w:val="00B64B80"/>
    <w:rsid w:val="00B66935"/>
    <w:rsid w:val="00B706F3"/>
    <w:rsid w:val="00B762D4"/>
    <w:rsid w:val="00B76A18"/>
    <w:rsid w:val="00B84ADA"/>
    <w:rsid w:val="00B8778E"/>
    <w:rsid w:val="00B87B9C"/>
    <w:rsid w:val="00B9043E"/>
    <w:rsid w:val="00BA0C09"/>
    <w:rsid w:val="00BA1009"/>
    <w:rsid w:val="00BA3179"/>
    <w:rsid w:val="00BA420E"/>
    <w:rsid w:val="00BB11BF"/>
    <w:rsid w:val="00BB1FC9"/>
    <w:rsid w:val="00BB3E13"/>
    <w:rsid w:val="00BC1318"/>
    <w:rsid w:val="00BC5F8D"/>
    <w:rsid w:val="00BC6526"/>
    <w:rsid w:val="00BD0E5D"/>
    <w:rsid w:val="00BD4FA8"/>
    <w:rsid w:val="00BE49A4"/>
    <w:rsid w:val="00BE537F"/>
    <w:rsid w:val="00BE67B1"/>
    <w:rsid w:val="00BF0621"/>
    <w:rsid w:val="00BF1162"/>
    <w:rsid w:val="00BF1453"/>
    <w:rsid w:val="00BF547C"/>
    <w:rsid w:val="00C06328"/>
    <w:rsid w:val="00C06E2B"/>
    <w:rsid w:val="00C1044D"/>
    <w:rsid w:val="00C20C27"/>
    <w:rsid w:val="00C22F64"/>
    <w:rsid w:val="00C33AD9"/>
    <w:rsid w:val="00C356D2"/>
    <w:rsid w:val="00C411D4"/>
    <w:rsid w:val="00C474BA"/>
    <w:rsid w:val="00C50DD1"/>
    <w:rsid w:val="00C62C7B"/>
    <w:rsid w:val="00C662FD"/>
    <w:rsid w:val="00C663D9"/>
    <w:rsid w:val="00C67C01"/>
    <w:rsid w:val="00C717ED"/>
    <w:rsid w:val="00C77047"/>
    <w:rsid w:val="00C8086D"/>
    <w:rsid w:val="00C82BF8"/>
    <w:rsid w:val="00C83CDA"/>
    <w:rsid w:val="00C85DCA"/>
    <w:rsid w:val="00C87C99"/>
    <w:rsid w:val="00C912FA"/>
    <w:rsid w:val="00C91EC0"/>
    <w:rsid w:val="00C95A4C"/>
    <w:rsid w:val="00CA0080"/>
    <w:rsid w:val="00CA06DF"/>
    <w:rsid w:val="00CB05BD"/>
    <w:rsid w:val="00CB3E85"/>
    <w:rsid w:val="00CB5888"/>
    <w:rsid w:val="00CC1A63"/>
    <w:rsid w:val="00CC2220"/>
    <w:rsid w:val="00CC2322"/>
    <w:rsid w:val="00CC48FA"/>
    <w:rsid w:val="00CC62B3"/>
    <w:rsid w:val="00CE1C04"/>
    <w:rsid w:val="00CE30FC"/>
    <w:rsid w:val="00CE5ADF"/>
    <w:rsid w:val="00CF0900"/>
    <w:rsid w:val="00CF0E66"/>
    <w:rsid w:val="00CF1C57"/>
    <w:rsid w:val="00CF4BC0"/>
    <w:rsid w:val="00D00866"/>
    <w:rsid w:val="00D01EBE"/>
    <w:rsid w:val="00D0268F"/>
    <w:rsid w:val="00D04E6F"/>
    <w:rsid w:val="00D107F3"/>
    <w:rsid w:val="00D17B11"/>
    <w:rsid w:val="00D2140F"/>
    <w:rsid w:val="00D22240"/>
    <w:rsid w:val="00D23D8C"/>
    <w:rsid w:val="00D30D51"/>
    <w:rsid w:val="00D32587"/>
    <w:rsid w:val="00D40527"/>
    <w:rsid w:val="00D4665F"/>
    <w:rsid w:val="00D5334B"/>
    <w:rsid w:val="00D53853"/>
    <w:rsid w:val="00D57093"/>
    <w:rsid w:val="00D579C8"/>
    <w:rsid w:val="00D62DA3"/>
    <w:rsid w:val="00D66179"/>
    <w:rsid w:val="00D72071"/>
    <w:rsid w:val="00D72EAC"/>
    <w:rsid w:val="00D73B3D"/>
    <w:rsid w:val="00D75788"/>
    <w:rsid w:val="00D85336"/>
    <w:rsid w:val="00D91B88"/>
    <w:rsid w:val="00DB10AB"/>
    <w:rsid w:val="00DC104C"/>
    <w:rsid w:val="00DC4125"/>
    <w:rsid w:val="00DC765A"/>
    <w:rsid w:val="00DD1109"/>
    <w:rsid w:val="00DD151E"/>
    <w:rsid w:val="00DD2E2A"/>
    <w:rsid w:val="00DD3163"/>
    <w:rsid w:val="00DE1FED"/>
    <w:rsid w:val="00DE348E"/>
    <w:rsid w:val="00DE5E4A"/>
    <w:rsid w:val="00DF2C88"/>
    <w:rsid w:val="00DF7693"/>
    <w:rsid w:val="00E0147E"/>
    <w:rsid w:val="00E1114B"/>
    <w:rsid w:val="00E1401D"/>
    <w:rsid w:val="00E15014"/>
    <w:rsid w:val="00E15A20"/>
    <w:rsid w:val="00E16F16"/>
    <w:rsid w:val="00E23DC2"/>
    <w:rsid w:val="00E245C3"/>
    <w:rsid w:val="00E253BC"/>
    <w:rsid w:val="00E25D38"/>
    <w:rsid w:val="00E271E8"/>
    <w:rsid w:val="00E35735"/>
    <w:rsid w:val="00E456C2"/>
    <w:rsid w:val="00E4599D"/>
    <w:rsid w:val="00E53640"/>
    <w:rsid w:val="00E566D4"/>
    <w:rsid w:val="00E5729B"/>
    <w:rsid w:val="00E57BE6"/>
    <w:rsid w:val="00E601B8"/>
    <w:rsid w:val="00E60E1F"/>
    <w:rsid w:val="00E63983"/>
    <w:rsid w:val="00E709EB"/>
    <w:rsid w:val="00E7106D"/>
    <w:rsid w:val="00E71FF7"/>
    <w:rsid w:val="00E733CF"/>
    <w:rsid w:val="00E73E51"/>
    <w:rsid w:val="00E77360"/>
    <w:rsid w:val="00E81100"/>
    <w:rsid w:val="00E8730D"/>
    <w:rsid w:val="00E92BCE"/>
    <w:rsid w:val="00E93AFE"/>
    <w:rsid w:val="00EA3EEA"/>
    <w:rsid w:val="00EA4146"/>
    <w:rsid w:val="00EA48FF"/>
    <w:rsid w:val="00EB1FC0"/>
    <w:rsid w:val="00EB453F"/>
    <w:rsid w:val="00EB6F9F"/>
    <w:rsid w:val="00EC01C6"/>
    <w:rsid w:val="00EC2FC4"/>
    <w:rsid w:val="00EC783E"/>
    <w:rsid w:val="00ED0E66"/>
    <w:rsid w:val="00ED1F4B"/>
    <w:rsid w:val="00EE02FE"/>
    <w:rsid w:val="00EE2A0F"/>
    <w:rsid w:val="00EE33F3"/>
    <w:rsid w:val="00EE7433"/>
    <w:rsid w:val="00EF344C"/>
    <w:rsid w:val="00EF5BF9"/>
    <w:rsid w:val="00EF7FBD"/>
    <w:rsid w:val="00F008C3"/>
    <w:rsid w:val="00F11343"/>
    <w:rsid w:val="00F11D3C"/>
    <w:rsid w:val="00F126C5"/>
    <w:rsid w:val="00F154EA"/>
    <w:rsid w:val="00F15836"/>
    <w:rsid w:val="00F21E17"/>
    <w:rsid w:val="00F311A7"/>
    <w:rsid w:val="00F35D52"/>
    <w:rsid w:val="00F37AAC"/>
    <w:rsid w:val="00F41199"/>
    <w:rsid w:val="00F46188"/>
    <w:rsid w:val="00F4752E"/>
    <w:rsid w:val="00F502E9"/>
    <w:rsid w:val="00F523FB"/>
    <w:rsid w:val="00F573BE"/>
    <w:rsid w:val="00F573D1"/>
    <w:rsid w:val="00F622D2"/>
    <w:rsid w:val="00F62503"/>
    <w:rsid w:val="00F629B0"/>
    <w:rsid w:val="00F64736"/>
    <w:rsid w:val="00F750C9"/>
    <w:rsid w:val="00F85BAB"/>
    <w:rsid w:val="00F867F4"/>
    <w:rsid w:val="00F92F65"/>
    <w:rsid w:val="00F97E84"/>
    <w:rsid w:val="00FA09F9"/>
    <w:rsid w:val="00FA2B74"/>
    <w:rsid w:val="00FB32CA"/>
    <w:rsid w:val="00FB56E9"/>
    <w:rsid w:val="00FB71B8"/>
    <w:rsid w:val="00FC3380"/>
    <w:rsid w:val="00FC431A"/>
    <w:rsid w:val="00FC69EB"/>
    <w:rsid w:val="00FD0B1B"/>
    <w:rsid w:val="00FD3D1A"/>
    <w:rsid w:val="00FD6D7E"/>
    <w:rsid w:val="00FD7319"/>
    <w:rsid w:val="00FE2D67"/>
    <w:rsid w:val="00FE3DD8"/>
    <w:rsid w:val="00FF1221"/>
    <w:rsid w:val="00FF2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CC97"/>
  <w15:docId w15:val="{652F1B8F-9844-4956-A45B-71258520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2B5D"/>
    <w:pPr>
      <w:pBdr>
        <w:top w:val="nil"/>
        <w:left w:val="nil"/>
        <w:bottom w:val="nil"/>
        <w:right w:val="nil"/>
        <w:between w:val="nil"/>
        <w:bar w:val="nil"/>
      </w:pBdr>
    </w:pPr>
    <w:rPr>
      <w:rFonts w:eastAsia="Segoe UI" w:cs="Segoe UI"/>
      <w:color w:val="000000"/>
      <w:u w:color="000000"/>
      <w:bdr w:val="nil"/>
      <w:lang w:eastAsia="nl-NL"/>
    </w:rPr>
  </w:style>
  <w:style w:type="paragraph" w:styleId="Heading1">
    <w:name w:val="heading 1"/>
    <w:basedOn w:val="Normal"/>
    <w:next w:val="Normal"/>
    <w:link w:val="Heading1Char"/>
    <w:uiPriority w:val="9"/>
    <w:qFormat/>
    <w:rsid w:val="00872B5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872B5D"/>
    <w:pPr>
      <w:pBdr>
        <w:top w:val="nil"/>
        <w:left w:val="nil"/>
        <w:bottom w:val="nil"/>
        <w:right w:val="nil"/>
        <w:between w:val="nil"/>
        <w:bar w:val="nil"/>
      </w:pBdr>
      <w:ind w:left="720"/>
    </w:pPr>
    <w:rPr>
      <w:rFonts w:eastAsia="Segoe UI" w:cs="Segoe UI"/>
      <w:color w:val="000000"/>
      <w:u w:color="000000"/>
      <w:bdr w:val="nil"/>
      <w:lang w:eastAsia="nl-NL"/>
    </w:rPr>
  </w:style>
  <w:style w:type="numbering" w:customStyle="1" w:styleId="Gemporteerdestijl1">
    <w:name w:val="Geïmporteerde stijl 1"/>
    <w:rsid w:val="00872B5D"/>
    <w:pPr>
      <w:numPr>
        <w:numId w:val="1"/>
      </w:numPr>
    </w:pPr>
  </w:style>
  <w:style w:type="numbering" w:customStyle="1" w:styleId="Gemporteerdestijl2">
    <w:name w:val="Geïmporteerde stijl 2"/>
    <w:rsid w:val="00872B5D"/>
    <w:pPr>
      <w:numPr>
        <w:numId w:val="3"/>
      </w:numPr>
    </w:pPr>
  </w:style>
  <w:style w:type="paragraph" w:styleId="CommentText">
    <w:name w:val="annotation text"/>
    <w:basedOn w:val="Normal"/>
    <w:link w:val="CommentTextChar"/>
    <w:uiPriority w:val="99"/>
    <w:unhideWhenUsed/>
    <w:rsid w:val="00872B5D"/>
    <w:pPr>
      <w:spacing w:line="240" w:lineRule="auto"/>
    </w:pPr>
    <w:rPr>
      <w:sz w:val="20"/>
      <w:szCs w:val="20"/>
    </w:rPr>
  </w:style>
  <w:style w:type="character" w:customStyle="1" w:styleId="CommentTextChar">
    <w:name w:val="Comment Text Char"/>
    <w:basedOn w:val="DefaultParagraphFont"/>
    <w:link w:val="CommentText"/>
    <w:uiPriority w:val="99"/>
    <w:rsid w:val="00872B5D"/>
    <w:rPr>
      <w:rFonts w:eastAsia="Segoe UI" w:cs="Segoe UI"/>
      <w:color w:val="000000"/>
      <w:sz w:val="20"/>
      <w:szCs w:val="20"/>
      <w:u w:color="000000"/>
      <w:bdr w:val="nil"/>
      <w:lang w:eastAsia="nl-NL"/>
    </w:rPr>
  </w:style>
  <w:style w:type="character" w:styleId="CommentReference">
    <w:name w:val="annotation reference"/>
    <w:basedOn w:val="DefaultParagraphFont"/>
    <w:uiPriority w:val="99"/>
    <w:semiHidden/>
    <w:unhideWhenUsed/>
    <w:rsid w:val="00872B5D"/>
    <w:rPr>
      <w:sz w:val="16"/>
      <w:szCs w:val="16"/>
    </w:rPr>
  </w:style>
  <w:style w:type="paragraph" w:styleId="BalloonText">
    <w:name w:val="Balloon Text"/>
    <w:basedOn w:val="Normal"/>
    <w:link w:val="BalloonTextChar"/>
    <w:uiPriority w:val="99"/>
    <w:semiHidden/>
    <w:unhideWhenUsed/>
    <w:rsid w:val="00872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B5D"/>
    <w:rPr>
      <w:rFonts w:ascii="Tahoma" w:eastAsia="Segoe UI" w:hAnsi="Tahoma" w:cs="Tahoma"/>
      <w:color w:val="000000"/>
      <w:sz w:val="16"/>
      <w:szCs w:val="16"/>
      <w:u w:color="000000"/>
      <w:bdr w:val="nil"/>
      <w:lang w:eastAsia="nl-NL"/>
    </w:rPr>
  </w:style>
  <w:style w:type="character" w:customStyle="1" w:styleId="Heading1Char">
    <w:name w:val="Heading 1 Char"/>
    <w:basedOn w:val="DefaultParagraphFont"/>
    <w:link w:val="Heading1"/>
    <w:uiPriority w:val="9"/>
    <w:rsid w:val="00872B5D"/>
    <w:rPr>
      <w:rFonts w:asciiTheme="majorHAnsi" w:eastAsiaTheme="majorEastAsia" w:hAnsiTheme="majorHAnsi" w:cstheme="majorBidi"/>
      <w:b/>
      <w:bCs/>
      <w:color w:val="365F91" w:themeColor="accent1" w:themeShade="BF"/>
      <w:sz w:val="28"/>
      <w:szCs w:val="28"/>
      <w:u w:color="000000"/>
      <w:bdr w:val="nil"/>
      <w:lang w:eastAsia="nl-NL"/>
    </w:rPr>
  </w:style>
  <w:style w:type="paragraph" w:customStyle="1" w:styleId="Kop-envoettekst">
    <w:name w:val="Kop- en voettekst"/>
    <w:rsid w:val="001D0D8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nl-NL" w:eastAsia="nl-NL"/>
    </w:rPr>
  </w:style>
  <w:style w:type="paragraph" w:styleId="Footer">
    <w:name w:val="footer"/>
    <w:link w:val="FooterChar"/>
    <w:rsid w:val="001D0D8E"/>
    <w:pPr>
      <w:pBdr>
        <w:top w:val="nil"/>
        <w:left w:val="nil"/>
        <w:bottom w:val="nil"/>
        <w:right w:val="nil"/>
        <w:between w:val="nil"/>
        <w:bar w:val="nil"/>
      </w:pBdr>
      <w:tabs>
        <w:tab w:val="center" w:pos="4536"/>
        <w:tab w:val="right" w:pos="9072"/>
      </w:tabs>
      <w:spacing w:after="0" w:line="240" w:lineRule="auto"/>
    </w:pPr>
    <w:rPr>
      <w:rFonts w:eastAsia="Segoe UI" w:cs="Segoe UI"/>
      <w:color w:val="000000"/>
      <w:u w:color="000000"/>
      <w:bdr w:val="nil"/>
      <w:lang w:eastAsia="nl-NL"/>
    </w:rPr>
  </w:style>
  <w:style w:type="character" w:customStyle="1" w:styleId="FooterChar">
    <w:name w:val="Footer Char"/>
    <w:basedOn w:val="DefaultParagraphFont"/>
    <w:link w:val="Footer"/>
    <w:rsid w:val="001D0D8E"/>
    <w:rPr>
      <w:rFonts w:eastAsia="Segoe UI" w:cs="Segoe UI"/>
      <w:color w:val="000000"/>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Utrecht</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Groot, E. de</dc:creator>
  <cp:lastModifiedBy>Deepika Kannan</cp:lastModifiedBy>
  <cp:revision>3</cp:revision>
  <dcterms:created xsi:type="dcterms:W3CDTF">2019-12-12T01:07:00Z</dcterms:created>
  <dcterms:modified xsi:type="dcterms:W3CDTF">2019-12-12T01:09:00Z</dcterms:modified>
</cp:coreProperties>
</file>