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8C" w:rsidRDefault="00F5768C" w:rsidP="00F5768C">
      <w:pPr>
        <w:pStyle w:val="Heading2"/>
        <w:rPr>
          <w:lang w:val="en-GB"/>
        </w:rPr>
      </w:pPr>
      <w:bookmarkStart w:id="0" w:name="_Toc531008212"/>
      <w:bookmarkStart w:id="1" w:name="_Toc531348376"/>
      <w:r>
        <w:rPr>
          <w:lang w:val="en-GB"/>
        </w:rPr>
        <w:t>Appendix 1 Glossary</w:t>
      </w:r>
      <w:bookmarkEnd w:id="0"/>
      <w:bookmarkEnd w:id="1"/>
    </w:p>
    <w:p w:rsidR="006D5BE9" w:rsidRPr="006D5BE9" w:rsidRDefault="006D5BE9" w:rsidP="006D5BE9">
      <w:pPr>
        <w:rPr>
          <w:lang w:val="en-GB"/>
        </w:rPr>
      </w:pPr>
    </w:p>
    <w:p w:rsidR="00F5768C" w:rsidRPr="00CC10B2" w:rsidRDefault="00F5768C" w:rsidP="00F5768C">
      <w:pPr>
        <w:spacing w:after="0" w:line="480" w:lineRule="auto"/>
        <w:rPr>
          <w:rStyle w:val="hps"/>
          <w:rFonts w:cs="Segoe UI"/>
          <w:sz w:val="20"/>
          <w:szCs w:val="20"/>
          <w:lang w:val="en-GB"/>
        </w:rPr>
      </w:pPr>
      <w:r w:rsidRPr="00CC10B2">
        <w:rPr>
          <w:b/>
          <w:sz w:val="20"/>
          <w:szCs w:val="20"/>
          <w:lang w:val="en-GB"/>
        </w:rPr>
        <w:t xml:space="preserve">Patient-centeredness: </w:t>
      </w:r>
      <w:r w:rsidRPr="00CC10B2">
        <w:rPr>
          <w:noProof/>
          <w:sz w:val="20"/>
          <w:szCs w:val="20"/>
          <w:lang w:val="en-GB"/>
        </w:rPr>
        <w:t>different professions introduced</w:t>
      </w:r>
      <w:r w:rsidRPr="00CC10B2">
        <w:rPr>
          <w:b/>
          <w:noProof/>
          <w:sz w:val="20"/>
          <w:szCs w:val="20"/>
          <w:lang w:val="en-GB"/>
        </w:rPr>
        <w:t xml:space="preserve"> </w:t>
      </w:r>
      <w:r w:rsidRPr="00CC10B2">
        <w:rPr>
          <w:rFonts w:cs="Segoe UI"/>
          <w:noProof/>
          <w:sz w:val="20"/>
          <w:szCs w:val="20"/>
          <w:lang w:val="en-GB"/>
        </w:rPr>
        <w:t>the concept of patient-centeredness</w:t>
      </w:r>
      <w:r w:rsidRPr="00CC10B2">
        <w:rPr>
          <w:rFonts w:cs="Segoe UI"/>
          <w:sz w:val="20"/>
          <w:szCs w:val="20"/>
          <w:lang w:val="en-GB"/>
        </w:rPr>
        <w:t>. Since then, much has been written about the concept of patient-centeredness.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6162D8">
        <w:rPr>
          <w:rStyle w:val="hps"/>
          <w:rFonts w:cs="Segoe UI"/>
          <w:color w:val="222222"/>
          <w:sz w:val="20"/>
          <w:szCs w:val="20"/>
          <w:lang w:val="en-GB"/>
        </w:rPr>
        <w:t>Me</w:t>
      </w:r>
      <w:r>
        <w:rPr>
          <w:rStyle w:val="hps"/>
          <w:rFonts w:cs="Segoe UI"/>
          <w:color w:val="222222"/>
          <w:sz w:val="20"/>
          <w:szCs w:val="20"/>
          <w:lang w:val="en-GB"/>
        </w:rPr>
        <w:t>a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d and Bower (2000) performed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a review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of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the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literature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regarding definitions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and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different dimensions of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the concept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. They cite five dimensions of </w:t>
      </w:r>
      <w:r w:rsidRPr="00CC10B2">
        <w:rPr>
          <w:rFonts w:cs="Segoe UI"/>
          <w:noProof/>
          <w:color w:val="222222"/>
          <w:sz w:val="20"/>
          <w:szCs w:val="20"/>
          <w:lang w:val="en-GB"/>
        </w:rPr>
        <w:t>patient-centred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care: the bio-psychosocial perspective, the patient-as-a-person, sharing power and responsibility, the therapeutic alliance, the doctor-as-a-person. Stewart et al. (2003) defined patient-centeredness by six elements: </w:t>
      </w:r>
      <w:r w:rsidRPr="00CC10B2">
        <w:rPr>
          <w:color w:val="2E2E2E"/>
          <w:sz w:val="20"/>
          <w:szCs w:val="20"/>
          <w:lang w:val="en-GB"/>
        </w:rPr>
        <w:t xml:space="preserve">exploring both disease and illness, understanding the whole person, finding common ground, incorporating prevention and health promotion, enhancing the patient-doctor relationship, and being </w:t>
      </w:r>
      <w:r w:rsidRPr="00650EA7">
        <w:rPr>
          <w:color w:val="2E2E2E"/>
          <w:sz w:val="20"/>
          <w:szCs w:val="20"/>
          <w:lang w:val="en-GB"/>
        </w:rPr>
        <w:t xml:space="preserve">realistic </w:t>
      </w:r>
      <w:r w:rsidRPr="00650EA7">
        <w:rPr>
          <w:rFonts w:cs="Segoe UI"/>
          <w:color w:val="2E2E2E"/>
          <w:sz w:val="20"/>
          <w:szCs w:val="20"/>
          <w:lang w:val="en-GB"/>
        </w:rPr>
        <w:t>(Stewart et al. 2003)</w:t>
      </w:r>
      <w:r w:rsidRPr="00650EA7">
        <w:rPr>
          <w:color w:val="2E2E2E"/>
          <w:sz w:val="20"/>
          <w:szCs w:val="20"/>
          <w:lang w:val="en-GB"/>
        </w:rPr>
        <w:t>.</w:t>
      </w:r>
      <w:r w:rsidRPr="00650EA7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650EA7">
        <w:rPr>
          <w:rStyle w:val="hps"/>
          <w:rFonts w:cs="Segoe UI"/>
          <w:color w:val="222222"/>
          <w:sz w:val="20"/>
          <w:szCs w:val="20"/>
          <w:lang w:val="en-GB"/>
        </w:rPr>
        <w:t>In</w:t>
      </w:r>
      <w:r w:rsidRPr="00650EA7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650EA7">
        <w:rPr>
          <w:rStyle w:val="hps"/>
          <w:rFonts w:cs="Segoe UI"/>
          <w:color w:val="222222"/>
          <w:sz w:val="20"/>
          <w:szCs w:val="20"/>
          <w:lang w:val="en-GB"/>
        </w:rPr>
        <w:t>a recent</w:t>
      </w:r>
      <w:r w:rsidRPr="00650EA7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650EA7">
        <w:rPr>
          <w:rStyle w:val="hps"/>
          <w:rFonts w:cs="Segoe UI"/>
          <w:color w:val="222222"/>
          <w:sz w:val="20"/>
          <w:szCs w:val="20"/>
          <w:lang w:val="en-GB"/>
        </w:rPr>
        <w:t>systematic review,</w:t>
      </w:r>
      <w:r w:rsidRPr="00650EA7">
        <w:rPr>
          <w:rStyle w:val="hps"/>
          <w:sz w:val="20"/>
          <w:szCs w:val="20"/>
          <w:lang w:val="en-GB"/>
        </w:rPr>
        <w:t xml:space="preserve"> Scholl et al. (2014) </w:t>
      </w:r>
      <w:r w:rsidRPr="00650EA7">
        <w:rPr>
          <w:rStyle w:val="hps"/>
          <w:rFonts w:cs="Segoe UI"/>
          <w:color w:val="222222"/>
          <w:sz w:val="20"/>
          <w:szCs w:val="20"/>
          <w:lang w:val="en-GB"/>
        </w:rPr>
        <w:t>did</w:t>
      </w:r>
      <w:r w:rsidRPr="00650EA7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650EA7">
        <w:rPr>
          <w:rStyle w:val="hps"/>
          <w:rFonts w:cs="Segoe UI"/>
          <w:color w:val="222222"/>
          <w:sz w:val="20"/>
          <w:szCs w:val="20"/>
          <w:lang w:val="en-GB"/>
        </w:rPr>
        <w:t>not define the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 xml:space="preserve"> concept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but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developed a model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to capture the concept of patient-centeredness and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to be able</w:t>
      </w:r>
      <w:r w:rsidRPr="00CC10B2">
        <w:rPr>
          <w:rFonts w:cs="Segoe UI"/>
          <w:color w:val="222222"/>
          <w:sz w:val="20"/>
          <w:szCs w:val="20"/>
          <w:lang w:val="en-GB"/>
        </w:rPr>
        <w:t xml:space="preserve">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 xml:space="preserve">to do interventions and to do </w:t>
      </w:r>
      <w:proofErr w:type="gramStart"/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measurements</w:t>
      </w:r>
      <w:proofErr w:type="gramEnd"/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 xml:space="preserve"> with this model. They divided 15 dimensions into three levels of care: principles, enablers and activities to the concept of patient-centeredness. The box below describes the dimensions. </w:t>
      </w:r>
      <w:r w:rsidRPr="00CC10B2">
        <w:rPr>
          <w:rStyle w:val="hps"/>
          <w:rFonts w:cs="Segoe UI"/>
          <w:sz w:val="20"/>
          <w:szCs w:val="20"/>
          <w:lang w:val="en-GB"/>
        </w:rPr>
        <w:t>We choose the dimensions of Scholl et al. (2014) to define patient-centeredness in this review.</w:t>
      </w:r>
    </w:p>
    <w:p w:rsidR="00F5768C" w:rsidRPr="00CC10B2" w:rsidRDefault="00F5768C" w:rsidP="00F5768C">
      <w:pPr>
        <w:spacing w:after="0" w:line="480" w:lineRule="auto"/>
        <w:rPr>
          <w:rStyle w:val="hps"/>
          <w:rFonts w:cs="Segoe UI"/>
          <w:sz w:val="20"/>
          <w:szCs w:val="20"/>
          <w:lang w:val="en-GB"/>
        </w:rPr>
      </w:pPr>
    </w:p>
    <w:p w:rsidR="00F5768C" w:rsidRDefault="00F5768C" w:rsidP="00F5768C">
      <w:pPr>
        <w:rPr>
          <w:rStyle w:val="hps"/>
          <w:rFonts w:cs="Segoe UI"/>
          <w:lang w:val="en-GB"/>
        </w:rPr>
      </w:pPr>
      <w:r>
        <w:rPr>
          <w:rStyle w:val="hps"/>
          <w:rFonts w:cs="Segoe UI"/>
          <w:lang w:val="en-GB"/>
        </w:rPr>
        <w:t>Dimensions by Scholl et al.</w:t>
      </w:r>
      <w:r w:rsidR="00EB7551">
        <w:rPr>
          <w:rStyle w:val="hps"/>
          <w:rFonts w:cs="Segoe UI"/>
          <w:lang w:val="en-GB"/>
        </w:rPr>
        <w:t xml:space="preserve"> (2014)</w:t>
      </w:r>
      <w:r>
        <w:rPr>
          <w:rStyle w:val="hps"/>
          <w:rFonts w:cs="Segoe UI"/>
          <w:lang w:val="en-GB"/>
        </w:rPr>
        <w:t>:</w:t>
      </w:r>
    </w:p>
    <w:tbl>
      <w:tblPr>
        <w:tblStyle w:val="TableGrid"/>
        <w:tblW w:w="949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6"/>
        <w:gridCol w:w="3166"/>
        <w:gridCol w:w="3167"/>
      </w:tblGrid>
      <w:tr w:rsidR="00F5768C" w:rsidTr="00AB46F0"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b/>
                <w:lang w:val="en-GB"/>
              </w:rPr>
            </w:pPr>
            <w:r>
              <w:rPr>
                <w:rStyle w:val="hps"/>
                <w:rFonts w:cs="Segoe UI"/>
                <w:b/>
                <w:lang w:val="en-GB"/>
              </w:rPr>
              <w:t>Principles</w:t>
            </w:r>
          </w:p>
        </w:tc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b/>
                <w:lang w:val="en-GB"/>
              </w:rPr>
            </w:pPr>
            <w:r>
              <w:rPr>
                <w:rStyle w:val="hps"/>
                <w:rFonts w:cs="Segoe UI"/>
                <w:b/>
                <w:lang w:val="en-GB"/>
              </w:rPr>
              <w:t>Enablers</w:t>
            </w:r>
          </w:p>
        </w:tc>
        <w:tc>
          <w:tcPr>
            <w:tcW w:w="3167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b/>
                <w:lang w:val="en-GB"/>
              </w:rPr>
            </w:pPr>
            <w:r>
              <w:rPr>
                <w:rStyle w:val="hps"/>
                <w:rFonts w:cs="Segoe UI"/>
                <w:b/>
                <w:lang w:val="en-GB"/>
              </w:rPr>
              <w:t>Activities</w:t>
            </w:r>
          </w:p>
        </w:tc>
      </w:tr>
      <w:tr w:rsidR="00F5768C" w:rsidTr="00AB46F0"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lang w:val="en-GB"/>
              </w:rPr>
            </w:pPr>
            <w:r>
              <w:rPr>
                <w:rStyle w:val="hps"/>
                <w:rFonts w:cs="Segoe UI"/>
                <w:lang w:val="en-GB"/>
              </w:rPr>
              <w:t>Essential characteristics of the clinician</w:t>
            </w:r>
          </w:p>
        </w:tc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Clinician-patient communication</w:t>
            </w:r>
          </w:p>
        </w:tc>
        <w:tc>
          <w:tcPr>
            <w:tcW w:w="3167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Patient information</w:t>
            </w:r>
          </w:p>
        </w:tc>
      </w:tr>
      <w:tr w:rsidR="00F5768C" w:rsidTr="00AB46F0"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Clinician-patient relationship</w:t>
            </w:r>
          </w:p>
        </w:tc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Integration of medical and non-medical care</w:t>
            </w:r>
          </w:p>
        </w:tc>
        <w:tc>
          <w:tcPr>
            <w:tcW w:w="3167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Patient involvement in care</w:t>
            </w:r>
          </w:p>
        </w:tc>
      </w:tr>
      <w:tr w:rsidR="00F5768C" w:rsidTr="00AB46F0"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fr-FR"/>
              </w:rPr>
            </w:pPr>
            <w:r>
              <w:rPr>
                <w:rStyle w:val="hps"/>
                <w:rFonts w:cs="Segoe UI"/>
                <w:i/>
                <w:lang w:val="fr-FR"/>
              </w:rPr>
              <w:t xml:space="preserve">Patient as a unique </w:t>
            </w:r>
            <w:proofErr w:type="spellStart"/>
            <w:r>
              <w:rPr>
                <w:rStyle w:val="hps"/>
                <w:rFonts w:cs="Segoe UI"/>
                <w:i/>
                <w:lang w:val="fr-FR"/>
              </w:rPr>
              <w:t>person</w:t>
            </w:r>
            <w:proofErr w:type="spellEnd"/>
          </w:p>
        </w:tc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Teamwork and team building</w:t>
            </w:r>
          </w:p>
        </w:tc>
        <w:tc>
          <w:tcPr>
            <w:tcW w:w="3167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Involvement of family and friends</w:t>
            </w:r>
          </w:p>
        </w:tc>
      </w:tr>
      <w:tr w:rsidR="00F5768C" w:rsidTr="00AB46F0"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lang w:val="en-GB"/>
              </w:rPr>
            </w:pPr>
            <w:r>
              <w:rPr>
                <w:rStyle w:val="hps"/>
                <w:rFonts w:cs="Segoe UI"/>
                <w:lang w:val="en-GB"/>
              </w:rPr>
              <w:t>Biopsychosocial perspective</w:t>
            </w:r>
          </w:p>
        </w:tc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Access to care</w:t>
            </w:r>
          </w:p>
        </w:tc>
        <w:tc>
          <w:tcPr>
            <w:tcW w:w="3167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Patient empowerment</w:t>
            </w:r>
          </w:p>
        </w:tc>
      </w:tr>
      <w:tr w:rsidR="00F5768C" w:rsidTr="00AB46F0"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lang w:val="nl-BE"/>
              </w:rPr>
            </w:pPr>
          </w:p>
        </w:tc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Coordination and continuity of care</w:t>
            </w:r>
          </w:p>
        </w:tc>
        <w:tc>
          <w:tcPr>
            <w:tcW w:w="3167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Physical support</w:t>
            </w:r>
          </w:p>
        </w:tc>
      </w:tr>
      <w:tr w:rsidR="00F5768C" w:rsidTr="00AB46F0"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lang w:val="nl-BE"/>
              </w:rPr>
            </w:pPr>
          </w:p>
        </w:tc>
        <w:tc>
          <w:tcPr>
            <w:tcW w:w="3166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lang w:val="nl-BE"/>
              </w:rPr>
            </w:pPr>
          </w:p>
        </w:tc>
        <w:tc>
          <w:tcPr>
            <w:tcW w:w="3167" w:type="dxa"/>
            <w:shd w:val="clear" w:color="auto" w:fill="auto"/>
            <w:tcMar>
              <w:left w:w="103" w:type="dxa"/>
            </w:tcMar>
          </w:tcPr>
          <w:p w:rsidR="00F5768C" w:rsidRDefault="00F5768C" w:rsidP="00AB46F0">
            <w:pPr>
              <w:spacing w:after="0" w:line="240" w:lineRule="auto"/>
              <w:rPr>
                <w:rStyle w:val="hps"/>
                <w:rFonts w:cs="Segoe UI"/>
                <w:i/>
                <w:lang w:val="en-GB"/>
              </w:rPr>
            </w:pPr>
            <w:r>
              <w:rPr>
                <w:rStyle w:val="hps"/>
                <w:rFonts w:cs="Segoe UI"/>
                <w:i/>
                <w:lang w:val="en-GB"/>
              </w:rPr>
              <w:t>Emotional support</w:t>
            </w:r>
          </w:p>
        </w:tc>
      </w:tr>
    </w:tbl>
    <w:p w:rsidR="00F5768C" w:rsidRDefault="00F5768C" w:rsidP="00F5768C">
      <w:pPr>
        <w:rPr>
          <w:rStyle w:val="hps"/>
          <w:rFonts w:cs="Segoe UI"/>
          <w:lang w:val="en-GB"/>
        </w:rPr>
      </w:pPr>
    </w:p>
    <w:p w:rsidR="00F5768C" w:rsidRPr="00CC10B2" w:rsidRDefault="00F5768C" w:rsidP="00F5768C">
      <w:pPr>
        <w:spacing w:after="0" w:line="480" w:lineRule="auto"/>
        <w:rPr>
          <w:rStyle w:val="hps"/>
          <w:rFonts w:cs="Segoe UI"/>
          <w:color w:val="222222"/>
          <w:sz w:val="20"/>
          <w:szCs w:val="20"/>
          <w:lang w:val="en-GB"/>
        </w:rPr>
      </w:pPr>
      <w:r w:rsidRPr="00CC10B2">
        <w:rPr>
          <w:rStyle w:val="hps"/>
          <w:rFonts w:cs="Segoe UI"/>
          <w:b/>
          <w:color w:val="222222"/>
          <w:sz w:val="20"/>
          <w:szCs w:val="20"/>
          <w:lang w:val="en-GB"/>
        </w:rPr>
        <w:t>Context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 xml:space="preserve">: In our review, we use the word context to denote medical, dental and nursing settings in which patient-centeredness is educated or investigated. Besides, we considered context to be those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lastRenderedPageBreak/>
        <w:t xml:space="preserve">factors external to the intervention but not necessarily external to the participants in the intervention. Often, these were socio-cultural factors. </w:t>
      </w:r>
    </w:p>
    <w:p w:rsidR="00F5768C" w:rsidRPr="00CC10B2" w:rsidRDefault="00F5768C" w:rsidP="00F5768C">
      <w:pPr>
        <w:spacing w:after="0" w:line="480" w:lineRule="auto"/>
        <w:rPr>
          <w:rStyle w:val="hps"/>
          <w:rFonts w:cs="Segoe UI"/>
          <w:b/>
          <w:color w:val="222222"/>
          <w:sz w:val="20"/>
          <w:szCs w:val="20"/>
          <w:lang w:val="en-GB"/>
        </w:rPr>
      </w:pPr>
      <w:r w:rsidRPr="00CC10B2">
        <w:rPr>
          <w:rStyle w:val="hps"/>
          <w:rFonts w:cs="Segoe UI"/>
          <w:b/>
          <w:color w:val="222222"/>
          <w:sz w:val="20"/>
          <w:szCs w:val="20"/>
          <w:lang w:val="en-GB"/>
        </w:rPr>
        <w:t xml:space="preserve">Learning: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in our review, we choose learning and related terms to denote general terms about education.</w:t>
      </w:r>
    </w:p>
    <w:p w:rsidR="00F5768C" w:rsidRDefault="00F5768C" w:rsidP="00F5768C">
      <w:pPr>
        <w:spacing w:after="0" w:line="480" w:lineRule="auto"/>
        <w:rPr>
          <w:rStyle w:val="hps"/>
          <w:rFonts w:cs="Segoe UI"/>
          <w:color w:val="222222"/>
          <w:sz w:val="20"/>
          <w:szCs w:val="20"/>
          <w:lang w:val="en-GB"/>
        </w:rPr>
      </w:pPr>
      <w:r w:rsidRPr="00CC10B2">
        <w:rPr>
          <w:rStyle w:val="hps"/>
          <w:rFonts w:cs="Segoe UI"/>
          <w:b/>
          <w:color w:val="222222"/>
          <w:sz w:val="20"/>
          <w:szCs w:val="20"/>
          <w:lang w:val="en-GB"/>
        </w:rPr>
        <w:t xml:space="preserve">Interventions: </w:t>
      </w:r>
      <w:r w:rsidRPr="00CC10B2">
        <w:rPr>
          <w:rStyle w:val="hps"/>
          <w:rFonts w:cs="Segoe UI"/>
          <w:color w:val="222222"/>
          <w:sz w:val="20"/>
          <w:szCs w:val="20"/>
          <w:lang w:val="en-GB"/>
        </w:rPr>
        <w:t>In our review, we use the word interventions to denote possible programs/ways of educating or learning patient-centeredness.</w:t>
      </w:r>
    </w:p>
    <w:p w:rsidR="00F84968" w:rsidRDefault="00F84968" w:rsidP="00F5768C">
      <w:pPr>
        <w:spacing w:after="0" w:line="480" w:lineRule="auto"/>
        <w:rPr>
          <w:rStyle w:val="hps"/>
          <w:rFonts w:cs="Segoe UI"/>
          <w:color w:val="222222"/>
          <w:sz w:val="20"/>
          <w:szCs w:val="20"/>
          <w:lang w:val="en-GB"/>
        </w:rPr>
      </w:pPr>
    </w:p>
    <w:p w:rsidR="00F84968" w:rsidRPr="00F84968" w:rsidRDefault="00F84968" w:rsidP="00F5768C">
      <w:pPr>
        <w:spacing w:after="0" w:line="480" w:lineRule="auto"/>
        <w:rPr>
          <w:rStyle w:val="hps"/>
          <w:rFonts w:cs="Segoe UI"/>
          <w:b/>
          <w:color w:val="222222"/>
          <w:sz w:val="20"/>
          <w:szCs w:val="20"/>
          <w:lang w:val="en-GB"/>
        </w:rPr>
      </w:pPr>
      <w:r w:rsidRPr="00F84968">
        <w:rPr>
          <w:rStyle w:val="hps"/>
          <w:rFonts w:cs="Segoe UI"/>
          <w:b/>
          <w:color w:val="222222"/>
          <w:sz w:val="20"/>
          <w:szCs w:val="20"/>
          <w:lang w:val="en-GB"/>
        </w:rPr>
        <w:t>References</w:t>
      </w:r>
    </w:p>
    <w:p w:rsidR="008F3B08" w:rsidRDefault="008F3B08" w:rsidP="008F3B08">
      <w:pPr>
        <w:spacing w:after="0" w:line="480" w:lineRule="auto"/>
        <w:rPr>
          <w:rStyle w:val="hps"/>
          <w:rFonts w:cs="Segoe UI"/>
          <w:color w:val="222222"/>
          <w:sz w:val="20"/>
          <w:szCs w:val="20"/>
          <w:lang w:val="en-GB"/>
        </w:rPr>
      </w:pPr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>Mead N, Bower P. 2000. Patient-</w:t>
      </w:r>
      <w:proofErr w:type="spellStart"/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>centredness</w:t>
      </w:r>
      <w:proofErr w:type="spellEnd"/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>: a conceptual framework</w:t>
      </w:r>
      <w:r>
        <w:rPr>
          <w:rStyle w:val="hps"/>
          <w:rFonts w:cs="Segoe UI"/>
          <w:color w:val="222222"/>
          <w:sz w:val="20"/>
          <w:szCs w:val="20"/>
          <w:lang w:val="en-GB"/>
        </w:rPr>
        <w:t xml:space="preserve"> </w:t>
      </w:r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 xml:space="preserve">and review of the empirical literature. </w:t>
      </w:r>
      <w:proofErr w:type="spellStart"/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>Soc</w:t>
      </w:r>
      <w:proofErr w:type="spellEnd"/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 xml:space="preserve"> </w:t>
      </w:r>
      <w:proofErr w:type="spellStart"/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>Sci</w:t>
      </w:r>
      <w:proofErr w:type="spellEnd"/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 xml:space="preserve"> Med. 51(7):</w:t>
      </w:r>
      <w:r>
        <w:rPr>
          <w:rStyle w:val="hps"/>
          <w:rFonts w:cs="Segoe UI"/>
          <w:color w:val="222222"/>
          <w:sz w:val="20"/>
          <w:szCs w:val="20"/>
          <w:lang w:val="en-GB"/>
        </w:rPr>
        <w:t xml:space="preserve"> </w:t>
      </w:r>
      <w:r w:rsidRPr="008F3B08">
        <w:rPr>
          <w:rStyle w:val="hps"/>
          <w:rFonts w:cs="Segoe UI"/>
          <w:color w:val="222222"/>
          <w:sz w:val="20"/>
          <w:szCs w:val="20"/>
          <w:lang w:val="en-GB"/>
        </w:rPr>
        <w:t>1087–1110.</w:t>
      </w:r>
    </w:p>
    <w:p w:rsidR="005F7EDD" w:rsidRDefault="005F7EDD" w:rsidP="005F7EDD">
      <w:pPr>
        <w:spacing w:after="0" w:line="480" w:lineRule="auto"/>
        <w:rPr>
          <w:rStyle w:val="hps"/>
          <w:rFonts w:cs="Segoe UI"/>
          <w:color w:val="222222"/>
          <w:sz w:val="20"/>
          <w:szCs w:val="20"/>
          <w:lang w:val="en-GB"/>
        </w:rPr>
      </w:pPr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 xml:space="preserve">Scholl I, </w:t>
      </w:r>
      <w:proofErr w:type="spellStart"/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>Zill</w:t>
      </w:r>
      <w:proofErr w:type="spellEnd"/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 xml:space="preserve"> JM, </w:t>
      </w:r>
      <w:proofErr w:type="spellStart"/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>H€arter</w:t>
      </w:r>
      <w:proofErr w:type="spellEnd"/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 xml:space="preserve"> M, </w:t>
      </w:r>
      <w:proofErr w:type="spellStart"/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>Dirmaier</w:t>
      </w:r>
      <w:proofErr w:type="spellEnd"/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 xml:space="preserve"> J. 2014. An integrative model of</w:t>
      </w:r>
      <w:r>
        <w:rPr>
          <w:rStyle w:val="hps"/>
          <w:rFonts w:cs="Segoe UI"/>
          <w:color w:val="222222"/>
          <w:sz w:val="20"/>
          <w:szCs w:val="20"/>
          <w:lang w:val="en-GB"/>
        </w:rPr>
        <w:t xml:space="preserve"> </w:t>
      </w:r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>patient-centeredness-A systematic review and concept analysis.</w:t>
      </w:r>
      <w:r>
        <w:rPr>
          <w:rStyle w:val="hps"/>
          <w:rFonts w:cs="Segoe UI"/>
          <w:color w:val="222222"/>
          <w:sz w:val="20"/>
          <w:szCs w:val="20"/>
          <w:lang w:val="en-GB"/>
        </w:rPr>
        <w:t xml:space="preserve"> </w:t>
      </w:r>
      <w:bookmarkStart w:id="2" w:name="_GoBack"/>
      <w:bookmarkEnd w:id="2"/>
      <w:proofErr w:type="spellStart"/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>PLoS</w:t>
      </w:r>
      <w:proofErr w:type="spellEnd"/>
      <w:r w:rsidRPr="005F7EDD">
        <w:rPr>
          <w:rStyle w:val="hps"/>
          <w:rFonts w:cs="Segoe UI"/>
          <w:color w:val="222222"/>
          <w:sz w:val="20"/>
          <w:szCs w:val="20"/>
          <w:lang w:val="en-GB"/>
        </w:rPr>
        <w:t xml:space="preserve"> One. 9(9):e107828.</w:t>
      </w:r>
    </w:p>
    <w:p w:rsidR="00F84968" w:rsidRPr="00CC10B2" w:rsidRDefault="00F84968" w:rsidP="00F84968">
      <w:pPr>
        <w:spacing w:after="0" w:line="480" w:lineRule="auto"/>
        <w:rPr>
          <w:rStyle w:val="hps"/>
          <w:rFonts w:cs="Segoe UI"/>
          <w:color w:val="222222"/>
          <w:sz w:val="20"/>
          <w:szCs w:val="20"/>
          <w:lang w:val="en-GB"/>
        </w:rPr>
      </w:pPr>
      <w:r w:rsidRPr="00F84968">
        <w:rPr>
          <w:rStyle w:val="hps"/>
          <w:rFonts w:cs="Segoe UI"/>
          <w:color w:val="222222"/>
          <w:sz w:val="20"/>
          <w:szCs w:val="20"/>
          <w:lang w:val="en-GB"/>
        </w:rPr>
        <w:t xml:space="preserve">Stewart M, Brown JB, Weston WW, </w:t>
      </w:r>
      <w:proofErr w:type="spellStart"/>
      <w:r w:rsidRPr="00F84968">
        <w:rPr>
          <w:rStyle w:val="hps"/>
          <w:rFonts w:cs="Segoe UI"/>
          <w:color w:val="222222"/>
          <w:sz w:val="20"/>
          <w:szCs w:val="20"/>
          <w:lang w:val="en-GB"/>
        </w:rPr>
        <w:t>McWhinny</w:t>
      </w:r>
      <w:proofErr w:type="spellEnd"/>
      <w:r w:rsidRPr="00F84968">
        <w:rPr>
          <w:rStyle w:val="hps"/>
          <w:rFonts w:cs="Segoe UI"/>
          <w:color w:val="222222"/>
          <w:sz w:val="20"/>
          <w:szCs w:val="20"/>
          <w:lang w:val="en-GB"/>
        </w:rPr>
        <w:t xml:space="preserve"> IR, </w:t>
      </w:r>
      <w:proofErr w:type="spellStart"/>
      <w:r w:rsidRPr="00F84968">
        <w:rPr>
          <w:rStyle w:val="hps"/>
          <w:rFonts w:cs="Segoe UI"/>
          <w:color w:val="222222"/>
          <w:sz w:val="20"/>
          <w:szCs w:val="20"/>
          <w:lang w:val="en-GB"/>
        </w:rPr>
        <w:t>McWilliam</w:t>
      </w:r>
      <w:proofErr w:type="spellEnd"/>
      <w:r w:rsidRPr="00F84968">
        <w:rPr>
          <w:rStyle w:val="hps"/>
          <w:rFonts w:cs="Segoe UI"/>
          <w:color w:val="222222"/>
          <w:sz w:val="20"/>
          <w:szCs w:val="20"/>
          <w:lang w:val="en-GB"/>
        </w:rPr>
        <w:t xml:space="preserve"> CL,</w:t>
      </w:r>
      <w:r>
        <w:rPr>
          <w:rStyle w:val="hps"/>
          <w:rFonts w:cs="Segoe UI"/>
          <w:color w:val="222222"/>
          <w:sz w:val="20"/>
          <w:szCs w:val="20"/>
          <w:lang w:val="en-GB"/>
        </w:rPr>
        <w:t xml:space="preserve"> </w:t>
      </w:r>
      <w:r w:rsidRPr="00F84968">
        <w:rPr>
          <w:rStyle w:val="hps"/>
          <w:rFonts w:cs="Segoe UI"/>
          <w:color w:val="222222"/>
          <w:sz w:val="20"/>
          <w:szCs w:val="20"/>
          <w:lang w:val="en-GB"/>
        </w:rPr>
        <w:t>Freeman TR. 2003. Patient-</w:t>
      </w:r>
      <w:proofErr w:type="spellStart"/>
      <w:r w:rsidRPr="00F84968">
        <w:rPr>
          <w:rStyle w:val="hps"/>
          <w:rFonts w:cs="Segoe UI"/>
          <w:color w:val="222222"/>
          <w:sz w:val="20"/>
          <w:szCs w:val="20"/>
          <w:lang w:val="en-GB"/>
        </w:rPr>
        <w:t>centered</w:t>
      </w:r>
      <w:proofErr w:type="spellEnd"/>
      <w:r w:rsidRPr="00F84968">
        <w:rPr>
          <w:rStyle w:val="hps"/>
          <w:rFonts w:cs="Segoe UI"/>
          <w:color w:val="222222"/>
          <w:sz w:val="20"/>
          <w:szCs w:val="20"/>
          <w:lang w:val="en-GB"/>
        </w:rPr>
        <w:t xml:space="preserve"> medicine transforming the clinical method. Abingdon (UK): Radcliffe Medical Press.</w:t>
      </w:r>
    </w:p>
    <w:sectPr w:rsidR="00F84968" w:rsidRPr="00CC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NDY3MDe2MDI0MDZX0lEKTi0uzszPAykwrAUAOROQxSwAAAA="/>
  </w:docVars>
  <w:rsids>
    <w:rsidRoot w:val="00F5768C"/>
    <w:rsid w:val="0000231A"/>
    <w:rsid w:val="00003F90"/>
    <w:rsid w:val="000062A2"/>
    <w:rsid w:val="00013ED2"/>
    <w:rsid w:val="0001608C"/>
    <w:rsid w:val="0001655E"/>
    <w:rsid w:val="00016B3B"/>
    <w:rsid w:val="00034740"/>
    <w:rsid w:val="00034EF7"/>
    <w:rsid w:val="00036F1A"/>
    <w:rsid w:val="000400D9"/>
    <w:rsid w:val="0004548F"/>
    <w:rsid w:val="0004610F"/>
    <w:rsid w:val="000506D8"/>
    <w:rsid w:val="00081B2A"/>
    <w:rsid w:val="0009476C"/>
    <w:rsid w:val="00094BE0"/>
    <w:rsid w:val="00095612"/>
    <w:rsid w:val="000962C8"/>
    <w:rsid w:val="000A189C"/>
    <w:rsid w:val="000A2F84"/>
    <w:rsid w:val="000A525B"/>
    <w:rsid w:val="000B22EE"/>
    <w:rsid w:val="000B6D5E"/>
    <w:rsid w:val="000B7270"/>
    <w:rsid w:val="000C0B81"/>
    <w:rsid w:val="000D1121"/>
    <w:rsid w:val="000D68CE"/>
    <w:rsid w:val="000E36B5"/>
    <w:rsid w:val="00100974"/>
    <w:rsid w:val="00107EC8"/>
    <w:rsid w:val="00117C10"/>
    <w:rsid w:val="00131700"/>
    <w:rsid w:val="001323C5"/>
    <w:rsid w:val="00133FCB"/>
    <w:rsid w:val="001343EC"/>
    <w:rsid w:val="00140832"/>
    <w:rsid w:val="00145C14"/>
    <w:rsid w:val="0015351E"/>
    <w:rsid w:val="00153C31"/>
    <w:rsid w:val="00156C13"/>
    <w:rsid w:val="0016516C"/>
    <w:rsid w:val="001671C8"/>
    <w:rsid w:val="00171500"/>
    <w:rsid w:val="00173B07"/>
    <w:rsid w:val="0017644C"/>
    <w:rsid w:val="001776B7"/>
    <w:rsid w:val="00177BA2"/>
    <w:rsid w:val="00181057"/>
    <w:rsid w:val="0018225C"/>
    <w:rsid w:val="00191AB6"/>
    <w:rsid w:val="0019271E"/>
    <w:rsid w:val="001B510D"/>
    <w:rsid w:val="001B5BA6"/>
    <w:rsid w:val="001B614C"/>
    <w:rsid w:val="001C68E8"/>
    <w:rsid w:val="001C7377"/>
    <w:rsid w:val="001F3BCE"/>
    <w:rsid w:val="002054EF"/>
    <w:rsid w:val="00213E57"/>
    <w:rsid w:val="00215B4A"/>
    <w:rsid w:val="002332E7"/>
    <w:rsid w:val="00237449"/>
    <w:rsid w:val="002377E7"/>
    <w:rsid w:val="00240F61"/>
    <w:rsid w:val="00254B16"/>
    <w:rsid w:val="002624EB"/>
    <w:rsid w:val="00271CA0"/>
    <w:rsid w:val="00290C8B"/>
    <w:rsid w:val="002A74CC"/>
    <w:rsid w:val="002B4BEF"/>
    <w:rsid w:val="002B6B00"/>
    <w:rsid w:val="002C18D9"/>
    <w:rsid w:val="002C761C"/>
    <w:rsid w:val="002D097A"/>
    <w:rsid w:val="002D15A4"/>
    <w:rsid w:val="002E039A"/>
    <w:rsid w:val="002E3A98"/>
    <w:rsid w:val="002F101B"/>
    <w:rsid w:val="00302C30"/>
    <w:rsid w:val="0031079C"/>
    <w:rsid w:val="00310912"/>
    <w:rsid w:val="003135F7"/>
    <w:rsid w:val="00315B22"/>
    <w:rsid w:val="003213EA"/>
    <w:rsid w:val="00327D06"/>
    <w:rsid w:val="00334A6D"/>
    <w:rsid w:val="003411CD"/>
    <w:rsid w:val="00342FFF"/>
    <w:rsid w:val="00345815"/>
    <w:rsid w:val="003532CD"/>
    <w:rsid w:val="00365F52"/>
    <w:rsid w:val="00366FAD"/>
    <w:rsid w:val="00370859"/>
    <w:rsid w:val="003731E6"/>
    <w:rsid w:val="00377032"/>
    <w:rsid w:val="00377FF7"/>
    <w:rsid w:val="0038000C"/>
    <w:rsid w:val="00393762"/>
    <w:rsid w:val="003976F0"/>
    <w:rsid w:val="003A5164"/>
    <w:rsid w:val="003A6E18"/>
    <w:rsid w:val="003B7935"/>
    <w:rsid w:val="003C476F"/>
    <w:rsid w:val="003C701F"/>
    <w:rsid w:val="003D2FE2"/>
    <w:rsid w:val="003D4AA7"/>
    <w:rsid w:val="003E68DD"/>
    <w:rsid w:val="003F3315"/>
    <w:rsid w:val="003F3FB4"/>
    <w:rsid w:val="00411055"/>
    <w:rsid w:val="004133D4"/>
    <w:rsid w:val="00415273"/>
    <w:rsid w:val="00420497"/>
    <w:rsid w:val="00422DA6"/>
    <w:rsid w:val="0042334A"/>
    <w:rsid w:val="00452B6B"/>
    <w:rsid w:val="00454511"/>
    <w:rsid w:val="00454C90"/>
    <w:rsid w:val="00460EBA"/>
    <w:rsid w:val="00464A08"/>
    <w:rsid w:val="004724A0"/>
    <w:rsid w:val="00474946"/>
    <w:rsid w:val="0048237E"/>
    <w:rsid w:val="00485FB6"/>
    <w:rsid w:val="004A0590"/>
    <w:rsid w:val="004A14C3"/>
    <w:rsid w:val="004B0DFB"/>
    <w:rsid w:val="004B16FD"/>
    <w:rsid w:val="004C6DB7"/>
    <w:rsid w:val="004D0CA9"/>
    <w:rsid w:val="004D6112"/>
    <w:rsid w:val="004E5B2F"/>
    <w:rsid w:val="004E62E0"/>
    <w:rsid w:val="004F5B9D"/>
    <w:rsid w:val="004F6533"/>
    <w:rsid w:val="00510288"/>
    <w:rsid w:val="00514C51"/>
    <w:rsid w:val="0052043E"/>
    <w:rsid w:val="0053070E"/>
    <w:rsid w:val="00541678"/>
    <w:rsid w:val="00545069"/>
    <w:rsid w:val="00550636"/>
    <w:rsid w:val="00555272"/>
    <w:rsid w:val="0056763A"/>
    <w:rsid w:val="005741E5"/>
    <w:rsid w:val="0057467F"/>
    <w:rsid w:val="00576953"/>
    <w:rsid w:val="00584630"/>
    <w:rsid w:val="00585EC7"/>
    <w:rsid w:val="00586285"/>
    <w:rsid w:val="00597E59"/>
    <w:rsid w:val="005A66AE"/>
    <w:rsid w:val="005A6F61"/>
    <w:rsid w:val="005B6C57"/>
    <w:rsid w:val="005B75C5"/>
    <w:rsid w:val="005C6E62"/>
    <w:rsid w:val="005D3568"/>
    <w:rsid w:val="005E0661"/>
    <w:rsid w:val="005E401D"/>
    <w:rsid w:val="005F04C3"/>
    <w:rsid w:val="005F1079"/>
    <w:rsid w:val="005F58CA"/>
    <w:rsid w:val="005F5A11"/>
    <w:rsid w:val="005F7EDD"/>
    <w:rsid w:val="0061743C"/>
    <w:rsid w:val="00621086"/>
    <w:rsid w:val="006241E5"/>
    <w:rsid w:val="00627011"/>
    <w:rsid w:val="00642F55"/>
    <w:rsid w:val="00643FBC"/>
    <w:rsid w:val="00647255"/>
    <w:rsid w:val="00650066"/>
    <w:rsid w:val="00650EA7"/>
    <w:rsid w:val="00655E48"/>
    <w:rsid w:val="00675D42"/>
    <w:rsid w:val="00676A55"/>
    <w:rsid w:val="00680B43"/>
    <w:rsid w:val="00694F00"/>
    <w:rsid w:val="00696D1B"/>
    <w:rsid w:val="006A5290"/>
    <w:rsid w:val="006C1033"/>
    <w:rsid w:val="006D5BE9"/>
    <w:rsid w:val="006F0DF8"/>
    <w:rsid w:val="006F4B0F"/>
    <w:rsid w:val="006F55D0"/>
    <w:rsid w:val="00701E71"/>
    <w:rsid w:val="00704AAB"/>
    <w:rsid w:val="0070521D"/>
    <w:rsid w:val="00722AD1"/>
    <w:rsid w:val="00723D06"/>
    <w:rsid w:val="007275F1"/>
    <w:rsid w:val="00732307"/>
    <w:rsid w:val="007331DD"/>
    <w:rsid w:val="0073342F"/>
    <w:rsid w:val="007367FB"/>
    <w:rsid w:val="00745CBE"/>
    <w:rsid w:val="00746969"/>
    <w:rsid w:val="00750439"/>
    <w:rsid w:val="007508DD"/>
    <w:rsid w:val="00775242"/>
    <w:rsid w:val="00781EFB"/>
    <w:rsid w:val="00791167"/>
    <w:rsid w:val="007924B5"/>
    <w:rsid w:val="007A2A59"/>
    <w:rsid w:val="007A5AE3"/>
    <w:rsid w:val="007A6154"/>
    <w:rsid w:val="007B02CF"/>
    <w:rsid w:val="007B18A2"/>
    <w:rsid w:val="007B3D58"/>
    <w:rsid w:val="007B6811"/>
    <w:rsid w:val="007B6FD1"/>
    <w:rsid w:val="007C3307"/>
    <w:rsid w:val="007C6DBF"/>
    <w:rsid w:val="007D4D1A"/>
    <w:rsid w:val="007E1B8E"/>
    <w:rsid w:val="007E56C9"/>
    <w:rsid w:val="007E5801"/>
    <w:rsid w:val="007F1541"/>
    <w:rsid w:val="007F567E"/>
    <w:rsid w:val="008105D8"/>
    <w:rsid w:val="00813229"/>
    <w:rsid w:val="00815983"/>
    <w:rsid w:val="00817AA8"/>
    <w:rsid w:val="00826D72"/>
    <w:rsid w:val="0085328B"/>
    <w:rsid w:val="00853AA3"/>
    <w:rsid w:val="0086041D"/>
    <w:rsid w:val="00863520"/>
    <w:rsid w:val="008700DB"/>
    <w:rsid w:val="0087047F"/>
    <w:rsid w:val="00881A08"/>
    <w:rsid w:val="008844CE"/>
    <w:rsid w:val="00891669"/>
    <w:rsid w:val="008A19CA"/>
    <w:rsid w:val="008A2431"/>
    <w:rsid w:val="008A3A4B"/>
    <w:rsid w:val="008B08B1"/>
    <w:rsid w:val="008B113C"/>
    <w:rsid w:val="008D3EE0"/>
    <w:rsid w:val="008D6D69"/>
    <w:rsid w:val="008E29EC"/>
    <w:rsid w:val="008F3B08"/>
    <w:rsid w:val="008F50C1"/>
    <w:rsid w:val="0090052A"/>
    <w:rsid w:val="00905BCB"/>
    <w:rsid w:val="00907FA7"/>
    <w:rsid w:val="009115A8"/>
    <w:rsid w:val="00912387"/>
    <w:rsid w:val="00920ABD"/>
    <w:rsid w:val="00924322"/>
    <w:rsid w:val="00933C84"/>
    <w:rsid w:val="009355AB"/>
    <w:rsid w:val="0094390A"/>
    <w:rsid w:val="009451AE"/>
    <w:rsid w:val="00945281"/>
    <w:rsid w:val="00947511"/>
    <w:rsid w:val="00954DF9"/>
    <w:rsid w:val="009608BC"/>
    <w:rsid w:val="009611B3"/>
    <w:rsid w:val="00962FED"/>
    <w:rsid w:val="0098223D"/>
    <w:rsid w:val="00983BF3"/>
    <w:rsid w:val="00992862"/>
    <w:rsid w:val="009A4A6C"/>
    <w:rsid w:val="009B0223"/>
    <w:rsid w:val="009C4D0C"/>
    <w:rsid w:val="009D6D40"/>
    <w:rsid w:val="009E247F"/>
    <w:rsid w:val="00A00579"/>
    <w:rsid w:val="00A00E25"/>
    <w:rsid w:val="00A05D9E"/>
    <w:rsid w:val="00A114E0"/>
    <w:rsid w:val="00A20E46"/>
    <w:rsid w:val="00A35B97"/>
    <w:rsid w:val="00A43424"/>
    <w:rsid w:val="00A53F57"/>
    <w:rsid w:val="00A612D6"/>
    <w:rsid w:val="00A670D4"/>
    <w:rsid w:val="00A758FB"/>
    <w:rsid w:val="00A83D68"/>
    <w:rsid w:val="00A91407"/>
    <w:rsid w:val="00A94B37"/>
    <w:rsid w:val="00A96B20"/>
    <w:rsid w:val="00AC585D"/>
    <w:rsid w:val="00AC7852"/>
    <w:rsid w:val="00AD106C"/>
    <w:rsid w:val="00AD278D"/>
    <w:rsid w:val="00AD4FCB"/>
    <w:rsid w:val="00AE2ED8"/>
    <w:rsid w:val="00AF5DA6"/>
    <w:rsid w:val="00B02250"/>
    <w:rsid w:val="00B17D04"/>
    <w:rsid w:val="00B25B54"/>
    <w:rsid w:val="00B3682C"/>
    <w:rsid w:val="00B40771"/>
    <w:rsid w:val="00B44954"/>
    <w:rsid w:val="00B56B26"/>
    <w:rsid w:val="00B57BB2"/>
    <w:rsid w:val="00B62FD4"/>
    <w:rsid w:val="00B63528"/>
    <w:rsid w:val="00B84823"/>
    <w:rsid w:val="00B903B6"/>
    <w:rsid w:val="00B905AF"/>
    <w:rsid w:val="00BC400E"/>
    <w:rsid w:val="00BC7605"/>
    <w:rsid w:val="00BD3558"/>
    <w:rsid w:val="00BD5E96"/>
    <w:rsid w:val="00BE2FA9"/>
    <w:rsid w:val="00BE3FE2"/>
    <w:rsid w:val="00BF39E7"/>
    <w:rsid w:val="00C01F5E"/>
    <w:rsid w:val="00C106FA"/>
    <w:rsid w:val="00C25CE5"/>
    <w:rsid w:val="00C31D3D"/>
    <w:rsid w:val="00C435F7"/>
    <w:rsid w:val="00C660CF"/>
    <w:rsid w:val="00C7518F"/>
    <w:rsid w:val="00C76DB5"/>
    <w:rsid w:val="00C8155D"/>
    <w:rsid w:val="00C94346"/>
    <w:rsid w:val="00CA6C2B"/>
    <w:rsid w:val="00CB07B6"/>
    <w:rsid w:val="00CB7A1B"/>
    <w:rsid w:val="00CC05A7"/>
    <w:rsid w:val="00CC5B74"/>
    <w:rsid w:val="00CD0B2E"/>
    <w:rsid w:val="00CF0568"/>
    <w:rsid w:val="00CF2FB1"/>
    <w:rsid w:val="00D00AE4"/>
    <w:rsid w:val="00D00DCD"/>
    <w:rsid w:val="00D06FD7"/>
    <w:rsid w:val="00D10E5B"/>
    <w:rsid w:val="00D12567"/>
    <w:rsid w:val="00D1415F"/>
    <w:rsid w:val="00D163C0"/>
    <w:rsid w:val="00D21E8F"/>
    <w:rsid w:val="00D23E9F"/>
    <w:rsid w:val="00D316ED"/>
    <w:rsid w:val="00D42A2F"/>
    <w:rsid w:val="00D435FB"/>
    <w:rsid w:val="00D4474F"/>
    <w:rsid w:val="00D738DB"/>
    <w:rsid w:val="00D76DE9"/>
    <w:rsid w:val="00D83E27"/>
    <w:rsid w:val="00D84E3D"/>
    <w:rsid w:val="00D855EC"/>
    <w:rsid w:val="00D939E1"/>
    <w:rsid w:val="00D9406C"/>
    <w:rsid w:val="00D9422B"/>
    <w:rsid w:val="00D971F4"/>
    <w:rsid w:val="00DA1D52"/>
    <w:rsid w:val="00DA26FD"/>
    <w:rsid w:val="00DA4876"/>
    <w:rsid w:val="00DA58E8"/>
    <w:rsid w:val="00DA6212"/>
    <w:rsid w:val="00DB0E2D"/>
    <w:rsid w:val="00DC7203"/>
    <w:rsid w:val="00DD1327"/>
    <w:rsid w:val="00DD2828"/>
    <w:rsid w:val="00DD7D34"/>
    <w:rsid w:val="00DE1E97"/>
    <w:rsid w:val="00DE3BED"/>
    <w:rsid w:val="00DE4E6F"/>
    <w:rsid w:val="00DE77E5"/>
    <w:rsid w:val="00E029F6"/>
    <w:rsid w:val="00E06AAE"/>
    <w:rsid w:val="00E13BFE"/>
    <w:rsid w:val="00E3004D"/>
    <w:rsid w:val="00E36B2A"/>
    <w:rsid w:val="00E40E24"/>
    <w:rsid w:val="00E509F6"/>
    <w:rsid w:val="00E55195"/>
    <w:rsid w:val="00E5722E"/>
    <w:rsid w:val="00E63B1B"/>
    <w:rsid w:val="00E725E0"/>
    <w:rsid w:val="00E727A1"/>
    <w:rsid w:val="00E72D85"/>
    <w:rsid w:val="00E759D1"/>
    <w:rsid w:val="00E77FD3"/>
    <w:rsid w:val="00E8360E"/>
    <w:rsid w:val="00E9266A"/>
    <w:rsid w:val="00EB7551"/>
    <w:rsid w:val="00EC1EA7"/>
    <w:rsid w:val="00EC3A23"/>
    <w:rsid w:val="00ED08C6"/>
    <w:rsid w:val="00EF431D"/>
    <w:rsid w:val="00EF6F10"/>
    <w:rsid w:val="00F07707"/>
    <w:rsid w:val="00F126AC"/>
    <w:rsid w:val="00F17731"/>
    <w:rsid w:val="00F21CFA"/>
    <w:rsid w:val="00F40797"/>
    <w:rsid w:val="00F44CC2"/>
    <w:rsid w:val="00F44D7C"/>
    <w:rsid w:val="00F47D93"/>
    <w:rsid w:val="00F51005"/>
    <w:rsid w:val="00F51024"/>
    <w:rsid w:val="00F5768C"/>
    <w:rsid w:val="00F67447"/>
    <w:rsid w:val="00F6750B"/>
    <w:rsid w:val="00F67EDF"/>
    <w:rsid w:val="00F735D7"/>
    <w:rsid w:val="00F75F5B"/>
    <w:rsid w:val="00F84968"/>
    <w:rsid w:val="00F85275"/>
    <w:rsid w:val="00F868FD"/>
    <w:rsid w:val="00F87C35"/>
    <w:rsid w:val="00F91940"/>
    <w:rsid w:val="00F9405B"/>
    <w:rsid w:val="00F96FEC"/>
    <w:rsid w:val="00FA7740"/>
    <w:rsid w:val="00FC4D8D"/>
    <w:rsid w:val="00FD2342"/>
    <w:rsid w:val="00FD49D5"/>
    <w:rsid w:val="00FD5940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68359-2354-4136-B32F-457F1BE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8C"/>
    <w:pPr>
      <w:spacing w:after="200" w:line="276" w:lineRule="auto"/>
    </w:pPr>
    <w:rPr>
      <w:rFonts w:ascii="Segoe UI" w:hAnsi="Segoe U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F57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ps">
    <w:name w:val="hps"/>
    <w:basedOn w:val="DefaultParagraphFont"/>
    <w:qFormat/>
    <w:rsid w:val="00F5768C"/>
  </w:style>
  <w:style w:type="paragraph" w:customStyle="1" w:styleId="Normal0">
    <w:name w:val="[Normal]"/>
    <w:qFormat/>
    <w:rsid w:val="00F5768C"/>
    <w:pPr>
      <w:widowControl w:val="0"/>
      <w:spacing w:after="0" w:line="240" w:lineRule="auto"/>
    </w:pPr>
    <w:rPr>
      <w:rFonts w:ascii="Arial" w:hAnsi="Arial" w:cs="Arial"/>
      <w:sz w:val="24"/>
      <w:szCs w:val="24"/>
      <w:lang w:eastAsia="nl-NL"/>
    </w:rPr>
  </w:style>
  <w:style w:type="table" w:styleId="TableGrid">
    <w:name w:val="Table Grid"/>
    <w:basedOn w:val="TableNormal"/>
    <w:uiPriority w:val="59"/>
    <w:qFormat/>
    <w:rsid w:val="00F5768C"/>
    <w:pPr>
      <w:spacing w:after="0" w:line="240" w:lineRule="auto"/>
    </w:pPr>
    <w:rPr>
      <w:sz w:val="20"/>
      <w:szCs w:val="20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F5768C"/>
    <w:pPr>
      <w:spacing w:after="0" w:line="240" w:lineRule="auto"/>
    </w:pPr>
    <w:rPr>
      <w:rFonts w:eastAsiaTheme="minorEastAsia" w:hAnsi="Segoe UI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Groot</dc:creator>
  <cp:lastModifiedBy>Deepika Kannan</cp:lastModifiedBy>
  <cp:revision>7</cp:revision>
  <dcterms:created xsi:type="dcterms:W3CDTF">2019-11-28T09:20:00Z</dcterms:created>
  <dcterms:modified xsi:type="dcterms:W3CDTF">2019-12-12T00:57:00Z</dcterms:modified>
</cp:coreProperties>
</file>