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BED" w:rsidRPr="00F57008" w:rsidRDefault="00176BED" w:rsidP="007C6A81">
      <w:pPr>
        <w:jc w:val="center"/>
        <w:rPr>
          <w:rFonts w:ascii="Times New Roman" w:hAnsi="Times New Roman" w:cs="Times New Roman"/>
          <w:b/>
          <w:sz w:val="20"/>
          <w:szCs w:val="20"/>
          <w:u w:val="single"/>
        </w:rPr>
      </w:pPr>
      <w:r w:rsidRPr="00F57008">
        <w:rPr>
          <w:rFonts w:ascii="Times New Roman" w:hAnsi="Times New Roman" w:cs="Times New Roman"/>
          <w:b/>
          <w:sz w:val="20"/>
          <w:szCs w:val="20"/>
          <w:u w:val="single"/>
        </w:rPr>
        <w:t>Supplementary information</w:t>
      </w:r>
    </w:p>
    <w:p w:rsidR="00C842DE" w:rsidRPr="00F57008" w:rsidRDefault="00C842DE" w:rsidP="00C842DE">
      <w:pPr>
        <w:autoSpaceDE w:val="0"/>
        <w:autoSpaceDN w:val="0"/>
        <w:adjustRightInd w:val="0"/>
        <w:spacing w:line="360" w:lineRule="auto"/>
        <w:jc w:val="both"/>
        <w:rPr>
          <w:rFonts w:ascii="Times New Roman" w:hAnsi="Times New Roman" w:cs="Times New Roman"/>
          <w:b/>
          <w:sz w:val="20"/>
          <w:szCs w:val="20"/>
          <w:u w:val="single"/>
        </w:rPr>
      </w:pPr>
      <w:r w:rsidRPr="00F57008">
        <w:rPr>
          <w:rFonts w:ascii="Times New Roman" w:hAnsi="Times New Roman" w:cs="Times New Roman"/>
          <w:bCs/>
          <w:sz w:val="20"/>
          <w:szCs w:val="20"/>
        </w:rPr>
        <w:t xml:space="preserve">Genotypic validation of extended-spectrum β-lactamase and virulence factors in multidrug resistance </w:t>
      </w:r>
      <w:proofErr w:type="spellStart"/>
      <w:r w:rsidRPr="00F57008">
        <w:rPr>
          <w:rFonts w:ascii="Times New Roman" w:hAnsi="Times New Roman" w:cs="Times New Roman"/>
          <w:bCs/>
          <w:i/>
          <w:iCs/>
          <w:sz w:val="20"/>
          <w:szCs w:val="20"/>
        </w:rPr>
        <w:t>Klebsiellae</w:t>
      </w:r>
      <w:proofErr w:type="spellEnd"/>
      <w:r w:rsidRPr="00F57008">
        <w:rPr>
          <w:rFonts w:ascii="Times New Roman" w:hAnsi="Times New Roman" w:cs="Times New Roman"/>
          <w:bCs/>
          <w:i/>
          <w:iCs/>
          <w:sz w:val="20"/>
          <w:szCs w:val="20"/>
        </w:rPr>
        <w:t xml:space="preserve"> pneumoniae</w:t>
      </w:r>
      <w:r w:rsidRPr="00F57008">
        <w:rPr>
          <w:rFonts w:ascii="Times New Roman" w:hAnsi="Times New Roman" w:cs="Times New Roman"/>
          <w:bCs/>
          <w:sz w:val="20"/>
          <w:szCs w:val="20"/>
        </w:rPr>
        <w:t xml:space="preserve"> in an Indian hospital.</w:t>
      </w:r>
    </w:p>
    <w:p w:rsidR="00176BED" w:rsidRPr="00F57008" w:rsidRDefault="00176BED" w:rsidP="00DA76F7">
      <w:pPr>
        <w:autoSpaceDE w:val="0"/>
        <w:autoSpaceDN w:val="0"/>
        <w:adjustRightInd w:val="0"/>
        <w:jc w:val="both"/>
        <w:rPr>
          <w:rFonts w:ascii="Times New Roman" w:hAnsi="Times New Roman" w:cs="Times New Roman"/>
          <w:bCs/>
          <w:sz w:val="20"/>
          <w:szCs w:val="20"/>
        </w:rPr>
      </w:pPr>
      <w:r w:rsidRPr="00F57008">
        <w:rPr>
          <w:rFonts w:ascii="Times New Roman" w:eastAsia="MS Mincho" w:hAnsi="Times New Roman" w:cs="Times New Roman"/>
          <w:color w:val="000000" w:themeColor="text1"/>
          <w:sz w:val="20"/>
          <w:szCs w:val="20"/>
        </w:rPr>
        <w:t xml:space="preserve">Rajesh Kumar Sahoo </w:t>
      </w:r>
      <w:r w:rsidRPr="00F57008">
        <w:rPr>
          <w:rFonts w:ascii="Times New Roman" w:eastAsia="MS Mincho" w:hAnsi="Times New Roman" w:cs="Times New Roman"/>
          <w:color w:val="000000" w:themeColor="text1"/>
          <w:sz w:val="20"/>
          <w:szCs w:val="20"/>
          <w:vertAlign w:val="superscript"/>
        </w:rPr>
        <w:t>a</w:t>
      </w:r>
      <w:r w:rsidRPr="00F57008">
        <w:rPr>
          <w:rFonts w:ascii="Times New Roman" w:eastAsia="MS Mincho" w:hAnsi="Times New Roman" w:cs="Times New Roman"/>
          <w:color w:val="000000" w:themeColor="text1"/>
          <w:sz w:val="20"/>
          <w:szCs w:val="20"/>
        </w:rPr>
        <w:t xml:space="preserve">, Aradhana Das </w:t>
      </w:r>
      <w:r w:rsidRPr="00F57008">
        <w:rPr>
          <w:rFonts w:ascii="Times New Roman" w:eastAsia="MS Mincho" w:hAnsi="Times New Roman" w:cs="Times New Roman"/>
          <w:color w:val="000000" w:themeColor="text1"/>
          <w:sz w:val="20"/>
          <w:szCs w:val="20"/>
          <w:vertAlign w:val="superscript"/>
        </w:rPr>
        <w:t>a</w:t>
      </w:r>
      <w:r w:rsidRPr="00F57008">
        <w:rPr>
          <w:rFonts w:ascii="Times New Roman" w:eastAsia="MS Mincho" w:hAnsi="Times New Roman" w:cs="Times New Roman"/>
          <w:color w:val="000000" w:themeColor="text1"/>
          <w:sz w:val="20"/>
          <w:szCs w:val="20"/>
        </w:rPr>
        <w:t xml:space="preserve">, </w:t>
      </w:r>
      <w:proofErr w:type="spellStart"/>
      <w:r w:rsidRPr="00F57008">
        <w:rPr>
          <w:rFonts w:ascii="Times New Roman" w:eastAsia="MS Mincho" w:hAnsi="Times New Roman" w:cs="Times New Roman"/>
          <w:color w:val="000000" w:themeColor="text1"/>
          <w:sz w:val="20"/>
          <w:szCs w:val="20"/>
        </w:rPr>
        <w:t>Mahendra</w:t>
      </w:r>
      <w:proofErr w:type="spellEnd"/>
      <w:r w:rsidRPr="00F57008">
        <w:rPr>
          <w:rFonts w:ascii="Times New Roman" w:eastAsia="MS Mincho" w:hAnsi="Times New Roman" w:cs="Times New Roman"/>
          <w:color w:val="000000" w:themeColor="text1"/>
          <w:sz w:val="20"/>
          <w:szCs w:val="20"/>
        </w:rPr>
        <w:t xml:space="preserve"> Gaur </w:t>
      </w:r>
      <w:r w:rsidRPr="00F57008">
        <w:rPr>
          <w:rFonts w:ascii="Times New Roman" w:eastAsia="MS Mincho" w:hAnsi="Times New Roman" w:cs="Times New Roman"/>
          <w:color w:val="000000" w:themeColor="text1"/>
          <w:sz w:val="20"/>
          <w:szCs w:val="20"/>
          <w:vertAlign w:val="superscript"/>
        </w:rPr>
        <w:t>a</w:t>
      </w:r>
      <w:r w:rsidRPr="00F57008">
        <w:rPr>
          <w:rFonts w:ascii="Times New Roman" w:eastAsia="MS Mincho" w:hAnsi="Times New Roman" w:cs="Times New Roman"/>
          <w:color w:val="000000" w:themeColor="text1"/>
          <w:sz w:val="20"/>
          <w:szCs w:val="20"/>
        </w:rPr>
        <w:t xml:space="preserve">, Ankita </w:t>
      </w:r>
      <w:proofErr w:type="spellStart"/>
      <w:r w:rsidRPr="00F57008">
        <w:rPr>
          <w:rFonts w:ascii="Times New Roman" w:eastAsia="MS Mincho" w:hAnsi="Times New Roman" w:cs="Times New Roman"/>
          <w:color w:val="000000" w:themeColor="text1"/>
          <w:sz w:val="20"/>
          <w:szCs w:val="20"/>
        </w:rPr>
        <w:t>Pattanaik</w:t>
      </w:r>
      <w:proofErr w:type="spellEnd"/>
      <w:r w:rsidRPr="00F57008">
        <w:rPr>
          <w:rFonts w:ascii="Times New Roman" w:eastAsia="MS Mincho" w:hAnsi="Times New Roman" w:cs="Times New Roman"/>
          <w:color w:val="000000" w:themeColor="text1"/>
          <w:sz w:val="20"/>
          <w:szCs w:val="20"/>
        </w:rPr>
        <w:t xml:space="preserve"> </w:t>
      </w:r>
      <w:proofErr w:type="spellStart"/>
      <w:r w:rsidRPr="00F57008">
        <w:rPr>
          <w:rFonts w:ascii="Times New Roman" w:eastAsia="MS Mincho" w:hAnsi="Times New Roman" w:cs="Times New Roman"/>
          <w:color w:val="000000" w:themeColor="text1"/>
          <w:sz w:val="20"/>
          <w:szCs w:val="20"/>
          <w:vertAlign w:val="superscript"/>
        </w:rPr>
        <w:t>a</w:t>
      </w:r>
      <w:r w:rsidRPr="00F57008">
        <w:rPr>
          <w:rFonts w:ascii="Times New Roman" w:eastAsia="MS Mincho" w:hAnsi="Times New Roman" w:cs="Times New Roman"/>
          <w:color w:val="000000" w:themeColor="text1"/>
          <w:sz w:val="20"/>
          <w:szCs w:val="20"/>
        </w:rPr>
        <w:t>,</w:t>
      </w:r>
      <w:r w:rsidR="00401AEE" w:rsidRPr="00F57008">
        <w:rPr>
          <w:rFonts w:ascii="Times New Roman" w:eastAsia="MS Mincho" w:hAnsi="Times New Roman" w:cs="Times New Roman"/>
          <w:color w:val="000000" w:themeColor="text1"/>
          <w:sz w:val="20"/>
          <w:szCs w:val="20"/>
        </w:rPr>
        <w:t>Saubhagini</w:t>
      </w:r>
      <w:proofErr w:type="spellEnd"/>
      <w:r w:rsidR="00401AEE" w:rsidRPr="00F57008">
        <w:rPr>
          <w:rFonts w:ascii="Times New Roman" w:eastAsia="MS Mincho" w:hAnsi="Times New Roman" w:cs="Times New Roman"/>
          <w:color w:val="000000" w:themeColor="text1"/>
          <w:sz w:val="20"/>
          <w:szCs w:val="20"/>
        </w:rPr>
        <w:t xml:space="preserve"> </w:t>
      </w:r>
      <w:proofErr w:type="spellStart"/>
      <w:r w:rsidR="00401AEE" w:rsidRPr="00F57008">
        <w:rPr>
          <w:rFonts w:ascii="Times New Roman" w:eastAsia="MS Mincho" w:hAnsi="Times New Roman" w:cs="Times New Roman"/>
          <w:color w:val="000000" w:themeColor="text1"/>
          <w:sz w:val="20"/>
          <w:szCs w:val="20"/>
        </w:rPr>
        <w:t>Sahoo</w:t>
      </w:r>
      <w:r w:rsidR="00401AEE" w:rsidRPr="00F57008">
        <w:rPr>
          <w:rFonts w:ascii="Times New Roman" w:eastAsia="MS Mincho" w:hAnsi="Times New Roman" w:cs="Times New Roman"/>
          <w:color w:val="000000" w:themeColor="text1"/>
          <w:sz w:val="20"/>
          <w:szCs w:val="20"/>
          <w:vertAlign w:val="superscript"/>
        </w:rPr>
        <w:t>a</w:t>
      </w:r>
      <w:proofErr w:type="spellEnd"/>
      <w:r w:rsidRPr="00F57008">
        <w:rPr>
          <w:rFonts w:ascii="Times New Roman" w:eastAsia="MS Mincho" w:hAnsi="Times New Roman" w:cs="Times New Roman"/>
          <w:color w:val="000000" w:themeColor="text1"/>
          <w:sz w:val="20"/>
          <w:szCs w:val="20"/>
        </w:rPr>
        <w:t xml:space="preserve"> </w:t>
      </w:r>
      <w:r w:rsidR="00401AEE" w:rsidRPr="00F57008">
        <w:rPr>
          <w:rFonts w:ascii="Times New Roman" w:eastAsia="MS Mincho" w:hAnsi="Times New Roman" w:cs="Times New Roman"/>
          <w:color w:val="000000" w:themeColor="text1"/>
          <w:sz w:val="20"/>
          <w:szCs w:val="20"/>
        </w:rPr>
        <w:t>,</w:t>
      </w:r>
      <w:r w:rsidRPr="00F57008">
        <w:rPr>
          <w:rFonts w:ascii="Times New Roman" w:eastAsia="MS Mincho" w:hAnsi="Times New Roman" w:cs="Times New Roman"/>
          <w:sz w:val="20"/>
          <w:szCs w:val="20"/>
        </w:rPr>
        <w:t xml:space="preserve">Nagen Kumar </w:t>
      </w:r>
      <w:proofErr w:type="spellStart"/>
      <w:r w:rsidRPr="00F57008">
        <w:rPr>
          <w:rFonts w:ascii="Times New Roman" w:eastAsia="MS Mincho" w:hAnsi="Times New Roman" w:cs="Times New Roman"/>
          <w:sz w:val="20"/>
          <w:szCs w:val="20"/>
        </w:rPr>
        <w:t>Debata</w:t>
      </w:r>
      <w:proofErr w:type="spellEnd"/>
      <w:r w:rsidRPr="00F57008">
        <w:rPr>
          <w:rFonts w:ascii="Times New Roman" w:eastAsia="MS Mincho" w:hAnsi="Times New Roman" w:cs="Times New Roman"/>
          <w:sz w:val="20"/>
          <w:szCs w:val="20"/>
        </w:rPr>
        <w:t xml:space="preserve"> </w:t>
      </w:r>
      <w:r w:rsidRPr="00F57008">
        <w:rPr>
          <w:rFonts w:ascii="Times New Roman" w:eastAsia="MS Mincho" w:hAnsi="Times New Roman" w:cs="Times New Roman"/>
          <w:sz w:val="20"/>
          <w:szCs w:val="20"/>
          <w:vertAlign w:val="superscript"/>
        </w:rPr>
        <w:t>b</w:t>
      </w:r>
      <w:r w:rsidRPr="00F57008">
        <w:rPr>
          <w:rFonts w:ascii="Times New Roman" w:eastAsia="MS Mincho" w:hAnsi="Times New Roman" w:cs="Times New Roman"/>
          <w:sz w:val="20"/>
          <w:szCs w:val="20"/>
        </w:rPr>
        <w:t xml:space="preserve">, </w:t>
      </w:r>
      <w:proofErr w:type="spellStart"/>
      <w:r w:rsidRPr="00F57008">
        <w:rPr>
          <w:rFonts w:ascii="Times New Roman" w:hAnsi="Times New Roman" w:cs="Times New Roman"/>
          <w:color w:val="000000" w:themeColor="text1"/>
          <w:sz w:val="20"/>
          <w:szCs w:val="20"/>
        </w:rPr>
        <w:t>Enketeswara</w:t>
      </w:r>
      <w:proofErr w:type="spellEnd"/>
      <w:r w:rsidRPr="00F57008">
        <w:rPr>
          <w:rFonts w:ascii="Times New Roman" w:hAnsi="Times New Roman" w:cs="Times New Roman"/>
          <w:color w:val="000000" w:themeColor="text1"/>
          <w:sz w:val="20"/>
          <w:szCs w:val="20"/>
        </w:rPr>
        <w:t xml:space="preserve"> Subudhi </w:t>
      </w:r>
      <w:r w:rsidRPr="00F57008">
        <w:rPr>
          <w:rFonts w:ascii="Times New Roman" w:hAnsi="Times New Roman" w:cs="Times New Roman"/>
          <w:color w:val="000000" w:themeColor="text1"/>
          <w:sz w:val="20"/>
          <w:szCs w:val="20"/>
          <w:vertAlign w:val="superscript"/>
        </w:rPr>
        <w:t>a</w:t>
      </w:r>
      <w:r w:rsidRPr="00F57008">
        <w:rPr>
          <w:rFonts w:ascii="Times New Roman" w:hAnsi="Times New Roman" w:cs="Times New Roman"/>
          <w:color w:val="000000" w:themeColor="text1"/>
          <w:sz w:val="20"/>
          <w:szCs w:val="20"/>
        </w:rPr>
        <w:t>*</w:t>
      </w:r>
    </w:p>
    <w:p w:rsidR="00176BED" w:rsidRPr="00F57008" w:rsidRDefault="00176BED" w:rsidP="00DA76F7">
      <w:pPr>
        <w:autoSpaceDE w:val="0"/>
        <w:autoSpaceDN w:val="0"/>
        <w:adjustRightInd w:val="0"/>
        <w:jc w:val="both"/>
        <w:rPr>
          <w:rFonts w:ascii="Times New Roman" w:eastAsia="Times New Roman" w:hAnsi="Times New Roman" w:cs="Times New Roman"/>
          <w:color w:val="000000" w:themeColor="text1"/>
          <w:sz w:val="20"/>
          <w:szCs w:val="20"/>
        </w:rPr>
      </w:pPr>
      <w:r w:rsidRPr="00F57008">
        <w:rPr>
          <w:rFonts w:ascii="Times New Roman" w:eastAsia="Times New Roman" w:hAnsi="Times New Roman" w:cs="Times New Roman"/>
          <w:color w:val="000000" w:themeColor="text1"/>
          <w:sz w:val="20"/>
          <w:szCs w:val="20"/>
          <w:vertAlign w:val="superscript"/>
        </w:rPr>
        <w:t xml:space="preserve">a </w:t>
      </w:r>
      <w:r w:rsidRPr="00F57008">
        <w:rPr>
          <w:rFonts w:ascii="Times New Roman" w:eastAsia="Times New Roman" w:hAnsi="Times New Roman" w:cs="Times New Roman"/>
          <w:color w:val="000000" w:themeColor="text1"/>
          <w:sz w:val="20"/>
          <w:szCs w:val="20"/>
        </w:rPr>
        <w:t xml:space="preserve">Centre for Biotechnology, </w:t>
      </w:r>
      <w:r w:rsidRPr="00F57008">
        <w:rPr>
          <w:rFonts w:ascii="Times New Roman" w:hAnsi="Times New Roman" w:cs="Times New Roman"/>
          <w:bCs/>
          <w:color w:val="000000" w:themeColor="text1"/>
          <w:sz w:val="20"/>
          <w:szCs w:val="20"/>
        </w:rPr>
        <w:t xml:space="preserve">School of Pharmaceutical Sciences, </w:t>
      </w:r>
      <w:r w:rsidRPr="00F57008">
        <w:rPr>
          <w:rFonts w:ascii="Times New Roman" w:eastAsia="Times New Roman" w:hAnsi="Times New Roman" w:cs="Times New Roman"/>
          <w:color w:val="000000" w:themeColor="text1"/>
          <w:sz w:val="20"/>
          <w:szCs w:val="20"/>
        </w:rPr>
        <w:t>Siksha ‘O’ Anusandhan (Deemed to be University), Bhubaneswar, Odisha, India.</w:t>
      </w:r>
    </w:p>
    <w:p w:rsidR="00176BED" w:rsidRPr="00F57008" w:rsidRDefault="00176BED" w:rsidP="00DA76F7">
      <w:pPr>
        <w:jc w:val="both"/>
        <w:rPr>
          <w:rFonts w:ascii="Times New Roman" w:eastAsia="MS Mincho" w:hAnsi="Times New Roman" w:cs="Times New Roman"/>
          <w:sz w:val="20"/>
          <w:szCs w:val="20"/>
        </w:rPr>
      </w:pPr>
      <w:r w:rsidRPr="00F57008">
        <w:rPr>
          <w:rFonts w:ascii="Times New Roman" w:eastAsia="MS Mincho" w:hAnsi="Times New Roman" w:cs="Times New Roman"/>
          <w:sz w:val="20"/>
          <w:szCs w:val="20"/>
          <w:vertAlign w:val="superscript"/>
        </w:rPr>
        <w:t xml:space="preserve">b </w:t>
      </w:r>
      <w:r w:rsidRPr="00F57008">
        <w:rPr>
          <w:rFonts w:ascii="Times New Roman" w:eastAsia="MS Mincho" w:hAnsi="Times New Roman" w:cs="Times New Roman"/>
          <w:sz w:val="20"/>
          <w:szCs w:val="20"/>
        </w:rPr>
        <w:t xml:space="preserve">Department of Microbiology, Institute of Medical Science and SUM Hospital, Siksha ‘O’ Anusandhan (Deemed to be University), </w:t>
      </w:r>
      <w:r w:rsidRPr="00F57008">
        <w:rPr>
          <w:rFonts w:ascii="Times New Roman" w:eastAsia="Times New Roman" w:hAnsi="Times New Roman" w:cs="Times New Roman"/>
          <w:color w:val="000000" w:themeColor="text1"/>
          <w:sz w:val="20"/>
          <w:szCs w:val="20"/>
        </w:rPr>
        <w:t>Bhubaneswar</w:t>
      </w:r>
      <w:r w:rsidRPr="00F57008">
        <w:rPr>
          <w:rFonts w:ascii="Times New Roman" w:eastAsia="MS Mincho" w:hAnsi="Times New Roman" w:cs="Times New Roman"/>
          <w:sz w:val="20"/>
          <w:szCs w:val="20"/>
        </w:rPr>
        <w:t>, Odisha, India.</w:t>
      </w:r>
    </w:p>
    <w:p w:rsidR="00DA76F7" w:rsidRPr="00F57008" w:rsidRDefault="00DA76F7" w:rsidP="00DA76F7">
      <w:pPr>
        <w:spacing w:after="0"/>
        <w:jc w:val="both"/>
        <w:rPr>
          <w:rFonts w:ascii="Times New Roman" w:eastAsia="Times New Roman" w:hAnsi="Times New Roman" w:cs="Times New Roman"/>
          <w:color w:val="000000" w:themeColor="text1"/>
          <w:sz w:val="20"/>
          <w:szCs w:val="20"/>
        </w:rPr>
      </w:pPr>
      <w:r w:rsidRPr="00F57008">
        <w:rPr>
          <w:rFonts w:ascii="Times New Roman" w:eastAsia="Times New Roman" w:hAnsi="Times New Roman" w:cs="Times New Roman"/>
          <w:b/>
          <w:color w:val="000000" w:themeColor="text1"/>
          <w:sz w:val="20"/>
          <w:szCs w:val="20"/>
        </w:rPr>
        <w:t xml:space="preserve">*Corresponding Author: </w:t>
      </w:r>
      <w:hyperlink r:id="rId8" w:history="1">
        <w:r w:rsidRPr="00F57008">
          <w:rPr>
            <w:rFonts w:ascii="Times New Roman" w:eastAsia="Times New Roman" w:hAnsi="Times New Roman" w:cs="Times New Roman"/>
            <w:color w:val="000000" w:themeColor="text1"/>
            <w:sz w:val="20"/>
            <w:szCs w:val="20"/>
          </w:rPr>
          <w:t>enketeswarasubudhi@soa.ac.in</w:t>
        </w:r>
      </w:hyperlink>
      <w:r w:rsidRPr="00F57008">
        <w:rPr>
          <w:rFonts w:ascii="Times New Roman" w:eastAsia="Times New Roman" w:hAnsi="Times New Roman" w:cs="Times New Roman"/>
          <w:color w:val="000000" w:themeColor="text1"/>
          <w:sz w:val="20"/>
          <w:szCs w:val="20"/>
        </w:rPr>
        <w:t>, Mobile: +91-9861075829</w:t>
      </w:r>
    </w:p>
    <w:p w:rsidR="00401AEE" w:rsidRPr="00F57008" w:rsidRDefault="00401AEE" w:rsidP="00DA76F7">
      <w:pPr>
        <w:spacing w:after="0"/>
        <w:jc w:val="both"/>
        <w:rPr>
          <w:rFonts w:ascii="Times New Roman" w:eastAsia="Times New Roman" w:hAnsi="Times New Roman" w:cs="Times New Roman"/>
          <w:color w:val="000000" w:themeColor="text1"/>
          <w:sz w:val="20"/>
          <w:szCs w:val="20"/>
        </w:rPr>
      </w:pPr>
      <w:r w:rsidRPr="00F57008">
        <w:rPr>
          <w:rFonts w:ascii="Times New Roman" w:eastAsia="Times New Roman" w:hAnsi="Times New Roman" w:cs="Times New Roman"/>
          <w:color w:val="000000" w:themeColor="text1"/>
          <w:sz w:val="20"/>
          <w:szCs w:val="20"/>
        </w:rPr>
        <w:tab/>
      </w:r>
      <w:r w:rsidRPr="00F57008">
        <w:rPr>
          <w:rFonts w:ascii="Times New Roman" w:eastAsia="Times New Roman" w:hAnsi="Times New Roman" w:cs="Times New Roman"/>
          <w:color w:val="000000" w:themeColor="text1"/>
          <w:sz w:val="20"/>
          <w:szCs w:val="20"/>
        </w:rPr>
        <w:tab/>
      </w:r>
      <w:r w:rsidRPr="00F57008">
        <w:rPr>
          <w:rFonts w:ascii="Times New Roman" w:eastAsia="Times New Roman" w:hAnsi="Times New Roman" w:cs="Times New Roman"/>
          <w:color w:val="000000" w:themeColor="text1"/>
          <w:sz w:val="20"/>
          <w:szCs w:val="20"/>
        </w:rPr>
        <w:tab/>
        <w:t xml:space="preserve">        </w:t>
      </w:r>
      <w:r w:rsidRPr="00F57008">
        <w:rPr>
          <w:rFonts w:ascii="Times New Roman" w:eastAsia="Times New Roman" w:hAnsi="Times New Roman" w:cs="Times New Roman"/>
          <w:color w:val="000000" w:themeColor="text1"/>
          <w:sz w:val="20"/>
          <w:szCs w:val="20"/>
        </w:rPr>
        <w:tab/>
      </w:r>
      <w:r w:rsidRPr="00F57008">
        <w:rPr>
          <w:rFonts w:ascii="Times New Roman" w:eastAsia="Times New Roman" w:hAnsi="Times New Roman" w:cs="Times New Roman"/>
          <w:color w:val="000000" w:themeColor="text1"/>
          <w:sz w:val="20"/>
          <w:szCs w:val="20"/>
        </w:rPr>
        <w:tab/>
      </w:r>
      <w:r w:rsidRPr="00F57008">
        <w:rPr>
          <w:rFonts w:ascii="Times New Roman" w:eastAsia="Times New Roman" w:hAnsi="Times New Roman" w:cs="Times New Roman"/>
          <w:color w:val="000000" w:themeColor="text1"/>
          <w:sz w:val="20"/>
          <w:szCs w:val="20"/>
        </w:rPr>
        <w:tab/>
      </w:r>
    </w:p>
    <w:p w:rsidR="00176BED" w:rsidRDefault="00176BED" w:rsidP="00982162">
      <w:pPr>
        <w:rPr>
          <w:rFonts w:ascii="Times New Roman" w:hAnsi="Times New Roman" w:cs="Times New Roman"/>
          <w:b/>
          <w:bCs/>
          <w:sz w:val="24"/>
          <w:szCs w:val="24"/>
        </w:rPr>
      </w:pPr>
    </w:p>
    <w:p w:rsidR="00F57008" w:rsidRDefault="00F57008" w:rsidP="00982162">
      <w:pPr>
        <w:rPr>
          <w:rFonts w:ascii="Times New Roman" w:hAnsi="Times New Roman" w:cs="Times New Roman"/>
          <w:b/>
          <w:bCs/>
          <w:sz w:val="24"/>
          <w:szCs w:val="24"/>
        </w:rPr>
      </w:pPr>
    </w:p>
    <w:p w:rsidR="00F57008" w:rsidRDefault="00F57008" w:rsidP="00982162">
      <w:pPr>
        <w:rPr>
          <w:rFonts w:ascii="Times New Roman" w:hAnsi="Times New Roman" w:cs="Times New Roman"/>
          <w:b/>
          <w:bCs/>
          <w:sz w:val="24"/>
          <w:szCs w:val="24"/>
        </w:rPr>
      </w:pPr>
    </w:p>
    <w:p w:rsidR="00F57008" w:rsidRDefault="00F57008" w:rsidP="00982162">
      <w:pPr>
        <w:rPr>
          <w:rFonts w:ascii="Times New Roman" w:hAnsi="Times New Roman" w:cs="Times New Roman"/>
          <w:b/>
          <w:bCs/>
          <w:sz w:val="24"/>
          <w:szCs w:val="24"/>
        </w:rPr>
      </w:pPr>
    </w:p>
    <w:p w:rsidR="00176BED" w:rsidRDefault="00176BED" w:rsidP="00982162">
      <w:pPr>
        <w:rPr>
          <w:rFonts w:ascii="Times New Roman" w:hAnsi="Times New Roman" w:cs="Times New Roman"/>
          <w:b/>
          <w:bCs/>
          <w:sz w:val="24"/>
          <w:szCs w:val="24"/>
        </w:rPr>
      </w:pPr>
    </w:p>
    <w:p w:rsidR="00176BED" w:rsidRDefault="00176BED" w:rsidP="00982162">
      <w:pPr>
        <w:rPr>
          <w:rFonts w:ascii="Times New Roman" w:hAnsi="Times New Roman" w:cs="Times New Roman"/>
          <w:b/>
          <w:bCs/>
          <w:sz w:val="24"/>
          <w:szCs w:val="24"/>
        </w:rPr>
      </w:pPr>
    </w:p>
    <w:p w:rsidR="00176BED" w:rsidRDefault="00176BED" w:rsidP="00982162">
      <w:pPr>
        <w:rPr>
          <w:rFonts w:ascii="Times New Roman" w:hAnsi="Times New Roman" w:cs="Times New Roman"/>
          <w:b/>
          <w:bCs/>
          <w:sz w:val="24"/>
          <w:szCs w:val="24"/>
        </w:rPr>
      </w:pPr>
    </w:p>
    <w:p w:rsidR="00176BED" w:rsidRDefault="00176BED" w:rsidP="00982162">
      <w:pPr>
        <w:rPr>
          <w:rFonts w:ascii="Times New Roman" w:hAnsi="Times New Roman" w:cs="Times New Roman"/>
          <w:b/>
          <w:bCs/>
          <w:sz w:val="24"/>
          <w:szCs w:val="24"/>
        </w:rPr>
      </w:pPr>
    </w:p>
    <w:p w:rsidR="00176BED" w:rsidRDefault="00176BED" w:rsidP="00982162">
      <w:pPr>
        <w:rPr>
          <w:rFonts w:ascii="Times New Roman" w:hAnsi="Times New Roman" w:cs="Times New Roman"/>
          <w:b/>
          <w:bCs/>
          <w:sz w:val="24"/>
          <w:szCs w:val="24"/>
        </w:rPr>
      </w:pPr>
    </w:p>
    <w:p w:rsidR="00176BED" w:rsidRDefault="00176BED" w:rsidP="00982162">
      <w:pPr>
        <w:rPr>
          <w:rFonts w:ascii="Times New Roman" w:hAnsi="Times New Roman" w:cs="Times New Roman"/>
          <w:b/>
          <w:bCs/>
          <w:sz w:val="24"/>
          <w:szCs w:val="24"/>
        </w:rPr>
      </w:pPr>
    </w:p>
    <w:p w:rsidR="00176BED" w:rsidRDefault="00176BED" w:rsidP="00982162">
      <w:pPr>
        <w:rPr>
          <w:rFonts w:ascii="Times New Roman" w:hAnsi="Times New Roman" w:cs="Times New Roman"/>
          <w:b/>
          <w:bCs/>
          <w:sz w:val="24"/>
          <w:szCs w:val="24"/>
        </w:rPr>
      </w:pPr>
    </w:p>
    <w:p w:rsidR="00176BED" w:rsidRDefault="00176BED" w:rsidP="00982162">
      <w:pPr>
        <w:rPr>
          <w:rFonts w:ascii="Times New Roman" w:hAnsi="Times New Roman" w:cs="Times New Roman"/>
          <w:b/>
          <w:bCs/>
          <w:sz w:val="24"/>
          <w:szCs w:val="24"/>
        </w:rPr>
      </w:pPr>
    </w:p>
    <w:p w:rsidR="00176BED" w:rsidRDefault="00176BED" w:rsidP="00982162">
      <w:pPr>
        <w:rPr>
          <w:rFonts w:ascii="Times New Roman" w:hAnsi="Times New Roman" w:cs="Times New Roman"/>
          <w:b/>
          <w:bCs/>
          <w:sz w:val="24"/>
          <w:szCs w:val="24"/>
        </w:rPr>
      </w:pPr>
    </w:p>
    <w:p w:rsidR="00176BED" w:rsidRDefault="00176BED" w:rsidP="00982162">
      <w:pPr>
        <w:rPr>
          <w:rFonts w:ascii="Times New Roman" w:hAnsi="Times New Roman" w:cs="Times New Roman"/>
          <w:b/>
          <w:bCs/>
          <w:sz w:val="24"/>
          <w:szCs w:val="24"/>
        </w:rPr>
      </w:pPr>
    </w:p>
    <w:p w:rsidR="00176BED" w:rsidRDefault="00176BED" w:rsidP="00982162">
      <w:pPr>
        <w:rPr>
          <w:rFonts w:ascii="Times New Roman" w:hAnsi="Times New Roman" w:cs="Times New Roman"/>
          <w:b/>
          <w:bCs/>
          <w:sz w:val="24"/>
          <w:szCs w:val="24"/>
        </w:rPr>
      </w:pPr>
    </w:p>
    <w:p w:rsidR="00176BED" w:rsidRDefault="00176BED" w:rsidP="00982162">
      <w:pPr>
        <w:rPr>
          <w:rFonts w:ascii="Times New Roman" w:hAnsi="Times New Roman" w:cs="Times New Roman"/>
          <w:b/>
          <w:bCs/>
          <w:sz w:val="24"/>
          <w:szCs w:val="24"/>
        </w:rPr>
      </w:pPr>
    </w:p>
    <w:p w:rsidR="00176BED" w:rsidRDefault="00176BED" w:rsidP="00982162">
      <w:pPr>
        <w:rPr>
          <w:rFonts w:ascii="Times New Roman" w:hAnsi="Times New Roman" w:cs="Times New Roman"/>
          <w:b/>
          <w:bCs/>
          <w:sz w:val="24"/>
          <w:szCs w:val="24"/>
        </w:rPr>
      </w:pPr>
    </w:p>
    <w:p w:rsidR="00176BED" w:rsidRDefault="00176BED" w:rsidP="00982162">
      <w:pPr>
        <w:rPr>
          <w:rFonts w:ascii="Times New Roman" w:hAnsi="Times New Roman" w:cs="Times New Roman"/>
          <w:b/>
          <w:bCs/>
          <w:sz w:val="24"/>
          <w:szCs w:val="24"/>
        </w:rPr>
      </w:pPr>
    </w:p>
    <w:p w:rsidR="007C6A81" w:rsidRDefault="007C6A81" w:rsidP="00982162">
      <w:pPr>
        <w:rPr>
          <w:rFonts w:ascii="Times New Roman" w:hAnsi="Times New Roman" w:cs="Times New Roman"/>
          <w:b/>
          <w:bCs/>
          <w:sz w:val="24"/>
          <w:szCs w:val="24"/>
        </w:rPr>
      </w:pPr>
    </w:p>
    <w:p w:rsidR="00B367B4" w:rsidRPr="00F57008" w:rsidRDefault="00B367B4" w:rsidP="00982162">
      <w:pPr>
        <w:rPr>
          <w:rFonts w:ascii="Times New Roman" w:hAnsi="Times New Roman" w:cs="Times New Roman"/>
          <w:b/>
          <w:bCs/>
          <w:sz w:val="20"/>
          <w:szCs w:val="20"/>
          <w:lang w:val="en-IN" w:bidi="ar-SA"/>
        </w:rPr>
      </w:pPr>
      <w:r w:rsidRPr="00F57008">
        <w:rPr>
          <w:rFonts w:ascii="Times New Roman" w:hAnsi="Times New Roman" w:cs="Times New Roman"/>
          <w:b/>
          <w:bCs/>
          <w:sz w:val="20"/>
          <w:szCs w:val="20"/>
        </w:rPr>
        <w:lastRenderedPageBreak/>
        <w:t xml:space="preserve">Table </w:t>
      </w:r>
      <w:r w:rsidR="005E2BF8" w:rsidRPr="00F57008">
        <w:rPr>
          <w:rFonts w:ascii="Times New Roman" w:hAnsi="Times New Roman" w:cs="Times New Roman"/>
          <w:b/>
          <w:bCs/>
          <w:sz w:val="20"/>
          <w:szCs w:val="20"/>
        </w:rPr>
        <w:t>S</w:t>
      </w:r>
      <w:r w:rsidRPr="00F57008">
        <w:rPr>
          <w:rFonts w:ascii="Times New Roman" w:hAnsi="Times New Roman" w:cs="Times New Roman"/>
          <w:b/>
          <w:bCs/>
          <w:sz w:val="20"/>
          <w:szCs w:val="20"/>
        </w:rPr>
        <w:t xml:space="preserve">1: </w:t>
      </w:r>
      <w:r w:rsidRPr="00F57008">
        <w:rPr>
          <w:rFonts w:ascii="Times New Roman" w:hAnsi="Times New Roman" w:cs="Times New Roman"/>
          <w:b/>
          <w:bCs/>
          <w:sz w:val="20"/>
          <w:szCs w:val="20"/>
          <w:lang w:val="en-IN" w:bidi="ar-SA"/>
        </w:rPr>
        <w:t xml:space="preserve">List of primers used </w:t>
      </w:r>
      <w:r w:rsidR="004A3A27" w:rsidRPr="00F57008">
        <w:rPr>
          <w:rFonts w:ascii="Times New Roman" w:hAnsi="Times New Roman" w:cs="Times New Roman"/>
          <w:b/>
          <w:bCs/>
          <w:sz w:val="20"/>
          <w:szCs w:val="20"/>
          <w:lang w:val="en-IN" w:bidi="ar-SA"/>
        </w:rPr>
        <w:t>in this study</w:t>
      </w:r>
    </w:p>
    <w:tbl>
      <w:tblPr>
        <w:tblStyle w:val="TableGrid"/>
        <w:tblW w:w="4903" w:type="pct"/>
        <w:tblInd w:w="108" w:type="dxa"/>
        <w:tblLayout w:type="fixed"/>
        <w:tblCellMar>
          <w:top w:w="28" w:type="dxa"/>
          <w:left w:w="57" w:type="dxa"/>
          <w:bottom w:w="28" w:type="dxa"/>
          <w:right w:w="57" w:type="dxa"/>
        </w:tblCellMar>
        <w:tblLook w:val="04A0" w:firstRow="1" w:lastRow="0" w:firstColumn="1" w:lastColumn="0" w:noHBand="0" w:noVBand="1"/>
      </w:tblPr>
      <w:tblGrid>
        <w:gridCol w:w="1227"/>
        <w:gridCol w:w="4251"/>
        <w:gridCol w:w="1418"/>
        <w:gridCol w:w="2125"/>
      </w:tblGrid>
      <w:tr w:rsidR="00FA2DBA" w:rsidRPr="00F57008" w:rsidTr="000B21E3">
        <w:trPr>
          <w:trHeight w:val="20"/>
        </w:trPr>
        <w:tc>
          <w:tcPr>
            <w:tcW w:w="680" w:type="pct"/>
            <w:vAlign w:val="center"/>
          </w:tcPr>
          <w:p w:rsidR="00633E8D" w:rsidRPr="00F57008" w:rsidRDefault="00347715" w:rsidP="00FE49C5">
            <w:pPr>
              <w:autoSpaceDE w:val="0"/>
              <w:autoSpaceDN w:val="0"/>
              <w:adjustRightInd w:val="0"/>
              <w:jc w:val="center"/>
              <w:rPr>
                <w:rFonts w:ascii="Times New Roman" w:hAnsi="Times New Roman" w:cs="Times New Roman"/>
                <w:b/>
                <w:bCs/>
                <w:color w:val="000000"/>
                <w:sz w:val="20"/>
                <w:szCs w:val="20"/>
              </w:rPr>
            </w:pPr>
            <w:r w:rsidRPr="00F57008">
              <w:rPr>
                <w:rFonts w:ascii="Times New Roman" w:hAnsi="Times New Roman" w:cs="Times New Roman"/>
                <w:b/>
                <w:bCs/>
                <w:color w:val="000000"/>
                <w:sz w:val="20"/>
                <w:szCs w:val="20"/>
              </w:rPr>
              <w:t xml:space="preserve">Target </w:t>
            </w:r>
          </w:p>
          <w:p w:rsidR="0067537B" w:rsidRPr="00F57008" w:rsidRDefault="00347715" w:rsidP="00FE49C5">
            <w:pPr>
              <w:autoSpaceDE w:val="0"/>
              <w:autoSpaceDN w:val="0"/>
              <w:adjustRightInd w:val="0"/>
              <w:jc w:val="center"/>
              <w:rPr>
                <w:rFonts w:ascii="Times New Roman" w:hAnsi="Times New Roman" w:cs="Times New Roman"/>
                <w:b/>
                <w:bCs/>
                <w:color w:val="000000"/>
                <w:sz w:val="20"/>
                <w:szCs w:val="20"/>
              </w:rPr>
            </w:pPr>
            <w:r w:rsidRPr="00F57008">
              <w:rPr>
                <w:rFonts w:ascii="Times New Roman" w:hAnsi="Times New Roman" w:cs="Times New Roman"/>
                <w:b/>
                <w:bCs/>
                <w:color w:val="000000"/>
                <w:sz w:val="20"/>
                <w:szCs w:val="20"/>
              </w:rPr>
              <w:t>Region</w:t>
            </w:r>
          </w:p>
        </w:tc>
        <w:tc>
          <w:tcPr>
            <w:tcW w:w="2356" w:type="pct"/>
            <w:tcBorders>
              <w:bottom w:val="single" w:sz="4" w:space="0" w:color="auto"/>
            </w:tcBorders>
            <w:vAlign w:val="center"/>
          </w:tcPr>
          <w:p w:rsidR="0067537B" w:rsidRPr="00F57008" w:rsidRDefault="0067537B" w:rsidP="00FE49C5">
            <w:pPr>
              <w:autoSpaceDE w:val="0"/>
              <w:autoSpaceDN w:val="0"/>
              <w:adjustRightInd w:val="0"/>
              <w:jc w:val="center"/>
              <w:rPr>
                <w:rFonts w:ascii="Times New Roman" w:hAnsi="Times New Roman" w:cs="Times New Roman"/>
                <w:b/>
                <w:bCs/>
                <w:color w:val="000000"/>
                <w:sz w:val="20"/>
                <w:szCs w:val="20"/>
              </w:rPr>
            </w:pPr>
            <w:r w:rsidRPr="00F57008">
              <w:rPr>
                <w:rFonts w:ascii="Times New Roman" w:hAnsi="Times New Roman" w:cs="Times New Roman"/>
                <w:b/>
                <w:bCs/>
                <w:color w:val="000000"/>
                <w:sz w:val="20"/>
                <w:szCs w:val="20"/>
              </w:rPr>
              <w:t xml:space="preserve">Primer </w:t>
            </w:r>
            <w:r w:rsidR="007B72AA" w:rsidRPr="00F57008">
              <w:rPr>
                <w:rFonts w:ascii="Times New Roman" w:hAnsi="Times New Roman" w:cs="Times New Roman"/>
                <w:b/>
                <w:bCs/>
                <w:color w:val="000000"/>
                <w:sz w:val="20"/>
                <w:szCs w:val="20"/>
              </w:rPr>
              <w:t>S</w:t>
            </w:r>
            <w:r w:rsidRPr="00F57008">
              <w:rPr>
                <w:rFonts w:ascii="Times New Roman" w:hAnsi="Times New Roman" w:cs="Times New Roman"/>
                <w:b/>
                <w:bCs/>
                <w:color w:val="000000"/>
                <w:sz w:val="20"/>
                <w:szCs w:val="20"/>
              </w:rPr>
              <w:t>equence</w:t>
            </w:r>
          </w:p>
        </w:tc>
        <w:tc>
          <w:tcPr>
            <w:tcW w:w="786" w:type="pct"/>
            <w:vAlign w:val="center"/>
          </w:tcPr>
          <w:p w:rsidR="0067537B" w:rsidRPr="00F57008" w:rsidRDefault="0067537B" w:rsidP="00FE49C5">
            <w:pPr>
              <w:autoSpaceDE w:val="0"/>
              <w:autoSpaceDN w:val="0"/>
              <w:adjustRightInd w:val="0"/>
              <w:jc w:val="center"/>
              <w:rPr>
                <w:rFonts w:ascii="Times New Roman" w:hAnsi="Times New Roman" w:cs="Times New Roman"/>
                <w:b/>
                <w:bCs/>
                <w:color w:val="000000"/>
                <w:sz w:val="20"/>
                <w:szCs w:val="20"/>
              </w:rPr>
            </w:pPr>
            <w:r w:rsidRPr="00F57008">
              <w:rPr>
                <w:rFonts w:ascii="Times New Roman" w:hAnsi="Times New Roman" w:cs="Times New Roman"/>
                <w:b/>
                <w:bCs/>
                <w:color w:val="000000"/>
                <w:sz w:val="20"/>
                <w:szCs w:val="20"/>
              </w:rPr>
              <w:t xml:space="preserve">Annealing </w:t>
            </w:r>
            <w:r w:rsidR="007B72AA" w:rsidRPr="00F57008">
              <w:rPr>
                <w:rFonts w:ascii="Times New Roman" w:hAnsi="Times New Roman" w:cs="Times New Roman"/>
                <w:b/>
                <w:bCs/>
                <w:color w:val="000000"/>
                <w:sz w:val="20"/>
                <w:szCs w:val="20"/>
              </w:rPr>
              <w:t>T</w:t>
            </w:r>
            <w:r w:rsidRPr="00F57008">
              <w:rPr>
                <w:rFonts w:ascii="Times New Roman" w:hAnsi="Times New Roman" w:cs="Times New Roman"/>
                <w:b/>
                <w:bCs/>
                <w:color w:val="000000"/>
                <w:sz w:val="20"/>
                <w:szCs w:val="20"/>
              </w:rPr>
              <w:t>emperature (</w:t>
            </w:r>
            <w:r w:rsidR="00982162" w:rsidRPr="00F57008">
              <w:rPr>
                <w:rFonts w:ascii="Times New Roman" w:hAnsi="Times New Roman" w:cs="Times New Roman"/>
                <w:b/>
                <w:bCs/>
                <w:color w:val="000000"/>
                <w:sz w:val="20"/>
                <w:szCs w:val="20"/>
                <w:vertAlign w:val="superscript"/>
              </w:rPr>
              <w:t>°</w:t>
            </w:r>
            <w:r w:rsidRPr="00F57008">
              <w:rPr>
                <w:rFonts w:ascii="Times New Roman" w:hAnsi="Times New Roman" w:cs="Times New Roman"/>
                <w:b/>
                <w:bCs/>
                <w:color w:val="000000"/>
                <w:sz w:val="20"/>
                <w:szCs w:val="20"/>
              </w:rPr>
              <w:t>C)</w:t>
            </w:r>
          </w:p>
        </w:tc>
        <w:tc>
          <w:tcPr>
            <w:tcW w:w="1178" w:type="pct"/>
            <w:vAlign w:val="center"/>
          </w:tcPr>
          <w:p w:rsidR="0067537B" w:rsidRPr="00F57008" w:rsidRDefault="0067537B" w:rsidP="00FE49C5">
            <w:pPr>
              <w:autoSpaceDE w:val="0"/>
              <w:autoSpaceDN w:val="0"/>
              <w:adjustRightInd w:val="0"/>
              <w:jc w:val="center"/>
              <w:rPr>
                <w:rFonts w:ascii="Times New Roman" w:hAnsi="Times New Roman" w:cs="Times New Roman"/>
                <w:b/>
                <w:bCs/>
                <w:color w:val="000000"/>
                <w:sz w:val="20"/>
                <w:szCs w:val="20"/>
              </w:rPr>
            </w:pPr>
            <w:r w:rsidRPr="00F57008">
              <w:rPr>
                <w:rFonts w:ascii="Times New Roman" w:hAnsi="Times New Roman" w:cs="Times New Roman"/>
                <w:b/>
                <w:bCs/>
                <w:color w:val="000000"/>
                <w:sz w:val="20"/>
                <w:szCs w:val="20"/>
              </w:rPr>
              <w:t>Reference</w:t>
            </w:r>
          </w:p>
        </w:tc>
      </w:tr>
      <w:tr w:rsidR="00FA2DBA" w:rsidRPr="00F57008" w:rsidTr="000B21E3">
        <w:trPr>
          <w:trHeight w:val="20"/>
        </w:trPr>
        <w:tc>
          <w:tcPr>
            <w:tcW w:w="680" w:type="pct"/>
            <w:vMerge w:val="restart"/>
            <w:vAlign w:val="center"/>
          </w:tcPr>
          <w:p w:rsidR="00FE49C5" w:rsidRPr="00F57008" w:rsidRDefault="007C44D5" w:rsidP="00982162">
            <w:pPr>
              <w:autoSpaceDE w:val="0"/>
              <w:autoSpaceDN w:val="0"/>
              <w:adjustRightInd w:val="0"/>
              <w:rPr>
                <w:rFonts w:ascii="Times New Roman" w:hAnsi="Times New Roman" w:cs="Times New Roman"/>
                <w:iCs/>
                <w:color w:val="000000"/>
                <w:sz w:val="20"/>
                <w:szCs w:val="20"/>
              </w:rPr>
            </w:pPr>
            <w:r w:rsidRPr="00F57008">
              <w:rPr>
                <w:rFonts w:ascii="Times New Roman" w:hAnsi="Times New Roman" w:cs="Times New Roman"/>
                <w:iCs/>
                <w:color w:val="000000"/>
                <w:sz w:val="20"/>
                <w:szCs w:val="20"/>
                <w:lang w:val="en-IN" w:bidi="ar-SA"/>
              </w:rPr>
              <w:t>TEM</w:t>
            </w:r>
          </w:p>
        </w:tc>
        <w:tc>
          <w:tcPr>
            <w:tcW w:w="2356" w:type="pct"/>
            <w:tcBorders>
              <w:bottom w:val="nil"/>
            </w:tcBorders>
            <w:vAlign w:val="center"/>
          </w:tcPr>
          <w:p w:rsidR="00FE49C5" w:rsidRPr="00F57008" w:rsidRDefault="000B21E3" w:rsidP="00731B8F">
            <w:pPr>
              <w:autoSpaceDE w:val="0"/>
              <w:autoSpaceDN w:val="0"/>
              <w:adjustRightInd w:val="0"/>
              <w:jc w:val="both"/>
              <w:rPr>
                <w:rFonts w:ascii="Times New Roman" w:hAnsi="Times New Roman" w:cs="Times New Roman"/>
                <w:color w:val="000000"/>
                <w:sz w:val="20"/>
                <w:szCs w:val="20"/>
              </w:rPr>
            </w:pPr>
            <w:r w:rsidRPr="00F57008">
              <w:rPr>
                <w:rFonts w:ascii="Times New Roman" w:hAnsi="Times New Roman" w:cs="Times New Roman"/>
                <w:color w:val="000000"/>
                <w:sz w:val="20"/>
                <w:szCs w:val="20"/>
                <w:lang w:val="en-IN" w:bidi="ar-SA"/>
              </w:rPr>
              <w:t>F-</w:t>
            </w:r>
            <w:r w:rsidR="00FE49C5" w:rsidRPr="00F57008">
              <w:rPr>
                <w:rFonts w:ascii="Times New Roman" w:hAnsi="Times New Roman" w:cs="Times New Roman"/>
                <w:color w:val="000000"/>
                <w:sz w:val="20"/>
                <w:szCs w:val="20"/>
                <w:lang w:val="en-IN" w:bidi="ar-SA"/>
              </w:rPr>
              <w:t>5’-ATG AGT ATT CAA CAT TTC CGT G-3’</w:t>
            </w:r>
          </w:p>
        </w:tc>
        <w:tc>
          <w:tcPr>
            <w:tcW w:w="786" w:type="pct"/>
            <w:vMerge w:val="restart"/>
            <w:vAlign w:val="center"/>
          </w:tcPr>
          <w:p w:rsidR="00FE49C5" w:rsidRPr="00F57008" w:rsidRDefault="00FE49C5" w:rsidP="00982162">
            <w:pPr>
              <w:autoSpaceDE w:val="0"/>
              <w:autoSpaceDN w:val="0"/>
              <w:adjustRightInd w:val="0"/>
              <w:jc w:val="center"/>
              <w:rPr>
                <w:rFonts w:ascii="Times New Roman" w:hAnsi="Times New Roman" w:cs="Times New Roman"/>
                <w:color w:val="000000"/>
                <w:sz w:val="20"/>
                <w:szCs w:val="20"/>
              </w:rPr>
            </w:pPr>
            <w:r w:rsidRPr="00F57008">
              <w:rPr>
                <w:rFonts w:ascii="Times New Roman" w:hAnsi="Times New Roman" w:cs="Times New Roman"/>
                <w:color w:val="000000"/>
                <w:sz w:val="20"/>
                <w:szCs w:val="20"/>
              </w:rPr>
              <w:t>55</w:t>
            </w:r>
          </w:p>
        </w:tc>
        <w:tc>
          <w:tcPr>
            <w:tcW w:w="1178" w:type="pct"/>
            <w:vMerge w:val="restart"/>
            <w:vAlign w:val="center"/>
          </w:tcPr>
          <w:p w:rsidR="00FE49C5" w:rsidRPr="00F57008" w:rsidRDefault="00DB506D" w:rsidP="00633E8D">
            <w:pPr>
              <w:autoSpaceDE w:val="0"/>
              <w:autoSpaceDN w:val="0"/>
              <w:adjustRightInd w:val="0"/>
              <w:jc w:val="center"/>
              <w:rPr>
                <w:rFonts w:ascii="Times New Roman" w:hAnsi="Times New Roman" w:cs="Times New Roman"/>
                <w:color w:val="000000"/>
                <w:sz w:val="20"/>
                <w:szCs w:val="20"/>
              </w:rPr>
            </w:pPr>
            <w:r w:rsidRPr="00F57008">
              <w:rPr>
                <w:rFonts w:ascii="Times New Roman" w:hAnsi="Times New Roman" w:cs="Times New Roman"/>
                <w:color w:val="000000"/>
                <w:sz w:val="20"/>
                <w:szCs w:val="20"/>
              </w:rPr>
              <w:fldChar w:fldCharType="begin" w:fldLock="1"/>
            </w:r>
            <w:r w:rsidR="00EB53F5" w:rsidRPr="00F57008">
              <w:rPr>
                <w:rFonts w:ascii="Times New Roman" w:hAnsi="Times New Roman" w:cs="Times New Roman"/>
                <w:color w:val="000000"/>
                <w:sz w:val="20"/>
                <w:szCs w:val="20"/>
              </w:rPr>
              <w:instrText>ADDIN CSL_CITATION {"citationItems":[{"id":"ITEM-1","itemData":{"DOI":"10.1128/AAC.45.1.88-95.2001","ISBN":"0066-4804 (Print)\\r0066-4804","ISSN":"00664804","PMID":"11120950","abstract":"beta-Lactamase production was investigated in cultures of 25 Klebsiella pneumoniae isolates isolated at a hospital in Durban, South Africa, in 1994 and 1996. Twenty of these isolates gave ceftazidime MIC/ceftazidime plus clavulanate MIC ratios of &gt;/=8, implying production of extended-spectrum beta-lactamases (ESBLs), and DNA sequencing identified an ESBL gene (bla(TEM-53)) in a further two isolates. Pulsed-field gel electrophoresis (PFGE) defined 4 distinct strains among the 12 isolates collected in 1994 and 9 distinct strains among the 13 isolates collected in 1996. In three cases, multiple isolates from single patients varied in their PFGE profiles and antibiograms, implying mixed colonization or infection. Isoelectric focusing and DNA hybridization found both TEM and SHV enzymes and their genes in all 25 isolates. Many isolates had multiple identical or different beta-lactamase gene variants, with at least 84 bla(SHV) and bla(TEM) gene copies among the 25 organisms. Sequencing identified the genes for the SHV-1, -2, and -5 enzymes and for four new SHV types (SHV-19, -20, -21, and -22). These new SHV variants had novel mutations remote from sites known to affect catalytic activity. Sequencing also found the genes for TEM-1, TEM-53, and one novel type, TEM-63. All the isolates had multiple and diverse plasmids. These complex and diverse patterns of ESBL production and strain epidemiology are far removed from the concept of an ESBL outbreak and suggest a situation in which ESBL production has become endemic and in which evolution is generating a wide range of enzyme combinations. This complexity and diversity complicates patient management and the design of antibiotic use policies.","author":[{"dropping-particle":"","family":"Essack","given":"S. Y.","non-dropping-particle":"","parse-names":false,"suffix":""},{"dropping-particle":"","family":"Hall","given":"L. M.C.","non-dropping-particle":"","parse-names":false,"suffix":""},{"dropping-particle":"","family":"Pillay","given":"D. G.","non-dropping-particle":"","parse-names":false,"suffix":""},{"dropping-particle":"","family":"McFadyen","given":"M. L.","non-dropping-particle":"","parse-names":false,"suffix":""},{"dropping-particle":"","family":"Livermore","given":"D. M.","non-dropping-particle":"","parse-names":false,"suffix":""}],"container-title":"Antimicrobial Agents and Chemotherapy","id":"ITEM-1","issue":"1","issued":{"date-parts":[["2001","1"]]},"page":"88-95","publisher":"American Society for Microbiology (ASM)","title":"Complexity and diversity of Klebsiella pneumoniae strains with extended-spectrum β-lactamases isolated in 1994 and 1996 at a teaching hospital in Durban, South Africa","type":"article-journal","volume":"45"},"uris":["http://www.mendeley.com/documents/?uuid=27427b4b-128a-4fa2-8ce2-01d85d099da1"]}],"mendeley":{"formattedCitation":"[1]","manualFormatting":"Essack et al. 2001","plainTextFormattedCitation":"[1]","previouslyFormattedCitation":"[1]"},"properties":{"noteIndex":0},"schema":"https://github.com/citation-style-language/schema/raw/master/csl-citation.json"}</w:instrText>
            </w:r>
            <w:r w:rsidRPr="00F57008">
              <w:rPr>
                <w:rFonts w:ascii="Times New Roman" w:hAnsi="Times New Roman" w:cs="Times New Roman"/>
                <w:color w:val="000000"/>
                <w:sz w:val="20"/>
                <w:szCs w:val="20"/>
              </w:rPr>
              <w:fldChar w:fldCharType="separate"/>
            </w:r>
            <w:r w:rsidRPr="00F57008">
              <w:rPr>
                <w:rFonts w:ascii="Times New Roman" w:hAnsi="Times New Roman" w:cs="Times New Roman"/>
                <w:noProof/>
                <w:color w:val="000000"/>
                <w:sz w:val="20"/>
                <w:szCs w:val="20"/>
              </w:rPr>
              <w:t>Essack et al. 2001</w:t>
            </w:r>
            <w:r w:rsidRPr="00F57008">
              <w:rPr>
                <w:rFonts w:ascii="Times New Roman" w:hAnsi="Times New Roman" w:cs="Times New Roman"/>
                <w:color w:val="000000"/>
                <w:sz w:val="20"/>
                <w:szCs w:val="20"/>
              </w:rPr>
              <w:fldChar w:fldCharType="end"/>
            </w:r>
          </w:p>
        </w:tc>
      </w:tr>
      <w:tr w:rsidR="00FA2DBA" w:rsidRPr="00F57008" w:rsidTr="000B21E3">
        <w:trPr>
          <w:trHeight w:val="20"/>
        </w:trPr>
        <w:tc>
          <w:tcPr>
            <w:tcW w:w="680" w:type="pct"/>
            <w:vMerge/>
            <w:vAlign w:val="center"/>
          </w:tcPr>
          <w:p w:rsidR="00FE49C5" w:rsidRPr="00F57008" w:rsidRDefault="00FE49C5" w:rsidP="00982162">
            <w:pPr>
              <w:autoSpaceDE w:val="0"/>
              <w:autoSpaceDN w:val="0"/>
              <w:adjustRightInd w:val="0"/>
              <w:rPr>
                <w:rFonts w:ascii="Times New Roman" w:hAnsi="Times New Roman" w:cs="Times New Roman"/>
                <w:iCs/>
                <w:color w:val="000000"/>
                <w:sz w:val="20"/>
                <w:szCs w:val="20"/>
              </w:rPr>
            </w:pPr>
          </w:p>
        </w:tc>
        <w:tc>
          <w:tcPr>
            <w:tcW w:w="2356" w:type="pct"/>
            <w:tcBorders>
              <w:top w:val="nil"/>
              <w:bottom w:val="single" w:sz="4" w:space="0" w:color="auto"/>
            </w:tcBorders>
            <w:vAlign w:val="center"/>
          </w:tcPr>
          <w:p w:rsidR="00FE49C5" w:rsidRPr="00F57008" w:rsidRDefault="000B21E3" w:rsidP="00731B8F">
            <w:pPr>
              <w:autoSpaceDE w:val="0"/>
              <w:autoSpaceDN w:val="0"/>
              <w:adjustRightInd w:val="0"/>
              <w:jc w:val="both"/>
              <w:rPr>
                <w:rFonts w:ascii="Times New Roman" w:hAnsi="Times New Roman" w:cs="Times New Roman"/>
                <w:color w:val="000000"/>
                <w:sz w:val="20"/>
                <w:szCs w:val="20"/>
              </w:rPr>
            </w:pPr>
            <w:r w:rsidRPr="00F57008">
              <w:rPr>
                <w:rFonts w:ascii="Times New Roman" w:hAnsi="Times New Roman" w:cs="Times New Roman"/>
                <w:color w:val="000000"/>
                <w:sz w:val="20"/>
                <w:szCs w:val="20"/>
                <w:lang w:val="en-IN" w:bidi="ar-SA"/>
              </w:rPr>
              <w:t>R-</w:t>
            </w:r>
            <w:r w:rsidR="00FE49C5" w:rsidRPr="00F57008">
              <w:rPr>
                <w:rFonts w:ascii="Times New Roman" w:hAnsi="Times New Roman" w:cs="Times New Roman"/>
                <w:color w:val="000000"/>
                <w:sz w:val="20"/>
                <w:szCs w:val="20"/>
                <w:lang w:val="en-IN" w:bidi="ar-SA"/>
              </w:rPr>
              <w:t>5’-TTA CCA ATG CTT AAT CAG TGA G-3’</w:t>
            </w:r>
          </w:p>
        </w:tc>
        <w:tc>
          <w:tcPr>
            <w:tcW w:w="786" w:type="pct"/>
            <w:vMerge/>
            <w:vAlign w:val="center"/>
          </w:tcPr>
          <w:p w:rsidR="00FE49C5" w:rsidRPr="00F57008" w:rsidRDefault="00FE49C5" w:rsidP="00982162">
            <w:pPr>
              <w:autoSpaceDE w:val="0"/>
              <w:autoSpaceDN w:val="0"/>
              <w:adjustRightInd w:val="0"/>
              <w:jc w:val="center"/>
              <w:rPr>
                <w:rFonts w:ascii="Times New Roman" w:hAnsi="Times New Roman" w:cs="Times New Roman"/>
                <w:color w:val="000000"/>
                <w:sz w:val="20"/>
                <w:szCs w:val="20"/>
              </w:rPr>
            </w:pPr>
          </w:p>
        </w:tc>
        <w:tc>
          <w:tcPr>
            <w:tcW w:w="1178" w:type="pct"/>
            <w:vMerge/>
            <w:vAlign w:val="center"/>
          </w:tcPr>
          <w:p w:rsidR="00FE49C5" w:rsidRPr="00F57008" w:rsidRDefault="00FE49C5" w:rsidP="00FE49C5">
            <w:pPr>
              <w:autoSpaceDE w:val="0"/>
              <w:autoSpaceDN w:val="0"/>
              <w:adjustRightInd w:val="0"/>
              <w:jc w:val="center"/>
              <w:rPr>
                <w:rFonts w:ascii="Times New Roman" w:hAnsi="Times New Roman" w:cs="Times New Roman"/>
                <w:color w:val="000000"/>
                <w:sz w:val="20"/>
                <w:szCs w:val="20"/>
              </w:rPr>
            </w:pPr>
          </w:p>
        </w:tc>
      </w:tr>
      <w:tr w:rsidR="00FA2DBA" w:rsidRPr="00F57008" w:rsidTr="000B21E3">
        <w:trPr>
          <w:trHeight w:val="20"/>
        </w:trPr>
        <w:tc>
          <w:tcPr>
            <w:tcW w:w="680" w:type="pct"/>
            <w:vMerge w:val="restart"/>
            <w:vAlign w:val="center"/>
          </w:tcPr>
          <w:p w:rsidR="00FE49C5" w:rsidRPr="00F57008" w:rsidRDefault="007C44D5" w:rsidP="00982162">
            <w:pPr>
              <w:autoSpaceDE w:val="0"/>
              <w:autoSpaceDN w:val="0"/>
              <w:adjustRightInd w:val="0"/>
              <w:rPr>
                <w:rFonts w:ascii="Times New Roman" w:hAnsi="Times New Roman" w:cs="Times New Roman"/>
                <w:iCs/>
                <w:color w:val="000000"/>
                <w:sz w:val="20"/>
                <w:szCs w:val="20"/>
              </w:rPr>
            </w:pPr>
            <w:r w:rsidRPr="00F57008">
              <w:rPr>
                <w:rFonts w:ascii="Times New Roman" w:hAnsi="Times New Roman" w:cs="Times New Roman"/>
                <w:iCs/>
                <w:color w:val="000000"/>
                <w:sz w:val="20"/>
                <w:szCs w:val="20"/>
                <w:lang w:val="en-IN" w:bidi="ar-SA"/>
              </w:rPr>
              <w:t>SHV</w:t>
            </w:r>
          </w:p>
        </w:tc>
        <w:tc>
          <w:tcPr>
            <w:tcW w:w="2356" w:type="pct"/>
            <w:tcBorders>
              <w:bottom w:val="nil"/>
            </w:tcBorders>
            <w:vAlign w:val="center"/>
          </w:tcPr>
          <w:p w:rsidR="00FE49C5" w:rsidRPr="00F57008" w:rsidRDefault="00303374" w:rsidP="00731B8F">
            <w:pPr>
              <w:autoSpaceDE w:val="0"/>
              <w:autoSpaceDN w:val="0"/>
              <w:adjustRightInd w:val="0"/>
              <w:jc w:val="both"/>
              <w:rPr>
                <w:rFonts w:ascii="Times New Roman" w:hAnsi="Times New Roman" w:cs="Times New Roman"/>
                <w:color w:val="000000"/>
                <w:sz w:val="20"/>
                <w:szCs w:val="20"/>
              </w:rPr>
            </w:pPr>
            <w:r w:rsidRPr="00F57008">
              <w:rPr>
                <w:rFonts w:ascii="Times New Roman" w:hAnsi="Times New Roman" w:cs="Times New Roman"/>
                <w:color w:val="000000"/>
                <w:sz w:val="20"/>
                <w:szCs w:val="20"/>
                <w:lang w:val="en-IN" w:bidi="ar-SA"/>
              </w:rPr>
              <w:t>F-</w:t>
            </w:r>
            <w:r w:rsidR="00FE49C5" w:rsidRPr="00F57008">
              <w:rPr>
                <w:rFonts w:ascii="Times New Roman" w:hAnsi="Times New Roman" w:cs="Times New Roman"/>
                <w:color w:val="000000"/>
                <w:sz w:val="20"/>
                <w:szCs w:val="20"/>
                <w:lang w:val="en-IN" w:bidi="ar-SA"/>
              </w:rPr>
              <w:t>5’-TTA TCT CCC TGT TAG CCA CC-3’</w:t>
            </w:r>
          </w:p>
        </w:tc>
        <w:tc>
          <w:tcPr>
            <w:tcW w:w="786" w:type="pct"/>
            <w:vMerge w:val="restart"/>
            <w:vAlign w:val="center"/>
          </w:tcPr>
          <w:p w:rsidR="00FE49C5" w:rsidRPr="00F57008" w:rsidRDefault="00FE49C5" w:rsidP="00982162">
            <w:pPr>
              <w:autoSpaceDE w:val="0"/>
              <w:autoSpaceDN w:val="0"/>
              <w:adjustRightInd w:val="0"/>
              <w:jc w:val="center"/>
              <w:rPr>
                <w:rFonts w:ascii="Times New Roman" w:hAnsi="Times New Roman" w:cs="Times New Roman"/>
                <w:color w:val="000000"/>
                <w:sz w:val="20"/>
                <w:szCs w:val="20"/>
              </w:rPr>
            </w:pPr>
            <w:r w:rsidRPr="00F57008">
              <w:rPr>
                <w:rFonts w:ascii="Times New Roman" w:hAnsi="Times New Roman" w:cs="Times New Roman"/>
                <w:color w:val="000000"/>
                <w:sz w:val="20"/>
                <w:szCs w:val="20"/>
              </w:rPr>
              <w:t>55</w:t>
            </w:r>
          </w:p>
        </w:tc>
        <w:tc>
          <w:tcPr>
            <w:tcW w:w="1178" w:type="pct"/>
            <w:vMerge w:val="restart"/>
            <w:vAlign w:val="center"/>
          </w:tcPr>
          <w:p w:rsidR="00FE49C5" w:rsidRPr="00F57008" w:rsidRDefault="00DB506D" w:rsidP="00633E8D">
            <w:pPr>
              <w:autoSpaceDE w:val="0"/>
              <w:autoSpaceDN w:val="0"/>
              <w:adjustRightInd w:val="0"/>
              <w:jc w:val="center"/>
              <w:rPr>
                <w:rFonts w:ascii="Times New Roman" w:hAnsi="Times New Roman" w:cs="Times New Roman"/>
                <w:color w:val="000000"/>
                <w:sz w:val="20"/>
                <w:szCs w:val="20"/>
              </w:rPr>
            </w:pPr>
            <w:r w:rsidRPr="00F57008">
              <w:rPr>
                <w:rFonts w:ascii="Times New Roman" w:hAnsi="Times New Roman" w:cs="Times New Roman"/>
                <w:color w:val="000000"/>
                <w:sz w:val="20"/>
                <w:szCs w:val="20"/>
              </w:rPr>
              <w:fldChar w:fldCharType="begin" w:fldLock="1"/>
            </w:r>
            <w:r w:rsidR="00EB53F5" w:rsidRPr="00F57008">
              <w:rPr>
                <w:rFonts w:ascii="Times New Roman" w:hAnsi="Times New Roman" w:cs="Times New Roman"/>
                <w:color w:val="000000"/>
                <w:sz w:val="20"/>
                <w:szCs w:val="20"/>
              </w:rPr>
              <w:instrText>ADDIN CSL_CITATION {"citationItems":[{"id":"ITEM-1","itemData":{"DOI":"10.1128/AAC.45.1.88-95.2001","ISBN":"0066-4804 (Print)\\r0066-4804","ISSN":"00664804","PMID":"11120950","abstract":"beta-Lactamase production was investigated in cultures of 25 Klebsiella pneumoniae isolates isolated at a hospital in Durban, South Africa, in 1994 and 1996. Twenty of these isolates gave ceftazidime MIC/ceftazidime plus clavulanate MIC ratios of &gt;/=8, implying production of extended-spectrum beta-lactamases (ESBLs), and DNA sequencing identified an ESBL gene (bla(TEM-53)) in a further two isolates. Pulsed-field gel electrophoresis (PFGE) defined 4 distinct strains among the 12 isolates collected in 1994 and 9 distinct strains among the 13 isolates collected in 1996. In three cases, multiple isolates from single patients varied in their PFGE profiles and antibiograms, implying mixed colonization or infection. Isoelectric focusing and DNA hybridization found both TEM and SHV enzymes and their genes in all 25 isolates. Many isolates had multiple identical or different beta-lactamase gene variants, with at least 84 bla(SHV) and bla(TEM) gene copies among the 25 organisms. Sequencing identified the genes for the SHV-1, -2, and -5 enzymes and for four new SHV types (SHV-19, -20, -21, and -22). These new SHV variants had novel mutations remote from sites known to affect catalytic activity. Sequencing also found the genes for TEM-1, TEM-53, and one novel type, TEM-63. All the isolates had multiple and diverse plasmids. These complex and diverse patterns of ESBL production and strain epidemiology are far removed from the concept of an ESBL outbreak and suggest a situation in which ESBL production has become endemic and in which evolution is generating a wide range of enzyme combinations. This complexity and diversity complicates patient management and the design of antibiotic use policies.","author":[{"dropping-particle":"","family":"Essack","given":"S. Y.","non-dropping-particle":"","parse-names":false,"suffix":""},{"dropping-particle":"","family":"Hall","given":"L. M.C.","non-dropping-particle":"","parse-names":false,"suffix":""},{"dropping-particle":"","family":"Pillay","given":"D. G.","non-dropping-particle":"","parse-names":false,"suffix":""},{"dropping-particle":"","family":"McFadyen","given":"M. L.","non-dropping-particle":"","parse-names":false,"suffix":""},{"dropping-particle":"","family":"Livermore","given":"D. M.","non-dropping-particle":"","parse-names":false,"suffix":""}],"container-title":"Antimicrobial Agents and Chemotherapy","id":"ITEM-1","issue":"1","issued":{"date-parts":[["2001","1"]]},"page":"88-95","publisher":"American Society for Microbiology (ASM)","title":"Complexity and diversity of Klebsiella pneumoniae strains with extended-spectrum β-lactamases isolated in 1994 and 1996 at a teaching hospital in Durban, South Africa","type":"article-journal","volume":"45"},"uris":["http://www.mendeley.com/documents/?uuid=27427b4b-128a-4fa2-8ce2-01d85d099da1"]}],"mendeley":{"formattedCitation":"[1]","manualFormatting":"Essack et al. 2001","plainTextFormattedCitation":"[1]","previouslyFormattedCitation":"[1]"},"properties":{"noteIndex":0},"schema":"https://github.com/citation-style-language/schema/raw/master/csl-citation.json"}</w:instrText>
            </w:r>
            <w:r w:rsidRPr="00F57008">
              <w:rPr>
                <w:rFonts w:ascii="Times New Roman" w:hAnsi="Times New Roman" w:cs="Times New Roman"/>
                <w:color w:val="000000"/>
                <w:sz w:val="20"/>
                <w:szCs w:val="20"/>
              </w:rPr>
              <w:fldChar w:fldCharType="separate"/>
            </w:r>
            <w:r w:rsidRPr="00F57008">
              <w:rPr>
                <w:rFonts w:ascii="Times New Roman" w:hAnsi="Times New Roman" w:cs="Times New Roman"/>
                <w:noProof/>
                <w:color w:val="000000"/>
                <w:sz w:val="20"/>
                <w:szCs w:val="20"/>
              </w:rPr>
              <w:t>Essack et al. 2001</w:t>
            </w:r>
            <w:r w:rsidRPr="00F57008">
              <w:rPr>
                <w:rFonts w:ascii="Times New Roman" w:hAnsi="Times New Roman" w:cs="Times New Roman"/>
                <w:color w:val="000000"/>
                <w:sz w:val="20"/>
                <w:szCs w:val="20"/>
              </w:rPr>
              <w:fldChar w:fldCharType="end"/>
            </w:r>
          </w:p>
        </w:tc>
      </w:tr>
      <w:tr w:rsidR="00FA2DBA" w:rsidRPr="00F57008" w:rsidTr="000B21E3">
        <w:trPr>
          <w:trHeight w:val="20"/>
        </w:trPr>
        <w:tc>
          <w:tcPr>
            <w:tcW w:w="680" w:type="pct"/>
            <w:vMerge/>
            <w:vAlign w:val="center"/>
          </w:tcPr>
          <w:p w:rsidR="00FE49C5" w:rsidRPr="00F57008" w:rsidRDefault="00FE49C5" w:rsidP="00982162">
            <w:pPr>
              <w:autoSpaceDE w:val="0"/>
              <w:autoSpaceDN w:val="0"/>
              <w:adjustRightInd w:val="0"/>
              <w:rPr>
                <w:rFonts w:ascii="Times New Roman" w:hAnsi="Times New Roman" w:cs="Times New Roman"/>
                <w:iCs/>
                <w:color w:val="000000"/>
                <w:sz w:val="20"/>
                <w:szCs w:val="20"/>
              </w:rPr>
            </w:pPr>
          </w:p>
        </w:tc>
        <w:tc>
          <w:tcPr>
            <w:tcW w:w="2356" w:type="pct"/>
            <w:tcBorders>
              <w:top w:val="nil"/>
              <w:bottom w:val="single" w:sz="4" w:space="0" w:color="auto"/>
            </w:tcBorders>
            <w:vAlign w:val="center"/>
          </w:tcPr>
          <w:p w:rsidR="00FE49C5" w:rsidRPr="00F57008" w:rsidRDefault="00303374" w:rsidP="00731B8F">
            <w:pPr>
              <w:autoSpaceDE w:val="0"/>
              <w:autoSpaceDN w:val="0"/>
              <w:adjustRightInd w:val="0"/>
              <w:jc w:val="both"/>
              <w:rPr>
                <w:rFonts w:ascii="Times New Roman" w:hAnsi="Times New Roman" w:cs="Times New Roman"/>
                <w:color w:val="000000"/>
                <w:sz w:val="20"/>
                <w:szCs w:val="20"/>
              </w:rPr>
            </w:pPr>
            <w:r w:rsidRPr="00F57008">
              <w:rPr>
                <w:rFonts w:ascii="Times New Roman" w:hAnsi="Times New Roman" w:cs="Times New Roman"/>
                <w:color w:val="000000"/>
                <w:sz w:val="20"/>
                <w:szCs w:val="20"/>
                <w:lang w:val="en-IN" w:bidi="ar-SA"/>
              </w:rPr>
              <w:t>R-</w:t>
            </w:r>
            <w:r w:rsidR="00FE49C5" w:rsidRPr="00F57008">
              <w:rPr>
                <w:rFonts w:ascii="Times New Roman" w:hAnsi="Times New Roman" w:cs="Times New Roman"/>
                <w:color w:val="000000"/>
                <w:sz w:val="20"/>
                <w:szCs w:val="20"/>
                <w:lang w:val="en-IN" w:bidi="ar-SA"/>
              </w:rPr>
              <w:t>5’-GAT TTG CTG ATT TCG CTC GG-3’</w:t>
            </w:r>
          </w:p>
        </w:tc>
        <w:tc>
          <w:tcPr>
            <w:tcW w:w="786" w:type="pct"/>
            <w:vMerge/>
            <w:vAlign w:val="center"/>
          </w:tcPr>
          <w:p w:rsidR="00FE49C5" w:rsidRPr="00F57008" w:rsidRDefault="00FE49C5" w:rsidP="00982162">
            <w:pPr>
              <w:autoSpaceDE w:val="0"/>
              <w:autoSpaceDN w:val="0"/>
              <w:adjustRightInd w:val="0"/>
              <w:jc w:val="center"/>
              <w:rPr>
                <w:rFonts w:ascii="Times New Roman" w:hAnsi="Times New Roman" w:cs="Times New Roman"/>
                <w:color w:val="000000"/>
                <w:sz w:val="20"/>
                <w:szCs w:val="20"/>
              </w:rPr>
            </w:pPr>
          </w:p>
        </w:tc>
        <w:tc>
          <w:tcPr>
            <w:tcW w:w="1178" w:type="pct"/>
            <w:vMerge/>
            <w:vAlign w:val="center"/>
          </w:tcPr>
          <w:p w:rsidR="00FE49C5" w:rsidRPr="00F57008" w:rsidRDefault="00FE49C5" w:rsidP="00FE49C5">
            <w:pPr>
              <w:autoSpaceDE w:val="0"/>
              <w:autoSpaceDN w:val="0"/>
              <w:adjustRightInd w:val="0"/>
              <w:jc w:val="center"/>
              <w:rPr>
                <w:rFonts w:ascii="Times New Roman" w:hAnsi="Times New Roman" w:cs="Times New Roman"/>
                <w:color w:val="000000"/>
                <w:sz w:val="20"/>
                <w:szCs w:val="20"/>
              </w:rPr>
            </w:pPr>
          </w:p>
        </w:tc>
      </w:tr>
      <w:tr w:rsidR="00FA2DBA" w:rsidRPr="00F57008" w:rsidTr="000B21E3">
        <w:trPr>
          <w:trHeight w:val="20"/>
        </w:trPr>
        <w:tc>
          <w:tcPr>
            <w:tcW w:w="680" w:type="pct"/>
            <w:vMerge w:val="restart"/>
            <w:vAlign w:val="center"/>
          </w:tcPr>
          <w:p w:rsidR="00FE49C5" w:rsidRPr="00F57008" w:rsidRDefault="007C44D5" w:rsidP="00982162">
            <w:pPr>
              <w:autoSpaceDE w:val="0"/>
              <w:autoSpaceDN w:val="0"/>
              <w:adjustRightInd w:val="0"/>
              <w:rPr>
                <w:rFonts w:ascii="Times New Roman" w:hAnsi="Times New Roman" w:cs="Times New Roman"/>
                <w:iCs/>
                <w:color w:val="000000"/>
                <w:sz w:val="20"/>
                <w:szCs w:val="20"/>
              </w:rPr>
            </w:pPr>
            <w:r w:rsidRPr="00F57008">
              <w:rPr>
                <w:rFonts w:ascii="Times New Roman" w:hAnsi="Times New Roman" w:cs="Times New Roman"/>
                <w:iCs/>
                <w:color w:val="000000"/>
                <w:sz w:val="20"/>
                <w:szCs w:val="20"/>
                <w:lang w:val="en-IN" w:bidi="ar-SA"/>
              </w:rPr>
              <w:t>CTX-M</w:t>
            </w:r>
          </w:p>
        </w:tc>
        <w:tc>
          <w:tcPr>
            <w:tcW w:w="2356" w:type="pct"/>
            <w:tcBorders>
              <w:bottom w:val="nil"/>
            </w:tcBorders>
            <w:vAlign w:val="center"/>
          </w:tcPr>
          <w:p w:rsidR="00FE49C5" w:rsidRPr="00F57008" w:rsidRDefault="00303374" w:rsidP="00731B8F">
            <w:pPr>
              <w:autoSpaceDE w:val="0"/>
              <w:autoSpaceDN w:val="0"/>
              <w:adjustRightInd w:val="0"/>
              <w:jc w:val="both"/>
              <w:rPr>
                <w:rFonts w:ascii="Times New Roman" w:hAnsi="Times New Roman" w:cs="Times New Roman"/>
                <w:color w:val="000000"/>
                <w:sz w:val="20"/>
                <w:szCs w:val="20"/>
              </w:rPr>
            </w:pPr>
            <w:r w:rsidRPr="00F57008">
              <w:rPr>
                <w:rFonts w:ascii="Times New Roman" w:hAnsi="Times New Roman" w:cs="Times New Roman"/>
                <w:color w:val="000000"/>
                <w:sz w:val="20"/>
                <w:szCs w:val="20"/>
                <w:lang w:val="en-IN" w:bidi="ar-SA"/>
              </w:rPr>
              <w:t>F-</w:t>
            </w:r>
            <w:r w:rsidR="00FE49C5" w:rsidRPr="00F57008">
              <w:rPr>
                <w:rFonts w:ascii="Times New Roman" w:hAnsi="Times New Roman" w:cs="Times New Roman"/>
                <w:color w:val="000000"/>
                <w:sz w:val="20"/>
                <w:szCs w:val="20"/>
                <w:lang w:val="en-IN" w:bidi="ar-SA"/>
              </w:rPr>
              <w:t>5’-SCS ATG TGC AGY ACC AGT AA-3’</w:t>
            </w:r>
          </w:p>
        </w:tc>
        <w:tc>
          <w:tcPr>
            <w:tcW w:w="786" w:type="pct"/>
            <w:vMerge w:val="restart"/>
            <w:vAlign w:val="center"/>
          </w:tcPr>
          <w:p w:rsidR="00FE49C5" w:rsidRPr="00F57008" w:rsidRDefault="00FE49C5" w:rsidP="00982162">
            <w:pPr>
              <w:autoSpaceDE w:val="0"/>
              <w:autoSpaceDN w:val="0"/>
              <w:adjustRightInd w:val="0"/>
              <w:jc w:val="center"/>
              <w:rPr>
                <w:rFonts w:ascii="Times New Roman" w:hAnsi="Times New Roman" w:cs="Times New Roman"/>
                <w:color w:val="000000"/>
                <w:sz w:val="20"/>
                <w:szCs w:val="20"/>
              </w:rPr>
            </w:pPr>
            <w:r w:rsidRPr="00F57008">
              <w:rPr>
                <w:rFonts w:ascii="Times New Roman" w:hAnsi="Times New Roman" w:cs="Times New Roman"/>
                <w:color w:val="000000"/>
                <w:sz w:val="20"/>
                <w:szCs w:val="20"/>
              </w:rPr>
              <w:t>55</w:t>
            </w:r>
          </w:p>
        </w:tc>
        <w:tc>
          <w:tcPr>
            <w:tcW w:w="1178" w:type="pct"/>
            <w:vMerge w:val="restart"/>
            <w:vAlign w:val="center"/>
          </w:tcPr>
          <w:p w:rsidR="00FE49C5" w:rsidRPr="00F57008" w:rsidRDefault="00DB506D" w:rsidP="00633E8D">
            <w:pPr>
              <w:autoSpaceDE w:val="0"/>
              <w:autoSpaceDN w:val="0"/>
              <w:adjustRightInd w:val="0"/>
              <w:jc w:val="center"/>
              <w:rPr>
                <w:rFonts w:ascii="Times New Roman" w:hAnsi="Times New Roman" w:cs="Times New Roman"/>
                <w:color w:val="000000"/>
                <w:sz w:val="20"/>
                <w:szCs w:val="20"/>
              </w:rPr>
            </w:pPr>
            <w:r w:rsidRPr="00F57008">
              <w:rPr>
                <w:rFonts w:ascii="Times New Roman" w:hAnsi="Times New Roman" w:cs="Times New Roman"/>
                <w:color w:val="000000"/>
                <w:sz w:val="20"/>
                <w:szCs w:val="20"/>
              </w:rPr>
              <w:fldChar w:fldCharType="begin" w:fldLock="1"/>
            </w:r>
            <w:r w:rsidR="00EB53F5" w:rsidRPr="00F57008">
              <w:rPr>
                <w:rFonts w:ascii="Times New Roman" w:hAnsi="Times New Roman" w:cs="Times New Roman"/>
                <w:color w:val="000000"/>
                <w:sz w:val="20"/>
                <w:szCs w:val="20"/>
              </w:rPr>
              <w:instrText>ADDIN CSL_CITATION {"citationItems":[{"id":"ITEM-1","itemData":{"DOI":"10.1016/S0378-1097(02)00484-6","ISBN":"0378-1097 (Print)\\r0378-1097 (Linking)","ISSN":"03781097","PMID":"12007800","abstract":"Nine clinical isolates of Enterobacteriaceae (six Escherichia coli and three Proteus mirabilis) isolated in three Parisian hospitals between 1989 and 2000 showed a particular extended-spectrum cephalosporin-resistance profile characterized by resistance to cefotaxime and aztreonam but not to ceftazidime. CTX-M-1, CTX-M-2, CTX-M-9, CTX-M-14 and two novel plasmid-mediated CTX-M β-lactamases (CTX-M-20, and CTX-M-21) were identified by polymerase chain reaction and isoelectric focusing (pI&gt;8) and were associated in eight cases with TEM-1 (pI=5.4) or TEM-2 (pI=5.6) β-lactamases. We used internal ISEcp1 and IS26 forward primers and the CTX-M consensus reverse primer to characterize the CTX-M β-lactamase promoter regions and showed their high degree of structure diversity. We found upstream of some blaCTX-Mgenes, a 266-bp sequence 100% identical to the sequence upstream of the Kluyvera ascorbata β-lactamase gene, suggesting that this chromosomal enzyme is the progenitor of the CTX-M-2/5 cluster. © 2002 Federation of European Microbiological Societies. Published by Elsevier Science B.V. All rights reserved.","author":[{"dropping-particle":"","family":"Saladin","given":"Michèle","non-dropping-particle":"","parse-names":false,"suffix":""},{"dropping-particle":"","family":"Cao","given":"V. T B","non-dropping-particle":"","parse-names":false,"suffix":""},{"dropping-particle":"","family":"Lambert","given":"Thierry","non-dropping-particle":"","parse-names":false,"suffix":""},{"dropping-particle":"","family":"Donay","given":"Jean L.","non-dropping-particle":"","parse-names":false,"suffix":""},{"dropping-particle":"","family":"Herrmann","given":"Jean Louis","non-dropping-particle":"","parse-names":false,"suffix":""},{"dropping-particle":"","family":"Ould-Hocine","given":"Zahia","non-dropping-particle":"","parse-names":false,"suffix":""},{"dropping-particle":"","family":"Verdet","given":"Charlotte","non-dropping-particle":"","parse-names":false,"suffix":""},{"dropping-particle":"","family":"Delisle","given":"Françoise","non-dropping-particle":"","parse-names":false,"suffix":""},{"dropping-particle":"","family":"Philippon","given":"Alain","non-dropping-particle":"","parse-names":false,"suffix":""},{"dropping-particle":"","family":"Arlet","given":"Guillaume","non-dropping-particle":"","parse-names":false,"suffix":""}],"container-title":"FEMS Microbiology Letters","id":"ITEM-1","issue":"2","issued":{"date-parts":[["2002"]]},"page":"161-168","title":"Diversity of CTX-M β-lactamases and their promoter regions from Enterobacteriaceae isolated in three Parisian hospitals","type":"article-journal","volume":"209"},"uris":["http://www.mendeley.com/documents/?uuid=67aefc37-6e7e-4997-96a7-3f96d85539b5"]}],"mendeley":{"formattedCitation":"[2]","manualFormatting":"Saladin et al. 2002","plainTextFormattedCitation":"[2]","previouslyFormattedCitation":"[2]"},"properties":{"noteIndex":0},"schema":"https://github.com/citation-style-language/schema/raw/master/csl-citation.json"}</w:instrText>
            </w:r>
            <w:r w:rsidRPr="00F57008">
              <w:rPr>
                <w:rFonts w:ascii="Times New Roman" w:hAnsi="Times New Roman" w:cs="Times New Roman"/>
                <w:color w:val="000000"/>
                <w:sz w:val="20"/>
                <w:szCs w:val="20"/>
              </w:rPr>
              <w:fldChar w:fldCharType="separate"/>
            </w:r>
            <w:r w:rsidRPr="00F57008">
              <w:rPr>
                <w:rFonts w:ascii="Times New Roman" w:hAnsi="Times New Roman" w:cs="Times New Roman"/>
                <w:noProof/>
                <w:color w:val="000000"/>
                <w:sz w:val="20"/>
                <w:szCs w:val="20"/>
              </w:rPr>
              <w:t>Saladin et al. 2002</w:t>
            </w:r>
            <w:r w:rsidRPr="00F57008">
              <w:rPr>
                <w:rFonts w:ascii="Times New Roman" w:hAnsi="Times New Roman" w:cs="Times New Roman"/>
                <w:color w:val="000000"/>
                <w:sz w:val="20"/>
                <w:szCs w:val="20"/>
              </w:rPr>
              <w:fldChar w:fldCharType="end"/>
            </w:r>
          </w:p>
        </w:tc>
      </w:tr>
      <w:tr w:rsidR="00FA2DBA" w:rsidRPr="00F57008" w:rsidTr="000B21E3">
        <w:trPr>
          <w:trHeight w:val="20"/>
        </w:trPr>
        <w:tc>
          <w:tcPr>
            <w:tcW w:w="680" w:type="pct"/>
            <w:vMerge/>
            <w:vAlign w:val="center"/>
          </w:tcPr>
          <w:p w:rsidR="00FE49C5" w:rsidRPr="00F57008" w:rsidRDefault="00FE49C5" w:rsidP="00982162">
            <w:pPr>
              <w:autoSpaceDE w:val="0"/>
              <w:autoSpaceDN w:val="0"/>
              <w:adjustRightInd w:val="0"/>
              <w:rPr>
                <w:rFonts w:ascii="Times New Roman" w:hAnsi="Times New Roman" w:cs="Times New Roman"/>
                <w:iCs/>
                <w:color w:val="000000"/>
                <w:sz w:val="20"/>
                <w:szCs w:val="20"/>
              </w:rPr>
            </w:pPr>
          </w:p>
        </w:tc>
        <w:tc>
          <w:tcPr>
            <w:tcW w:w="2356" w:type="pct"/>
            <w:tcBorders>
              <w:top w:val="nil"/>
              <w:bottom w:val="single" w:sz="4" w:space="0" w:color="auto"/>
            </w:tcBorders>
            <w:vAlign w:val="center"/>
          </w:tcPr>
          <w:p w:rsidR="00FE49C5" w:rsidRPr="00F57008" w:rsidRDefault="00303374" w:rsidP="00731B8F">
            <w:pPr>
              <w:autoSpaceDE w:val="0"/>
              <w:autoSpaceDN w:val="0"/>
              <w:adjustRightInd w:val="0"/>
              <w:jc w:val="both"/>
              <w:rPr>
                <w:rFonts w:ascii="Times New Roman" w:hAnsi="Times New Roman" w:cs="Times New Roman"/>
                <w:color w:val="000000"/>
                <w:sz w:val="20"/>
                <w:szCs w:val="20"/>
              </w:rPr>
            </w:pPr>
            <w:r w:rsidRPr="00F57008">
              <w:rPr>
                <w:rFonts w:ascii="Times New Roman" w:hAnsi="Times New Roman" w:cs="Times New Roman"/>
                <w:color w:val="000000"/>
                <w:sz w:val="20"/>
                <w:szCs w:val="20"/>
                <w:lang w:val="en-IN" w:bidi="ar-SA"/>
              </w:rPr>
              <w:t>R-</w:t>
            </w:r>
            <w:r w:rsidR="00FE49C5" w:rsidRPr="00F57008">
              <w:rPr>
                <w:rFonts w:ascii="Times New Roman" w:hAnsi="Times New Roman" w:cs="Times New Roman"/>
                <w:color w:val="000000"/>
                <w:sz w:val="20"/>
                <w:szCs w:val="20"/>
                <w:lang w:val="en-IN" w:bidi="ar-SA"/>
              </w:rPr>
              <w:t xml:space="preserve">5’-CCG CRA TAT GRT TGG </w:t>
            </w:r>
            <w:proofErr w:type="spellStart"/>
            <w:r w:rsidR="00FE49C5" w:rsidRPr="00F57008">
              <w:rPr>
                <w:rFonts w:ascii="Times New Roman" w:hAnsi="Times New Roman" w:cs="Times New Roman"/>
                <w:color w:val="000000"/>
                <w:sz w:val="20"/>
                <w:szCs w:val="20"/>
                <w:lang w:val="en-IN" w:bidi="ar-SA"/>
              </w:rPr>
              <w:t>TGG</w:t>
            </w:r>
            <w:proofErr w:type="spellEnd"/>
            <w:r w:rsidR="00FE49C5" w:rsidRPr="00F57008">
              <w:rPr>
                <w:rFonts w:ascii="Times New Roman" w:hAnsi="Times New Roman" w:cs="Times New Roman"/>
                <w:color w:val="000000"/>
                <w:sz w:val="20"/>
                <w:szCs w:val="20"/>
                <w:lang w:val="en-IN" w:bidi="ar-SA"/>
              </w:rPr>
              <w:t xml:space="preserve"> TG-3’</w:t>
            </w:r>
          </w:p>
        </w:tc>
        <w:tc>
          <w:tcPr>
            <w:tcW w:w="786" w:type="pct"/>
            <w:vMerge/>
            <w:vAlign w:val="center"/>
          </w:tcPr>
          <w:p w:rsidR="00FE49C5" w:rsidRPr="00F57008" w:rsidRDefault="00FE49C5" w:rsidP="00982162">
            <w:pPr>
              <w:autoSpaceDE w:val="0"/>
              <w:autoSpaceDN w:val="0"/>
              <w:adjustRightInd w:val="0"/>
              <w:jc w:val="center"/>
              <w:rPr>
                <w:rFonts w:ascii="Times New Roman" w:hAnsi="Times New Roman" w:cs="Times New Roman"/>
                <w:color w:val="000000"/>
                <w:sz w:val="20"/>
                <w:szCs w:val="20"/>
              </w:rPr>
            </w:pPr>
          </w:p>
        </w:tc>
        <w:tc>
          <w:tcPr>
            <w:tcW w:w="1178" w:type="pct"/>
            <w:vMerge/>
            <w:vAlign w:val="center"/>
          </w:tcPr>
          <w:p w:rsidR="00FE49C5" w:rsidRPr="00F57008" w:rsidRDefault="00FE49C5" w:rsidP="00FE49C5">
            <w:pPr>
              <w:autoSpaceDE w:val="0"/>
              <w:autoSpaceDN w:val="0"/>
              <w:adjustRightInd w:val="0"/>
              <w:jc w:val="center"/>
              <w:rPr>
                <w:rFonts w:ascii="Times New Roman" w:hAnsi="Times New Roman" w:cs="Times New Roman"/>
                <w:color w:val="000000"/>
                <w:sz w:val="20"/>
                <w:szCs w:val="20"/>
              </w:rPr>
            </w:pPr>
          </w:p>
        </w:tc>
      </w:tr>
      <w:tr w:rsidR="00FA2DBA" w:rsidRPr="00F57008" w:rsidTr="000B21E3">
        <w:trPr>
          <w:trHeight w:val="20"/>
        </w:trPr>
        <w:tc>
          <w:tcPr>
            <w:tcW w:w="680" w:type="pct"/>
            <w:vMerge w:val="restart"/>
            <w:vAlign w:val="center"/>
          </w:tcPr>
          <w:p w:rsidR="00FE49C5" w:rsidRPr="00F57008" w:rsidRDefault="00FE49C5" w:rsidP="00982162">
            <w:pPr>
              <w:autoSpaceDE w:val="0"/>
              <w:autoSpaceDN w:val="0"/>
              <w:adjustRightInd w:val="0"/>
              <w:rPr>
                <w:rFonts w:ascii="Times New Roman" w:hAnsi="Times New Roman" w:cs="Times New Roman"/>
                <w:iCs/>
                <w:color w:val="000000"/>
                <w:sz w:val="20"/>
                <w:szCs w:val="20"/>
              </w:rPr>
            </w:pPr>
            <w:r w:rsidRPr="00F57008">
              <w:rPr>
                <w:rFonts w:ascii="Times New Roman" w:hAnsi="Times New Roman" w:cs="Times New Roman"/>
                <w:iCs/>
                <w:color w:val="000000"/>
                <w:sz w:val="20"/>
                <w:szCs w:val="20"/>
              </w:rPr>
              <w:t>K1</w:t>
            </w:r>
          </w:p>
        </w:tc>
        <w:tc>
          <w:tcPr>
            <w:tcW w:w="2356" w:type="pct"/>
            <w:tcBorders>
              <w:bottom w:val="nil"/>
            </w:tcBorders>
            <w:vAlign w:val="center"/>
          </w:tcPr>
          <w:p w:rsidR="00FE49C5" w:rsidRPr="00F57008" w:rsidRDefault="00303374" w:rsidP="00731B8F">
            <w:pPr>
              <w:autoSpaceDE w:val="0"/>
              <w:autoSpaceDN w:val="0"/>
              <w:adjustRightInd w:val="0"/>
              <w:jc w:val="both"/>
              <w:rPr>
                <w:rFonts w:ascii="Times New Roman" w:hAnsi="Times New Roman" w:cs="Times New Roman"/>
                <w:color w:val="000000"/>
                <w:sz w:val="20"/>
                <w:szCs w:val="20"/>
              </w:rPr>
            </w:pPr>
            <w:r w:rsidRPr="00F57008">
              <w:rPr>
                <w:rFonts w:ascii="Times New Roman" w:hAnsi="Times New Roman" w:cs="Times New Roman"/>
                <w:color w:val="000000"/>
                <w:sz w:val="20"/>
                <w:szCs w:val="20"/>
                <w:lang w:val="en-IN" w:bidi="ar-SA"/>
              </w:rPr>
              <w:t>F-</w:t>
            </w:r>
            <w:r w:rsidR="00FE49C5" w:rsidRPr="00F57008">
              <w:rPr>
                <w:rFonts w:ascii="Times New Roman" w:hAnsi="Times New Roman" w:cs="Times New Roman"/>
                <w:color w:val="000000"/>
                <w:sz w:val="20"/>
                <w:szCs w:val="20"/>
                <w:lang w:val="en-IN" w:bidi="ar-SA"/>
              </w:rPr>
              <w:t>5’-</w:t>
            </w:r>
            <w:r w:rsidR="00FE49C5" w:rsidRPr="00F57008">
              <w:rPr>
                <w:rFonts w:ascii="Times New Roman" w:hAnsi="Times New Roman" w:cs="Times New Roman"/>
                <w:color w:val="000000"/>
                <w:sz w:val="20"/>
                <w:szCs w:val="20"/>
              </w:rPr>
              <w:t>GGT GCT CTT TAC ATC ATT GC</w:t>
            </w:r>
            <w:r w:rsidR="00FE49C5" w:rsidRPr="00F57008">
              <w:rPr>
                <w:rFonts w:ascii="Times New Roman" w:hAnsi="Times New Roman" w:cs="Times New Roman"/>
                <w:color w:val="000000"/>
                <w:sz w:val="20"/>
                <w:szCs w:val="20"/>
                <w:lang w:val="en-IN" w:bidi="ar-SA"/>
              </w:rPr>
              <w:t>-3’</w:t>
            </w:r>
          </w:p>
        </w:tc>
        <w:tc>
          <w:tcPr>
            <w:tcW w:w="786" w:type="pct"/>
            <w:vMerge w:val="restart"/>
            <w:vAlign w:val="center"/>
          </w:tcPr>
          <w:p w:rsidR="00FE49C5" w:rsidRPr="00F57008" w:rsidRDefault="00FE49C5" w:rsidP="00982162">
            <w:pPr>
              <w:autoSpaceDE w:val="0"/>
              <w:autoSpaceDN w:val="0"/>
              <w:adjustRightInd w:val="0"/>
              <w:jc w:val="center"/>
              <w:rPr>
                <w:rFonts w:ascii="Times New Roman" w:hAnsi="Times New Roman" w:cs="Times New Roman"/>
                <w:color w:val="000000"/>
                <w:sz w:val="20"/>
                <w:szCs w:val="20"/>
              </w:rPr>
            </w:pPr>
            <w:r w:rsidRPr="00F57008">
              <w:rPr>
                <w:rFonts w:ascii="Times New Roman" w:hAnsi="Times New Roman" w:cs="Times New Roman"/>
                <w:color w:val="000000"/>
                <w:sz w:val="20"/>
                <w:szCs w:val="20"/>
              </w:rPr>
              <w:t>47</w:t>
            </w:r>
          </w:p>
        </w:tc>
        <w:tc>
          <w:tcPr>
            <w:tcW w:w="1178" w:type="pct"/>
            <w:vMerge w:val="restart"/>
            <w:vAlign w:val="center"/>
          </w:tcPr>
          <w:p w:rsidR="00FE49C5" w:rsidRPr="00F57008" w:rsidRDefault="00DB506D" w:rsidP="00633E8D">
            <w:pPr>
              <w:autoSpaceDE w:val="0"/>
              <w:autoSpaceDN w:val="0"/>
              <w:adjustRightInd w:val="0"/>
              <w:jc w:val="center"/>
              <w:rPr>
                <w:rFonts w:ascii="Times New Roman" w:hAnsi="Times New Roman" w:cs="Times New Roman"/>
                <w:color w:val="000000"/>
                <w:sz w:val="20"/>
                <w:szCs w:val="20"/>
              </w:rPr>
            </w:pPr>
            <w:r w:rsidRPr="00F57008">
              <w:rPr>
                <w:rFonts w:ascii="Times New Roman" w:hAnsi="Times New Roman" w:cs="Times New Roman"/>
                <w:color w:val="000000"/>
                <w:sz w:val="20"/>
                <w:szCs w:val="20"/>
              </w:rPr>
              <w:fldChar w:fldCharType="begin" w:fldLock="1"/>
            </w:r>
            <w:r w:rsidR="00EB53F5" w:rsidRPr="00F57008">
              <w:rPr>
                <w:rFonts w:ascii="Times New Roman" w:hAnsi="Times New Roman" w:cs="Times New Roman"/>
                <w:color w:val="000000"/>
                <w:sz w:val="20"/>
                <w:szCs w:val="20"/>
              </w:rPr>
              <w:instrText>ADDIN CSL_CITATION {"citationItems":[{"id":"ITEM-1","itemData":{"DOI":"10.1086/519262","ISBN":"1537-6591 (Electronic)\\r1058-4838 (Linking)","ISSN":"1058-4838","PMID":"17599305","abstract":"BACKGROUND: Since 1986, researchers have noted a syndrome of Klebsiella pneumoniae pyogenic liver abscess that is complicated by endophthalmitis or central nervous system infections. There are limited data regarding the role of bacterial genotype in the pathogenesis of this syndrome. METHODS: We conducted a retrospective cohort study involving 177 cases of K. pneumoniae pyogenic liver abscess treated during 1997-2005 at a tertiary university hospital in Taiwan. We performed bacterial cps genotyping by polymerase chain reaction detection of serotype-specific alleles at wzy and wzx loci and used an in vitro serum assay to evaluate the virulence of bacterial strains. RESULTS: Septic ocular or central nervous system complications developed in 23 patients (13%). Logistic regression analysis showed that genotype K1 was the only significant risk factor (adjusted odds ratio, 4.8; 95% confidence interval, 1.5-15.7, P=.009). The serum resistance assay indicated that, on average, K1 strains (n=100) were significantly more virulent than were strains of K2 (n=36), K20/K5/K54 (n=21), or other genotypes (n=20) (P&lt;.001 for each comparison). In addition to the serotype-specific cps region, the genomic background of K1 strains also differed significantly from that of non-K1 strains (20-kb kfu/PTS region, 97/100 vs. 13/77; P&lt;.001). Of the 19 cases in which genotype K1 strains caused complications, 8 patients (42%) did not have identifiable underlying medical diseases. CONCLUSIONS: K. pneumoniae genotype K1 is an emerging pathogen capable of causing catastrophic septic ocular or central nervous system complications from pyogenic liver abscess independent of underlying diseases in the host.","author":[{"dropping-particle":"","family":"Fang","given":"C.-T.","non-dropping-particle":"","parse-names":false,"suffix":""},{"dropping-particle":"","family":"Lai","given":"S.-Y.","non-dropping-particle":"","parse-names":false,"suffix":""},{"dropping-particle":"","family":"Yi","given":"W.-C.","non-dropping-particle":"","parse-names":false,"suffix":""},{"dropping-particle":"","family":"Hsueh","given":"P.-R.","non-dropping-particle":"","parse-names":false,"suffix":""},{"dropping-particle":"","family":"Liu","given":"K.-L.","non-dropping-particle":"","parse-names":false,"suffix":""},{"dropping-particle":"","family":"Chang","given":"S.-C.","non-dropping-particle":"","parse-names":false,"suffix":""}],"container-title":"Clinical Infectious Diseases","id":"ITEM-1","issue":"3","issued":{"date-parts":[["2007","8","1"]]},"page":"284-293","publisher":"Oxford University Press","title":"Klebsiella pneumoniae Genotype K1: An Emerging Pathogen That Causes Septic Ocular or Central Nervous System Complications from Pyogenic Liver Abscess","type":"article-journal","volume":"45"},"uris":["http://www.mendeley.com/documents/?uuid=9665a3e0-c46d-31e2-852a-a6a09275fb4a"]}],"mendeley":{"formattedCitation":"[3]","manualFormatting":"Fang et al. 2007","plainTextFormattedCitation":"[3]","previouslyFormattedCitation":"[3]"},"properties":{"noteIndex":0},"schema":"https://github.com/citation-style-language/schema/raw/master/csl-citation.json"}</w:instrText>
            </w:r>
            <w:r w:rsidRPr="00F57008">
              <w:rPr>
                <w:rFonts w:ascii="Times New Roman" w:hAnsi="Times New Roman" w:cs="Times New Roman"/>
                <w:color w:val="000000"/>
                <w:sz w:val="20"/>
                <w:szCs w:val="20"/>
              </w:rPr>
              <w:fldChar w:fldCharType="separate"/>
            </w:r>
            <w:r w:rsidRPr="00F57008">
              <w:rPr>
                <w:rFonts w:ascii="Times New Roman" w:hAnsi="Times New Roman" w:cs="Times New Roman"/>
                <w:noProof/>
                <w:color w:val="000000"/>
                <w:sz w:val="20"/>
                <w:szCs w:val="20"/>
              </w:rPr>
              <w:t>Fang et al. 2007</w:t>
            </w:r>
            <w:r w:rsidRPr="00F57008">
              <w:rPr>
                <w:rFonts w:ascii="Times New Roman" w:hAnsi="Times New Roman" w:cs="Times New Roman"/>
                <w:color w:val="000000"/>
                <w:sz w:val="20"/>
                <w:szCs w:val="20"/>
              </w:rPr>
              <w:fldChar w:fldCharType="end"/>
            </w:r>
          </w:p>
        </w:tc>
      </w:tr>
      <w:tr w:rsidR="00FA2DBA" w:rsidRPr="00F57008" w:rsidTr="000B21E3">
        <w:trPr>
          <w:trHeight w:val="20"/>
        </w:trPr>
        <w:tc>
          <w:tcPr>
            <w:tcW w:w="680" w:type="pct"/>
            <w:vMerge/>
            <w:vAlign w:val="center"/>
          </w:tcPr>
          <w:p w:rsidR="00FE49C5" w:rsidRPr="00F57008" w:rsidRDefault="00FE49C5" w:rsidP="00982162">
            <w:pPr>
              <w:autoSpaceDE w:val="0"/>
              <w:autoSpaceDN w:val="0"/>
              <w:adjustRightInd w:val="0"/>
              <w:rPr>
                <w:rFonts w:ascii="Times New Roman" w:hAnsi="Times New Roman" w:cs="Times New Roman"/>
                <w:iCs/>
                <w:color w:val="000000"/>
                <w:sz w:val="20"/>
                <w:szCs w:val="20"/>
              </w:rPr>
            </w:pPr>
          </w:p>
        </w:tc>
        <w:tc>
          <w:tcPr>
            <w:tcW w:w="2356" w:type="pct"/>
            <w:tcBorders>
              <w:top w:val="nil"/>
              <w:bottom w:val="single" w:sz="4" w:space="0" w:color="auto"/>
            </w:tcBorders>
            <w:vAlign w:val="center"/>
          </w:tcPr>
          <w:p w:rsidR="00FE49C5" w:rsidRPr="00F57008" w:rsidRDefault="00303374" w:rsidP="00731B8F">
            <w:pPr>
              <w:autoSpaceDE w:val="0"/>
              <w:autoSpaceDN w:val="0"/>
              <w:adjustRightInd w:val="0"/>
              <w:jc w:val="both"/>
              <w:rPr>
                <w:rFonts w:ascii="Times New Roman" w:hAnsi="Times New Roman" w:cs="Times New Roman"/>
                <w:color w:val="000000"/>
                <w:sz w:val="20"/>
                <w:szCs w:val="20"/>
              </w:rPr>
            </w:pPr>
            <w:r w:rsidRPr="00F57008">
              <w:rPr>
                <w:rFonts w:ascii="Times New Roman" w:hAnsi="Times New Roman" w:cs="Times New Roman"/>
                <w:color w:val="000000"/>
                <w:sz w:val="20"/>
                <w:szCs w:val="20"/>
                <w:lang w:val="en-IN" w:bidi="ar-SA"/>
              </w:rPr>
              <w:t>R-</w:t>
            </w:r>
            <w:r w:rsidR="00FE49C5" w:rsidRPr="00F57008">
              <w:rPr>
                <w:rFonts w:ascii="Times New Roman" w:hAnsi="Times New Roman" w:cs="Times New Roman"/>
                <w:color w:val="000000"/>
                <w:sz w:val="20"/>
                <w:szCs w:val="20"/>
                <w:lang w:val="en-IN" w:bidi="ar-SA"/>
              </w:rPr>
              <w:t>5’-</w:t>
            </w:r>
            <w:r w:rsidR="00FE49C5" w:rsidRPr="00F57008">
              <w:rPr>
                <w:rFonts w:ascii="Times New Roman" w:hAnsi="Times New Roman" w:cs="Times New Roman"/>
                <w:color w:val="000000"/>
                <w:sz w:val="20"/>
                <w:szCs w:val="20"/>
              </w:rPr>
              <w:t>GCA ATG GCC ATT TGC GTT AG</w:t>
            </w:r>
            <w:r w:rsidR="00FE49C5" w:rsidRPr="00F57008">
              <w:rPr>
                <w:rFonts w:ascii="Times New Roman" w:hAnsi="Times New Roman" w:cs="Times New Roman"/>
                <w:color w:val="000000"/>
                <w:sz w:val="20"/>
                <w:szCs w:val="20"/>
                <w:lang w:val="en-IN" w:bidi="ar-SA"/>
              </w:rPr>
              <w:t>-3’</w:t>
            </w:r>
          </w:p>
        </w:tc>
        <w:tc>
          <w:tcPr>
            <w:tcW w:w="786" w:type="pct"/>
            <w:vMerge/>
            <w:vAlign w:val="center"/>
          </w:tcPr>
          <w:p w:rsidR="00FE49C5" w:rsidRPr="00F57008" w:rsidRDefault="00FE49C5" w:rsidP="00982162">
            <w:pPr>
              <w:autoSpaceDE w:val="0"/>
              <w:autoSpaceDN w:val="0"/>
              <w:adjustRightInd w:val="0"/>
              <w:jc w:val="center"/>
              <w:rPr>
                <w:rFonts w:ascii="Times New Roman" w:hAnsi="Times New Roman" w:cs="Times New Roman"/>
                <w:color w:val="000000"/>
                <w:sz w:val="20"/>
                <w:szCs w:val="20"/>
              </w:rPr>
            </w:pPr>
          </w:p>
        </w:tc>
        <w:tc>
          <w:tcPr>
            <w:tcW w:w="1178" w:type="pct"/>
            <w:vMerge/>
            <w:vAlign w:val="center"/>
          </w:tcPr>
          <w:p w:rsidR="00FE49C5" w:rsidRPr="00F57008" w:rsidRDefault="00FE49C5" w:rsidP="00FE49C5">
            <w:pPr>
              <w:autoSpaceDE w:val="0"/>
              <w:autoSpaceDN w:val="0"/>
              <w:adjustRightInd w:val="0"/>
              <w:jc w:val="center"/>
              <w:rPr>
                <w:rFonts w:ascii="Times New Roman" w:hAnsi="Times New Roman" w:cs="Times New Roman"/>
                <w:color w:val="000000"/>
                <w:sz w:val="20"/>
                <w:szCs w:val="20"/>
              </w:rPr>
            </w:pPr>
          </w:p>
        </w:tc>
      </w:tr>
      <w:tr w:rsidR="00FA2DBA" w:rsidRPr="00F57008" w:rsidTr="000B21E3">
        <w:trPr>
          <w:trHeight w:val="20"/>
        </w:trPr>
        <w:tc>
          <w:tcPr>
            <w:tcW w:w="680" w:type="pct"/>
            <w:vMerge w:val="restart"/>
            <w:vAlign w:val="center"/>
          </w:tcPr>
          <w:p w:rsidR="00FE49C5" w:rsidRPr="00F57008" w:rsidRDefault="00FE49C5" w:rsidP="00982162">
            <w:pPr>
              <w:autoSpaceDE w:val="0"/>
              <w:autoSpaceDN w:val="0"/>
              <w:adjustRightInd w:val="0"/>
              <w:rPr>
                <w:rFonts w:ascii="Times New Roman" w:hAnsi="Times New Roman" w:cs="Times New Roman"/>
                <w:iCs/>
                <w:color w:val="000000"/>
                <w:sz w:val="20"/>
                <w:szCs w:val="20"/>
              </w:rPr>
            </w:pPr>
            <w:r w:rsidRPr="00F57008">
              <w:rPr>
                <w:rFonts w:ascii="Times New Roman" w:hAnsi="Times New Roman" w:cs="Times New Roman"/>
                <w:iCs/>
                <w:color w:val="000000"/>
                <w:sz w:val="20"/>
                <w:szCs w:val="20"/>
              </w:rPr>
              <w:t>K2</w:t>
            </w:r>
          </w:p>
        </w:tc>
        <w:tc>
          <w:tcPr>
            <w:tcW w:w="2356" w:type="pct"/>
            <w:tcBorders>
              <w:bottom w:val="nil"/>
            </w:tcBorders>
            <w:vAlign w:val="center"/>
          </w:tcPr>
          <w:p w:rsidR="00FE49C5" w:rsidRPr="00F57008" w:rsidRDefault="00303374" w:rsidP="00731B8F">
            <w:pPr>
              <w:autoSpaceDE w:val="0"/>
              <w:autoSpaceDN w:val="0"/>
              <w:adjustRightInd w:val="0"/>
              <w:jc w:val="both"/>
              <w:rPr>
                <w:rFonts w:ascii="Times New Roman" w:hAnsi="Times New Roman" w:cs="Times New Roman"/>
                <w:color w:val="000000"/>
                <w:sz w:val="20"/>
                <w:szCs w:val="20"/>
              </w:rPr>
            </w:pPr>
            <w:r w:rsidRPr="00F57008">
              <w:rPr>
                <w:rFonts w:ascii="Times New Roman" w:hAnsi="Times New Roman" w:cs="Times New Roman"/>
                <w:color w:val="000000"/>
                <w:sz w:val="20"/>
                <w:szCs w:val="20"/>
                <w:lang w:val="en-IN" w:bidi="ar-SA"/>
              </w:rPr>
              <w:t>F-</w:t>
            </w:r>
            <w:r w:rsidR="00FE49C5" w:rsidRPr="00F57008">
              <w:rPr>
                <w:rFonts w:ascii="Times New Roman" w:hAnsi="Times New Roman" w:cs="Times New Roman"/>
                <w:color w:val="000000"/>
                <w:sz w:val="20"/>
                <w:szCs w:val="20"/>
                <w:lang w:val="en-IN" w:bidi="ar-SA"/>
              </w:rPr>
              <w:t>5’-</w:t>
            </w:r>
            <w:r w:rsidR="00FE49C5" w:rsidRPr="00F57008">
              <w:rPr>
                <w:rFonts w:ascii="Times New Roman" w:hAnsi="Times New Roman" w:cs="Times New Roman"/>
                <w:color w:val="000000"/>
                <w:sz w:val="20"/>
                <w:szCs w:val="20"/>
              </w:rPr>
              <w:t>GGA TTA TGA CAG CCT CTC CT</w:t>
            </w:r>
            <w:r w:rsidR="00FE49C5" w:rsidRPr="00F57008">
              <w:rPr>
                <w:rFonts w:ascii="Times New Roman" w:hAnsi="Times New Roman" w:cs="Times New Roman"/>
                <w:color w:val="000000"/>
                <w:sz w:val="20"/>
                <w:szCs w:val="20"/>
                <w:lang w:val="en-IN" w:bidi="ar-SA"/>
              </w:rPr>
              <w:t>-3’</w:t>
            </w:r>
          </w:p>
        </w:tc>
        <w:tc>
          <w:tcPr>
            <w:tcW w:w="786" w:type="pct"/>
            <w:vMerge w:val="restart"/>
            <w:vAlign w:val="center"/>
          </w:tcPr>
          <w:p w:rsidR="00FE49C5" w:rsidRPr="00F57008" w:rsidRDefault="00FE49C5" w:rsidP="00982162">
            <w:pPr>
              <w:autoSpaceDE w:val="0"/>
              <w:autoSpaceDN w:val="0"/>
              <w:adjustRightInd w:val="0"/>
              <w:jc w:val="center"/>
              <w:rPr>
                <w:rFonts w:ascii="Times New Roman" w:hAnsi="Times New Roman" w:cs="Times New Roman"/>
                <w:color w:val="000000"/>
                <w:sz w:val="20"/>
                <w:szCs w:val="20"/>
              </w:rPr>
            </w:pPr>
            <w:r w:rsidRPr="00F57008">
              <w:rPr>
                <w:rFonts w:ascii="Times New Roman" w:hAnsi="Times New Roman" w:cs="Times New Roman"/>
                <w:color w:val="000000"/>
                <w:sz w:val="20"/>
                <w:szCs w:val="20"/>
              </w:rPr>
              <w:t>45</w:t>
            </w:r>
          </w:p>
        </w:tc>
        <w:tc>
          <w:tcPr>
            <w:tcW w:w="1178" w:type="pct"/>
            <w:vMerge w:val="restart"/>
            <w:vAlign w:val="center"/>
          </w:tcPr>
          <w:p w:rsidR="00FE49C5" w:rsidRPr="00F57008" w:rsidRDefault="00DB506D" w:rsidP="00633E8D">
            <w:pPr>
              <w:autoSpaceDE w:val="0"/>
              <w:autoSpaceDN w:val="0"/>
              <w:adjustRightInd w:val="0"/>
              <w:jc w:val="center"/>
              <w:rPr>
                <w:rFonts w:ascii="Times New Roman" w:hAnsi="Times New Roman" w:cs="Times New Roman"/>
                <w:color w:val="000000"/>
                <w:sz w:val="20"/>
                <w:szCs w:val="20"/>
              </w:rPr>
            </w:pPr>
            <w:r w:rsidRPr="00F57008">
              <w:rPr>
                <w:rFonts w:ascii="Times New Roman" w:hAnsi="Times New Roman" w:cs="Times New Roman"/>
                <w:color w:val="000000"/>
                <w:sz w:val="20"/>
                <w:szCs w:val="20"/>
              </w:rPr>
              <w:fldChar w:fldCharType="begin" w:fldLock="1"/>
            </w:r>
            <w:r w:rsidR="00EB53F5" w:rsidRPr="00F57008">
              <w:rPr>
                <w:rFonts w:ascii="Times New Roman" w:hAnsi="Times New Roman" w:cs="Times New Roman"/>
                <w:color w:val="000000"/>
                <w:sz w:val="20"/>
                <w:szCs w:val="20"/>
              </w:rPr>
              <w:instrText>ADDIN CSL_CITATION {"citationItems":[{"id":"ITEM-1","itemData":{"DOI":"10.1086/519262","ISBN":"1537-6591 (Electronic)\\r1058-4838 (Linking)","ISSN":"1058-4838","PMID":"17599305","abstract":"BACKGROUND: Since 1986, researchers have noted a syndrome of Klebsiella pneumoniae pyogenic liver abscess that is complicated by endophthalmitis or central nervous system infections. There are limited data regarding the role of bacterial genotype in the pathogenesis of this syndrome. METHODS: We conducted a retrospective cohort study involving 177 cases of K. pneumoniae pyogenic liver abscess treated during 1997-2005 at a tertiary university hospital in Taiwan. We performed bacterial cps genotyping by polymerase chain reaction detection of serotype-specific alleles at wzy and wzx loci and used an in vitro serum assay to evaluate the virulence of bacterial strains. RESULTS: Septic ocular or central nervous system complications developed in 23 patients (13%). Logistic regression analysis showed that genotype K1 was the only significant risk factor (adjusted odds ratio, 4.8; 95% confidence interval, 1.5-15.7, P=.009). The serum resistance assay indicated that, on average, K1 strains (n=100) were significantly more virulent than were strains of K2 (n=36), K20/K5/K54 (n=21), or other genotypes (n=20) (P&lt;.001 for each comparison). In addition to the serotype-specific cps region, the genomic background of K1 strains also differed significantly from that of non-K1 strains (20-kb kfu/PTS region, 97/100 vs. 13/77; P&lt;.001). Of the 19 cases in which genotype K1 strains caused complications, 8 patients (42%) did not have identifiable underlying medical diseases. CONCLUSIONS: K. pneumoniae genotype K1 is an emerging pathogen capable of causing catastrophic septic ocular or central nervous system complications from pyogenic liver abscess independent of underlying diseases in the host.","author":[{"dropping-particle":"","family":"Fang","given":"C.-T.","non-dropping-particle":"","parse-names":false,"suffix":""},{"dropping-particle":"","family":"Lai","given":"S.-Y.","non-dropping-particle":"","parse-names":false,"suffix":""},{"dropping-particle":"","family":"Yi","given":"W.-C.","non-dropping-particle":"","parse-names":false,"suffix":""},{"dropping-particle":"","family":"Hsueh","given":"P.-R.","non-dropping-particle":"","parse-names":false,"suffix":""},{"dropping-particle":"","family":"Liu","given":"K.-L.","non-dropping-particle":"","parse-names":false,"suffix":""},{"dropping-particle":"","family":"Chang","given":"S.-C.","non-dropping-particle":"","parse-names":false,"suffix":""}],"container-title":"Clinical Infectious Diseases","id":"ITEM-1","issue":"3","issued":{"date-parts":[["2007","8","1"]]},"page":"284-293","publisher":"Oxford University Press","title":"Klebsiella pneumoniae Genotype K1: An Emerging Pathogen That Causes Septic Ocular or Central Nervous System Complications from Pyogenic Liver Abscess","type":"article-journal","volume":"45"},"uris":["http://www.mendeley.com/documents/?uuid=9665a3e0-c46d-31e2-852a-a6a09275fb4a"]}],"mendeley":{"formattedCitation":"[3]","manualFormatting":"Fang et al. 2007","plainTextFormattedCitation":"[3]","previouslyFormattedCitation":"[3]"},"properties":{"noteIndex":0},"schema":"https://github.com/citation-style-language/schema/raw/master/csl-citation.json"}</w:instrText>
            </w:r>
            <w:r w:rsidRPr="00F57008">
              <w:rPr>
                <w:rFonts w:ascii="Times New Roman" w:hAnsi="Times New Roman" w:cs="Times New Roman"/>
                <w:color w:val="000000"/>
                <w:sz w:val="20"/>
                <w:szCs w:val="20"/>
              </w:rPr>
              <w:fldChar w:fldCharType="separate"/>
            </w:r>
            <w:r w:rsidRPr="00F57008">
              <w:rPr>
                <w:rFonts w:ascii="Times New Roman" w:hAnsi="Times New Roman" w:cs="Times New Roman"/>
                <w:noProof/>
                <w:color w:val="000000"/>
                <w:sz w:val="20"/>
                <w:szCs w:val="20"/>
              </w:rPr>
              <w:t>Fang et al. 2007</w:t>
            </w:r>
            <w:r w:rsidRPr="00F57008">
              <w:rPr>
                <w:rFonts w:ascii="Times New Roman" w:hAnsi="Times New Roman" w:cs="Times New Roman"/>
                <w:color w:val="000000"/>
                <w:sz w:val="20"/>
                <w:szCs w:val="20"/>
              </w:rPr>
              <w:fldChar w:fldCharType="end"/>
            </w:r>
          </w:p>
        </w:tc>
      </w:tr>
      <w:tr w:rsidR="00FA2DBA" w:rsidRPr="00F57008" w:rsidTr="000B21E3">
        <w:trPr>
          <w:trHeight w:val="20"/>
        </w:trPr>
        <w:tc>
          <w:tcPr>
            <w:tcW w:w="680" w:type="pct"/>
            <w:vMerge/>
            <w:vAlign w:val="center"/>
          </w:tcPr>
          <w:p w:rsidR="00FE49C5" w:rsidRPr="00F57008" w:rsidRDefault="00FE49C5" w:rsidP="00982162">
            <w:pPr>
              <w:autoSpaceDE w:val="0"/>
              <w:autoSpaceDN w:val="0"/>
              <w:adjustRightInd w:val="0"/>
              <w:rPr>
                <w:rFonts w:ascii="Times New Roman" w:hAnsi="Times New Roman" w:cs="Times New Roman"/>
                <w:iCs/>
                <w:color w:val="000000"/>
                <w:sz w:val="20"/>
                <w:szCs w:val="20"/>
              </w:rPr>
            </w:pPr>
          </w:p>
        </w:tc>
        <w:tc>
          <w:tcPr>
            <w:tcW w:w="2356" w:type="pct"/>
            <w:tcBorders>
              <w:top w:val="nil"/>
              <w:bottom w:val="single" w:sz="4" w:space="0" w:color="auto"/>
            </w:tcBorders>
            <w:vAlign w:val="center"/>
          </w:tcPr>
          <w:p w:rsidR="00FE49C5" w:rsidRPr="00F57008" w:rsidRDefault="00303374" w:rsidP="00731B8F">
            <w:pPr>
              <w:autoSpaceDE w:val="0"/>
              <w:autoSpaceDN w:val="0"/>
              <w:adjustRightInd w:val="0"/>
              <w:jc w:val="both"/>
              <w:rPr>
                <w:rFonts w:ascii="Times New Roman" w:hAnsi="Times New Roman" w:cs="Times New Roman"/>
                <w:color w:val="000000"/>
                <w:sz w:val="20"/>
                <w:szCs w:val="20"/>
              </w:rPr>
            </w:pPr>
            <w:r w:rsidRPr="00F57008">
              <w:rPr>
                <w:rFonts w:ascii="Times New Roman" w:hAnsi="Times New Roman" w:cs="Times New Roman"/>
                <w:color w:val="000000"/>
                <w:sz w:val="20"/>
                <w:szCs w:val="20"/>
                <w:lang w:val="en-IN" w:bidi="ar-SA"/>
              </w:rPr>
              <w:t>R-</w:t>
            </w:r>
            <w:r w:rsidR="00FE49C5" w:rsidRPr="00F57008">
              <w:rPr>
                <w:rFonts w:ascii="Times New Roman" w:hAnsi="Times New Roman" w:cs="Times New Roman"/>
                <w:color w:val="000000"/>
                <w:sz w:val="20"/>
                <w:szCs w:val="20"/>
                <w:lang w:val="en-IN" w:bidi="ar-SA"/>
              </w:rPr>
              <w:t>5’-</w:t>
            </w:r>
            <w:r w:rsidR="00FE49C5" w:rsidRPr="00F57008">
              <w:rPr>
                <w:rFonts w:ascii="Times New Roman" w:hAnsi="Times New Roman" w:cs="Times New Roman"/>
                <w:color w:val="000000"/>
                <w:sz w:val="20"/>
                <w:szCs w:val="20"/>
              </w:rPr>
              <w:t>CGA CTT GGT CCC AAC AGT TT</w:t>
            </w:r>
            <w:r w:rsidR="00FE49C5" w:rsidRPr="00F57008">
              <w:rPr>
                <w:rFonts w:ascii="Times New Roman" w:hAnsi="Times New Roman" w:cs="Times New Roman"/>
                <w:color w:val="000000"/>
                <w:sz w:val="20"/>
                <w:szCs w:val="20"/>
                <w:lang w:val="en-IN" w:bidi="ar-SA"/>
              </w:rPr>
              <w:t>-3’</w:t>
            </w:r>
          </w:p>
        </w:tc>
        <w:tc>
          <w:tcPr>
            <w:tcW w:w="786" w:type="pct"/>
            <w:vMerge/>
            <w:vAlign w:val="center"/>
          </w:tcPr>
          <w:p w:rsidR="00FE49C5" w:rsidRPr="00F57008" w:rsidRDefault="00FE49C5" w:rsidP="00982162">
            <w:pPr>
              <w:autoSpaceDE w:val="0"/>
              <w:autoSpaceDN w:val="0"/>
              <w:adjustRightInd w:val="0"/>
              <w:jc w:val="center"/>
              <w:rPr>
                <w:rFonts w:ascii="Times New Roman" w:hAnsi="Times New Roman" w:cs="Times New Roman"/>
                <w:color w:val="000000"/>
                <w:sz w:val="20"/>
                <w:szCs w:val="20"/>
              </w:rPr>
            </w:pPr>
          </w:p>
        </w:tc>
        <w:tc>
          <w:tcPr>
            <w:tcW w:w="1178" w:type="pct"/>
            <w:vMerge/>
            <w:vAlign w:val="center"/>
          </w:tcPr>
          <w:p w:rsidR="00FE49C5" w:rsidRPr="00F57008" w:rsidRDefault="00FE49C5" w:rsidP="00FE49C5">
            <w:pPr>
              <w:autoSpaceDE w:val="0"/>
              <w:autoSpaceDN w:val="0"/>
              <w:adjustRightInd w:val="0"/>
              <w:jc w:val="center"/>
              <w:rPr>
                <w:rFonts w:ascii="Times New Roman" w:hAnsi="Times New Roman" w:cs="Times New Roman"/>
                <w:color w:val="000000"/>
                <w:sz w:val="20"/>
                <w:szCs w:val="20"/>
              </w:rPr>
            </w:pPr>
          </w:p>
        </w:tc>
      </w:tr>
      <w:tr w:rsidR="000B21E3" w:rsidRPr="00F57008" w:rsidTr="000B21E3">
        <w:trPr>
          <w:trHeight w:val="20"/>
        </w:trPr>
        <w:tc>
          <w:tcPr>
            <w:tcW w:w="680" w:type="pct"/>
            <w:vMerge w:val="restart"/>
            <w:vAlign w:val="center"/>
          </w:tcPr>
          <w:p w:rsidR="00FE49C5" w:rsidRPr="00F57008" w:rsidRDefault="00FE49C5" w:rsidP="00982162">
            <w:pPr>
              <w:autoSpaceDE w:val="0"/>
              <w:autoSpaceDN w:val="0"/>
              <w:adjustRightInd w:val="0"/>
              <w:rPr>
                <w:rFonts w:ascii="Times New Roman" w:hAnsi="Times New Roman" w:cs="Times New Roman"/>
                <w:iCs/>
                <w:color w:val="000000"/>
                <w:sz w:val="20"/>
                <w:szCs w:val="20"/>
              </w:rPr>
            </w:pPr>
            <w:proofErr w:type="spellStart"/>
            <w:r w:rsidRPr="00F57008">
              <w:rPr>
                <w:rFonts w:ascii="Times New Roman" w:hAnsi="Times New Roman" w:cs="Times New Roman"/>
                <w:iCs/>
                <w:color w:val="000000"/>
                <w:sz w:val="20"/>
                <w:szCs w:val="20"/>
              </w:rPr>
              <w:t>mrkD</w:t>
            </w:r>
            <w:proofErr w:type="spellEnd"/>
          </w:p>
        </w:tc>
        <w:tc>
          <w:tcPr>
            <w:tcW w:w="2356" w:type="pct"/>
            <w:tcBorders>
              <w:bottom w:val="nil"/>
            </w:tcBorders>
            <w:vAlign w:val="center"/>
          </w:tcPr>
          <w:p w:rsidR="00FE49C5" w:rsidRPr="00F57008" w:rsidRDefault="00303374" w:rsidP="00731B8F">
            <w:pPr>
              <w:autoSpaceDE w:val="0"/>
              <w:autoSpaceDN w:val="0"/>
              <w:adjustRightInd w:val="0"/>
              <w:jc w:val="both"/>
              <w:rPr>
                <w:rFonts w:ascii="Times New Roman" w:hAnsi="Times New Roman" w:cs="Times New Roman"/>
                <w:color w:val="000000"/>
                <w:sz w:val="20"/>
                <w:szCs w:val="20"/>
              </w:rPr>
            </w:pPr>
            <w:r w:rsidRPr="00F57008">
              <w:rPr>
                <w:rFonts w:ascii="Times New Roman" w:hAnsi="Times New Roman" w:cs="Times New Roman"/>
                <w:color w:val="000000"/>
                <w:sz w:val="20"/>
                <w:szCs w:val="20"/>
                <w:lang w:val="en-IN" w:bidi="ar-SA"/>
              </w:rPr>
              <w:t>F-</w:t>
            </w:r>
            <w:r w:rsidR="00FE49C5" w:rsidRPr="00F57008">
              <w:rPr>
                <w:rFonts w:ascii="Times New Roman" w:hAnsi="Times New Roman" w:cs="Times New Roman"/>
                <w:color w:val="000000"/>
                <w:sz w:val="20"/>
                <w:szCs w:val="20"/>
                <w:lang w:val="en-IN" w:bidi="ar-SA"/>
              </w:rPr>
              <w:t>5’-</w:t>
            </w:r>
            <w:r w:rsidR="00FE49C5" w:rsidRPr="00F57008">
              <w:rPr>
                <w:rFonts w:ascii="Times New Roman" w:hAnsi="Times New Roman" w:cs="Times New Roman"/>
                <w:color w:val="000000"/>
                <w:sz w:val="20"/>
                <w:szCs w:val="20"/>
              </w:rPr>
              <w:t xml:space="preserve">CCA </w:t>
            </w:r>
            <w:proofErr w:type="spellStart"/>
            <w:r w:rsidR="00FE49C5" w:rsidRPr="00F57008">
              <w:rPr>
                <w:rFonts w:ascii="Times New Roman" w:hAnsi="Times New Roman" w:cs="Times New Roman"/>
                <w:color w:val="000000"/>
                <w:sz w:val="20"/>
                <w:szCs w:val="20"/>
              </w:rPr>
              <w:t>CCA</w:t>
            </w:r>
            <w:proofErr w:type="spellEnd"/>
            <w:r w:rsidR="00FE49C5" w:rsidRPr="00F57008">
              <w:rPr>
                <w:rFonts w:ascii="Times New Roman" w:hAnsi="Times New Roman" w:cs="Times New Roman"/>
                <w:color w:val="000000"/>
                <w:sz w:val="20"/>
                <w:szCs w:val="20"/>
              </w:rPr>
              <w:t xml:space="preserve"> ACT ATT CCC TCG AA</w:t>
            </w:r>
            <w:r w:rsidR="00FE49C5" w:rsidRPr="00F57008">
              <w:rPr>
                <w:rFonts w:ascii="Times New Roman" w:hAnsi="Times New Roman" w:cs="Times New Roman"/>
                <w:color w:val="000000"/>
                <w:sz w:val="20"/>
                <w:szCs w:val="20"/>
                <w:lang w:val="en-IN" w:bidi="ar-SA"/>
              </w:rPr>
              <w:t>-3’</w:t>
            </w:r>
          </w:p>
        </w:tc>
        <w:tc>
          <w:tcPr>
            <w:tcW w:w="786" w:type="pct"/>
            <w:vMerge w:val="restart"/>
            <w:vAlign w:val="center"/>
          </w:tcPr>
          <w:p w:rsidR="00FE49C5" w:rsidRPr="00F57008" w:rsidRDefault="00FE49C5" w:rsidP="00982162">
            <w:pPr>
              <w:autoSpaceDE w:val="0"/>
              <w:autoSpaceDN w:val="0"/>
              <w:adjustRightInd w:val="0"/>
              <w:jc w:val="center"/>
              <w:rPr>
                <w:rFonts w:ascii="Times New Roman" w:hAnsi="Times New Roman" w:cs="Times New Roman"/>
                <w:color w:val="000000"/>
                <w:sz w:val="20"/>
                <w:szCs w:val="20"/>
              </w:rPr>
            </w:pPr>
            <w:r w:rsidRPr="00F57008">
              <w:rPr>
                <w:rFonts w:ascii="Times New Roman" w:hAnsi="Times New Roman" w:cs="Times New Roman"/>
                <w:color w:val="000000"/>
                <w:sz w:val="20"/>
                <w:szCs w:val="20"/>
              </w:rPr>
              <w:t>52</w:t>
            </w:r>
          </w:p>
        </w:tc>
        <w:tc>
          <w:tcPr>
            <w:tcW w:w="1178" w:type="pct"/>
            <w:vMerge w:val="restart"/>
            <w:vAlign w:val="center"/>
          </w:tcPr>
          <w:p w:rsidR="00FE49C5" w:rsidRPr="00F57008" w:rsidRDefault="00566244" w:rsidP="00633E8D">
            <w:pPr>
              <w:autoSpaceDE w:val="0"/>
              <w:autoSpaceDN w:val="0"/>
              <w:adjustRightInd w:val="0"/>
              <w:jc w:val="center"/>
              <w:rPr>
                <w:rFonts w:ascii="Times New Roman" w:hAnsi="Times New Roman" w:cs="Times New Roman"/>
                <w:color w:val="000000"/>
                <w:sz w:val="20"/>
                <w:szCs w:val="20"/>
              </w:rPr>
            </w:pPr>
            <w:r w:rsidRPr="00F57008">
              <w:rPr>
                <w:rFonts w:ascii="Times New Roman" w:hAnsi="Times New Roman" w:cs="Times New Roman"/>
                <w:color w:val="000000"/>
                <w:sz w:val="20"/>
                <w:szCs w:val="20"/>
              </w:rPr>
              <w:fldChar w:fldCharType="begin" w:fldLock="1"/>
            </w:r>
            <w:r w:rsidR="00EB53F5" w:rsidRPr="00F57008">
              <w:rPr>
                <w:rFonts w:ascii="Times New Roman" w:hAnsi="Times New Roman" w:cs="Times New Roman"/>
                <w:color w:val="000000"/>
                <w:sz w:val="20"/>
                <w:szCs w:val="20"/>
              </w:rPr>
              <w:instrText>ADDIN CSL_CITATION {"citationItems":[{"id":"ITEM-1","itemData":{"DOI":"10.1016/j.patbio.2012.10.004","ISBN":"0369-8114","ISSN":"03698114","PMID":"23218835","abstract":"Aim of the study: To detect virulence factors in 54 Klebsiella pneumoniae isolates from different clinical specimens: urine (26), blood (11), pus (11), lung (four), cerebrospinal fluid (one) and ascitic fluid (one). Material and methods: PCR was used to investigate virulence genes encoding adhesins (fimH-1, mrkD, kpn, ycfM), siderophores (entB: enterobactin, iutA: aerobactin, irp-1, irp-2, ybtS, fyuA: yersiniabactin, iroN: catechols receptor), protectines or invasins (rmpA, magA, traT) and toxins (hlyA, cnf-1). The serum resistance, capsule and hypermucoviscosity, and ability to form biofilm and produce siderophores were sought by phenotypic assays. The in vivo virulence was assessed in mice infected by intraperitoneal way. Antimicrobial susceptibility was tested by diffusion method. Results: The most common virulence genes were fimH-1 (100%), mrkD (96.3%), ycfM (96.3%), and entB (100%). kpn and yersiniabactin genes were found at medium rates of 63% and 46.3% and at lower prevalence, were genes traT (1.8%), iroN (3.7%), iutA (5.5%) and rmpA (3.7%). magA, hlyA and cnf-1 genes were not detected. The capsule, serum resistance, biofilm formation, mannose-sensitive or -resistant haemagglutination and hypermucoviscosity were observed in 100%, 92.6%, 88.8%, 94.4%, 68.5% and 9.2% of isolates, respectively. The prevalence of siderophores was consistent with that of genotypic detection. The LD50in mice was very low (&lt;102CFUs) for isolates with the most virulence factors. A rate of 74.1% of isolates showed a multidrug resistance (MDR) pattern. Conclusions: The distribution of virulence profiles according to the clinical origin suggests a role of enterobactin in urinary infections and yersiniabactin in the invasiveness. The fimbriae F1 and F3, capsule, enterobactin, serum resistance and biofilm formation, were commonly found in isolates, they seem to be at the basis of classic pathogenicity of K. pneumoniae. The invasiveness enhancers, aerobactin, yersiniabactin, catechols receptor, mucoid factor and hypermucoviscosity, detected concomitantly in some isolates, constitute a threat for vulnerable populations, even more if they are in combination with antibiotic resistance. © 2012 Elsevier Masson SAS.","author":[{"dropping-particle":"","family":"Fertas-Aissani","given":"R.","non-dropping-particle":"El","parse-names":false,"suffix":""},{"dropping-particle":"","family":"Messai","given":"Y.","non-dropping-particle":"","parse-names":false,"suffix":""},{"dropping-particle":"","family":"Alouache","given":"S.","non-dropping-particle":"","parse-names":false,"suffix":""},{"dropping-particle":"","family":"Bakour","given":"R.","non-dropping-particle":"","parse-names":false,"suffix":""}],"container-title":"Pathologie Biologie","id":"ITEM-1","issue":"5","issued":{"date-parts":[["2013"]]},"page":"209-216","publisher":"Elsevier Masson SAS","title":"Virulence profiles and antibiotic susceptibility patterns of Klebsiella pneumoniae strains isolated from different clinical specimens","type":"article-journal","volume":"61"},"uris":["http://www.mendeley.com/documents/?uuid=cfe62957-f57d-42ed-b645-be0c464e1b69"]}],"mendeley":{"formattedCitation":"[4]","manualFormatting":"El Fertas-Aissani et al. 2013","plainTextFormattedCitation":"[4]","previouslyFormattedCitation":"[4]"},"properties":{"noteIndex":0},"schema":"https://github.com/citation-style-language/schema/raw/master/csl-citation.json"}</w:instrText>
            </w:r>
            <w:r w:rsidRPr="00F57008">
              <w:rPr>
                <w:rFonts w:ascii="Times New Roman" w:hAnsi="Times New Roman" w:cs="Times New Roman"/>
                <w:color w:val="000000"/>
                <w:sz w:val="20"/>
                <w:szCs w:val="20"/>
              </w:rPr>
              <w:fldChar w:fldCharType="separate"/>
            </w:r>
            <w:r w:rsidRPr="00F57008">
              <w:rPr>
                <w:rFonts w:ascii="Times New Roman" w:hAnsi="Times New Roman" w:cs="Times New Roman"/>
                <w:noProof/>
                <w:color w:val="000000"/>
                <w:sz w:val="20"/>
                <w:szCs w:val="20"/>
              </w:rPr>
              <w:t>El Fertas-Aissani et al. 2013</w:t>
            </w:r>
            <w:r w:rsidRPr="00F57008">
              <w:rPr>
                <w:rFonts w:ascii="Times New Roman" w:hAnsi="Times New Roman" w:cs="Times New Roman"/>
                <w:color w:val="000000"/>
                <w:sz w:val="20"/>
                <w:szCs w:val="20"/>
              </w:rPr>
              <w:fldChar w:fldCharType="end"/>
            </w:r>
          </w:p>
        </w:tc>
      </w:tr>
      <w:tr w:rsidR="000B21E3" w:rsidRPr="00F57008" w:rsidTr="000B21E3">
        <w:trPr>
          <w:trHeight w:val="20"/>
        </w:trPr>
        <w:tc>
          <w:tcPr>
            <w:tcW w:w="680" w:type="pct"/>
            <w:vMerge/>
            <w:vAlign w:val="center"/>
          </w:tcPr>
          <w:p w:rsidR="00FE49C5" w:rsidRPr="00F57008" w:rsidRDefault="00FE49C5" w:rsidP="00982162">
            <w:pPr>
              <w:autoSpaceDE w:val="0"/>
              <w:autoSpaceDN w:val="0"/>
              <w:adjustRightInd w:val="0"/>
              <w:rPr>
                <w:rFonts w:ascii="Times New Roman" w:hAnsi="Times New Roman" w:cs="Times New Roman"/>
                <w:iCs/>
                <w:color w:val="000000"/>
                <w:sz w:val="20"/>
                <w:szCs w:val="20"/>
              </w:rPr>
            </w:pPr>
          </w:p>
        </w:tc>
        <w:tc>
          <w:tcPr>
            <w:tcW w:w="2356" w:type="pct"/>
            <w:tcBorders>
              <w:top w:val="nil"/>
              <w:bottom w:val="single" w:sz="4" w:space="0" w:color="auto"/>
            </w:tcBorders>
            <w:vAlign w:val="center"/>
          </w:tcPr>
          <w:p w:rsidR="00FE49C5" w:rsidRPr="00F57008" w:rsidRDefault="00303374" w:rsidP="00731B8F">
            <w:pPr>
              <w:autoSpaceDE w:val="0"/>
              <w:autoSpaceDN w:val="0"/>
              <w:adjustRightInd w:val="0"/>
              <w:jc w:val="both"/>
              <w:rPr>
                <w:rFonts w:ascii="Times New Roman" w:hAnsi="Times New Roman" w:cs="Times New Roman"/>
                <w:color w:val="000000"/>
                <w:sz w:val="20"/>
                <w:szCs w:val="20"/>
              </w:rPr>
            </w:pPr>
            <w:r w:rsidRPr="00F57008">
              <w:rPr>
                <w:rFonts w:ascii="Times New Roman" w:hAnsi="Times New Roman" w:cs="Times New Roman"/>
                <w:color w:val="000000"/>
                <w:sz w:val="20"/>
                <w:szCs w:val="20"/>
                <w:lang w:val="en-IN" w:bidi="ar-SA"/>
              </w:rPr>
              <w:t>R-</w:t>
            </w:r>
            <w:r w:rsidR="00FE49C5" w:rsidRPr="00F57008">
              <w:rPr>
                <w:rFonts w:ascii="Times New Roman" w:hAnsi="Times New Roman" w:cs="Times New Roman"/>
                <w:color w:val="000000"/>
                <w:sz w:val="20"/>
                <w:szCs w:val="20"/>
                <w:lang w:val="en-IN" w:bidi="ar-SA"/>
              </w:rPr>
              <w:t>5’-</w:t>
            </w:r>
            <w:r w:rsidR="00FE49C5" w:rsidRPr="00F57008">
              <w:rPr>
                <w:rFonts w:ascii="Times New Roman" w:hAnsi="Times New Roman" w:cs="Times New Roman"/>
                <w:color w:val="000000"/>
                <w:sz w:val="20"/>
                <w:szCs w:val="20"/>
              </w:rPr>
              <w:t>ATG GAA CCC ACA TCG ACA TT</w:t>
            </w:r>
            <w:r w:rsidR="00FE49C5" w:rsidRPr="00F57008">
              <w:rPr>
                <w:rFonts w:ascii="Times New Roman" w:hAnsi="Times New Roman" w:cs="Times New Roman"/>
                <w:color w:val="000000"/>
                <w:sz w:val="20"/>
                <w:szCs w:val="20"/>
                <w:lang w:val="en-IN" w:bidi="ar-SA"/>
              </w:rPr>
              <w:t>-3’</w:t>
            </w:r>
          </w:p>
        </w:tc>
        <w:tc>
          <w:tcPr>
            <w:tcW w:w="786" w:type="pct"/>
            <w:vMerge/>
            <w:vAlign w:val="center"/>
          </w:tcPr>
          <w:p w:rsidR="00FE49C5" w:rsidRPr="00F57008" w:rsidRDefault="00FE49C5" w:rsidP="00982162">
            <w:pPr>
              <w:autoSpaceDE w:val="0"/>
              <w:autoSpaceDN w:val="0"/>
              <w:adjustRightInd w:val="0"/>
              <w:jc w:val="center"/>
              <w:rPr>
                <w:rFonts w:ascii="Times New Roman" w:hAnsi="Times New Roman" w:cs="Times New Roman"/>
                <w:color w:val="000000"/>
                <w:sz w:val="20"/>
                <w:szCs w:val="20"/>
              </w:rPr>
            </w:pPr>
          </w:p>
        </w:tc>
        <w:tc>
          <w:tcPr>
            <w:tcW w:w="1178" w:type="pct"/>
            <w:vMerge/>
            <w:vAlign w:val="center"/>
          </w:tcPr>
          <w:p w:rsidR="00FE49C5" w:rsidRPr="00F57008" w:rsidRDefault="00FE49C5" w:rsidP="00FE49C5">
            <w:pPr>
              <w:autoSpaceDE w:val="0"/>
              <w:autoSpaceDN w:val="0"/>
              <w:adjustRightInd w:val="0"/>
              <w:jc w:val="center"/>
              <w:rPr>
                <w:rFonts w:ascii="Times New Roman" w:hAnsi="Times New Roman" w:cs="Times New Roman"/>
                <w:color w:val="000000"/>
                <w:sz w:val="20"/>
                <w:szCs w:val="20"/>
              </w:rPr>
            </w:pPr>
          </w:p>
        </w:tc>
      </w:tr>
      <w:tr w:rsidR="000B21E3" w:rsidRPr="00F57008" w:rsidTr="000B21E3">
        <w:trPr>
          <w:trHeight w:val="20"/>
        </w:trPr>
        <w:tc>
          <w:tcPr>
            <w:tcW w:w="680" w:type="pct"/>
            <w:vMerge w:val="restart"/>
            <w:vAlign w:val="center"/>
          </w:tcPr>
          <w:p w:rsidR="00FE49C5" w:rsidRPr="00F57008" w:rsidRDefault="00FE49C5" w:rsidP="00A318AE">
            <w:pPr>
              <w:autoSpaceDE w:val="0"/>
              <w:autoSpaceDN w:val="0"/>
              <w:adjustRightInd w:val="0"/>
              <w:rPr>
                <w:rFonts w:ascii="Times New Roman" w:hAnsi="Times New Roman" w:cs="Times New Roman"/>
                <w:iCs/>
                <w:color w:val="000000"/>
                <w:sz w:val="20"/>
                <w:szCs w:val="20"/>
              </w:rPr>
            </w:pPr>
            <w:proofErr w:type="spellStart"/>
            <w:r w:rsidRPr="00F57008">
              <w:rPr>
                <w:rFonts w:ascii="Times New Roman" w:hAnsi="Times New Roman" w:cs="Times New Roman"/>
                <w:iCs/>
                <w:color w:val="000000"/>
                <w:sz w:val="20"/>
                <w:szCs w:val="20"/>
              </w:rPr>
              <w:t>fimH</w:t>
            </w:r>
            <w:proofErr w:type="spellEnd"/>
            <w:r w:rsidRPr="00F57008">
              <w:rPr>
                <w:rFonts w:ascii="Times New Roman" w:hAnsi="Times New Roman" w:cs="Times New Roman"/>
                <w:iCs/>
                <w:color w:val="000000"/>
                <w:sz w:val="20"/>
                <w:szCs w:val="20"/>
              </w:rPr>
              <w:t>-</w:t>
            </w:r>
            <w:r w:rsidRPr="00F57008">
              <w:rPr>
                <w:rFonts w:ascii="Times New Roman" w:hAnsi="Times New Roman" w:cs="Times New Roman"/>
                <w:color w:val="000000"/>
                <w:sz w:val="20"/>
                <w:szCs w:val="20"/>
              </w:rPr>
              <w:t>Type 1</w:t>
            </w:r>
          </w:p>
        </w:tc>
        <w:tc>
          <w:tcPr>
            <w:tcW w:w="2356" w:type="pct"/>
            <w:tcBorders>
              <w:bottom w:val="nil"/>
            </w:tcBorders>
            <w:vAlign w:val="center"/>
          </w:tcPr>
          <w:p w:rsidR="00FE49C5" w:rsidRPr="00F57008" w:rsidRDefault="00303374" w:rsidP="00731B8F">
            <w:pPr>
              <w:autoSpaceDE w:val="0"/>
              <w:autoSpaceDN w:val="0"/>
              <w:adjustRightInd w:val="0"/>
              <w:jc w:val="both"/>
              <w:rPr>
                <w:rFonts w:ascii="Times New Roman" w:hAnsi="Times New Roman" w:cs="Times New Roman"/>
                <w:color w:val="000000"/>
                <w:sz w:val="20"/>
                <w:szCs w:val="20"/>
              </w:rPr>
            </w:pPr>
            <w:r w:rsidRPr="00F57008">
              <w:rPr>
                <w:rFonts w:ascii="Times New Roman" w:hAnsi="Times New Roman" w:cs="Times New Roman"/>
                <w:color w:val="000000"/>
                <w:sz w:val="20"/>
                <w:szCs w:val="20"/>
                <w:lang w:val="en-IN" w:bidi="ar-SA"/>
              </w:rPr>
              <w:t>F-</w:t>
            </w:r>
            <w:r w:rsidR="00FE49C5" w:rsidRPr="00F57008">
              <w:rPr>
                <w:rFonts w:ascii="Times New Roman" w:hAnsi="Times New Roman" w:cs="Times New Roman"/>
                <w:color w:val="000000"/>
                <w:sz w:val="20"/>
                <w:szCs w:val="20"/>
                <w:lang w:val="en-IN" w:bidi="ar-SA"/>
              </w:rPr>
              <w:t>5’-</w:t>
            </w:r>
            <w:r w:rsidR="00FE49C5" w:rsidRPr="00F57008">
              <w:rPr>
                <w:rFonts w:ascii="Times New Roman" w:hAnsi="Times New Roman" w:cs="Times New Roman"/>
                <w:color w:val="000000"/>
                <w:sz w:val="20"/>
                <w:szCs w:val="20"/>
              </w:rPr>
              <w:t>ATG AAC GCC TGG TCC TTT GC</w:t>
            </w:r>
            <w:r w:rsidR="00FE49C5" w:rsidRPr="00F57008">
              <w:rPr>
                <w:rFonts w:ascii="Times New Roman" w:hAnsi="Times New Roman" w:cs="Times New Roman"/>
                <w:color w:val="000000"/>
                <w:sz w:val="20"/>
                <w:szCs w:val="20"/>
                <w:lang w:val="en-IN" w:bidi="ar-SA"/>
              </w:rPr>
              <w:t>-3’</w:t>
            </w:r>
          </w:p>
        </w:tc>
        <w:tc>
          <w:tcPr>
            <w:tcW w:w="786" w:type="pct"/>
            <w:vMerge w:val="restart"/>
            <w:vAlign w:val="center"/>
          </w:tcPr>
          <w:p w:rsidR="00FE49C5" w:rsidRPr="00F57008" w:rsidRDefault="00FE49C5" w:rsidP="00982162">
            <w:pPr>
              <w:autoSpaceDE w:val="0"/>
              <w:autoSpaceDN w:val="0"/>
              <w:adjustRightInd w:val="0"/>
              <w:jc w:val="center"/>
              <w:rPr>
                <w:rFonts w:ascii="Times New Roman" w:hAnsi="Times New Roman" w:cs="Times New Roman"/>
                <w:color w:val="000000"/>
                <w:sz w:val="20"/>
                <w:szCs w:val="20"/>
              </w:rPr>
            </w:pPr>
            <w:r w:rsidRPr="00F57008">
              <w:rPr>
                <w:rFonts w:ascii="Times New Roman" w:hAnsi="Times New Roman" w:cs="Times New Roman"/>
                <w:color w:val="000000"/>
                <w:sz w:val="20"/>
                <w:szCs w:val="20"/>
              </w:rPr>
              <w:t>55</w:t>
            </w:r>
          </w:p>
        </w:tc>
        <w:tc>
          <w:tcPr>
            <w:tcW w:w="1178" w:type="pct"/>
            <w:vMerge w:val="restart"/>
            <w:vAlign w:val="center"/>
          </w:tcPr>
          <w:p w:rsidR="00FE49C5" w:rsidRPr="00F57008" w:rsidRDefault="00566244" w:rsidP="00633E8D">
            <w:pPr>
              <w:jc w:val="center"/>
              <w:rPr>
                <w:rFonts w:ascii="Times New Roman" w:hAnsi="Times New Roman" w:cs="Times New Roman"/>
                <w:sz w:val="20"/>
                <w:szCs w:val="20"/>
              </w:rPr>
            </w:pPr>
            <w:r w:rsidRPr="00F57008">
              <w:rPr>
                <w:rFonts w:ascii="Times New Roman" w:hAnsi="Times New Roman" w:cs="Times New Roman"/>
                <w:color w:val="000000"/>
                <w:sz w:val="20"/>
                <w:szCs w:val="20"/>
              </w:rPr>
              <w:fldChar w:fldCharType="begin" w:fldLock="1"/>
            </w:r>
            <w:r w:rsidR="00EB53F5" w:rsidRPr="00F57008">
              <w:rPr>
                <w:rFonts w:ascii="Times New Roman" w:hAnsi="Times New Roman" w:cs="Times New Roman"/>
                <w:color w:val="000000"/>
                <w:sz w:val="20"/>
                <w:szCs w:val="20"/>
              </w:rPr>
              <w:instrText>ADDIN CSL_CITATION {"citationItems":[{"id":"ITEM-1","itemData":{"DOI":"10.1016/j.patbio.2012.10.004","ISBN":"0369-8114","ISSN":"03698114","PMID":"23218835","abstract":"Aim of the study: To detect virulence factors in 54 Klebsiella pneumoniae isolates from different clinical specimens: urine (26), blood (11), pus (11), lung (four), cerebrospinal fluid (one) and ascitic fluid (one). Material and methods: PCR was used to investigate virulence genes encoding adhesins (fimH-1, mrkD, kpn, ycfM), siderophores (entB: enterobactin, iutA: aerobactin, irp-1, irp-2, ybtS, fyuA: yersiniabactin, iroN: catechols receptor), protectines or invasins (rmpA, magA, traT) and toxins (hlyA, cnf-1). The serum resistance, capsule and hypermucoviscosity, and ability to form biofilm and produce siderophores were sought by phenotypic assays. The in vivo virulence was assessed in mice infected by intraperitoneal way. Antimicrobial susceptibility was tested by diffusion method. Results: The most common virulence genes were fimH-1 (100%), mrkD (96.3%), ycfM (96.3%), and entB (100%). kpn and yersiniabactin genes were found at medium rates of 63% and 46.3% and at lower prevalence, were genes traT (1.8%), iroN (3.7%), iutA (5.5%) and rmpA (3.7%). magA, hlyA and cnf-1 genes were not detected. The capsule, serum resistance, biofilm formation, mannose-sensitive or -resistant haemagglutination and hypermucoviscosity were observed in 100%, 92.6%, 88.8%, 94.4%, 68.5% and 9.2% of isolates, respectively. The prevalence of siderophores was consistent with that of genotypic detection. The LD50in mice was very low (&lt;102CFUs) for isolates with the most virulence factors. A rate of 74.1% of isolates showed a multidrug resistance (MDR) pattern. Conclusions: The distribution of virulence profiles according to the clinical origin suggests a role of enterobactin in urinary infections and yersiniabactin in the invasiveness. The fimbriae F1 and F3, capsule, enterobactin, serum resistance and biofilm formation, were commonly found in isolates, they seem to be at the basis of classic pathogenicity of K. pneumoniae. The invasiveness enhancers, aerobactin, yersiniabactin, catechols receptor, mucoid factor and hypermucoviscosity, detected concomitantly in some isolates, constitute a threat for vulnerable populations, even more if they are in combination with antibiotic resistance. © 2012 Elsevier Masson SAS.","author":[{"dropping-particle":"","family":"Fertas-Aissani","given":"R.","non-dropping-particle":"El","parse-names":false,"suffix":""},{"dropping-particle":"","family":"Messai","given":"Y.","non-dropping-particle":"","parse-names":false,"suffix":""},{"dropping-particle":"","family":"Alouache","given":"S.","non-dropping-particle":"","parse-names":false,"suffix":""},{"dropping-particle":"","family":"Bakour","given":"R.","non-dropping-particle":"","parse-names":false,"suffix":""}],"container-title":"Pathologie Biologie","id":"ITEM-1","issue":"5","issued":{"date-parts":[["2013"]]},"page":"209-216","publisher":"Elsevier Masson SAS","title":"Virulence profiles and antibiotic susceptibility patterns of Klebsiella pneumoniae strains isolated from different clinical specimens","type":"article-journal","volume":"61"},"uris":["http://www.mendeley.com/documents/?uuid=cfe62957-f57d-42ed-b645-be0c464e1b69"]}],"mendeley":{"formattedCitation":"[4]","manualFormatting":"El Fertas-Aissani et al. 2013","plainTextFormattedCitation":"[4]","previouslyFormattedCitation":"[4]"},"properties":{"noteIndex":0},"schema":"https://github.com/citation-style-language/schema/raw/master/csl-citation.json"}</w:instrText>
            </w:r>
            <w:r w:rsidRPr="00F57008">
              <w:rPr>
                <w:rFonts w:ascii="Times New Roman" w:hAnsi="Times New Roman" w:cs="Times New Roman"/>
                <w:color w:val="000000"/>
                <w:sz w:val="20"/>
                <w:szCs w:val="20"/>
              </w:rPr>
              <w:fldChar w:fldCharType="separate"/>
            </w:r>
            <w:r w:rsidRPr="00F57008">
              <w:rPr>
                <w:rFonts w:ascii="Times New Roman" w:hAnsi="Times New Roman" w:cs="Times New Roman"/>
                <w:noProof/>
                <w:color w:val="000000"/>
                <w:sz w:val="20"/>
                <w:szCs w:val="20"/>
              </w:rPr>
              <w:t>El Fertas-Aissani et al. 2013</w:t>
            </w:r>
            <w:r w:rsidRPr="00F57008">
              <w:rPr>
                <w:rFonts w:ascii="Times New Roman" w:hAnsi="Times New Roman" w:cs="Times New Roman"/>
                <w:color w:val="000000"/>
                <w:sz w:val="20"/>
                <w:szCs w:val="20"/>
              </w:rPr>
              <w:fldChar w:fldCharType="end"/>
            </w:r>
          </w:p>
        </w:tc>
      </w:tr>
      <w:tr w:rsidR="000B21E3" w:rsidRPr="00F57008" w:rsidTr="000B21E3">
        <w:trPr>
          <w:trHeight w:val="20"/>
        </w:trPr>
        <w:tc>
          <w:tcPr>
            <w:tcW w:w="680" w:type="pct"/>
            <w:vMerge/>
            <w:vAlign w:val="center"/>
          </w:tcPr>
          <w:p w:rsidR="00FE49C5" w:rsidRPr="00F57008" w:rsidRDefault="00FE49C5" w:rsidP="00982162">
            <w:pPr>
              <w:autoSpaceDE w:val="0"/>
              <w:autoSpaceDN w:val="0"/>
              <w:adjustRightInd w:val="0"/>
              <w:rPr>
                <w:rFonts w:ascii="Times New Roman" w:hAnsi="Times New Roman" w:cs="Times New Roman"/>
                <w:iCs/>
                <w:color w:val="000000"/>
                <w:sz w:val="20"/>
                <w:szCs w:val="20"/>
              </w:rPr>
            </w:pPr>
          </w:p>
        </w:tc>
        <w:tc>
          <w:tcPr>
            <w:tcW w:w="2356" w:type="pct"/>
            <w:tcBorders>
              <w:top w:val="nil"/>
              <w:bottom w:val="single" w:sz="4" w:space="0" w:color="auto"/>
            </w:tcBorders>
            <w:vAlign w:val="center"/>
          </w:tcPr>
          <w:p w:rsidR="00FE49C5" w:rsidRPr="00F57008" w:rsidRDefault="00303374" w:rsidP="00731B8F">
            <w:pPr>
              <w:autoSpaceDE w:val="0"/>
              <w:autoSpaceDN w:val="0"/>
              <w:adjustRightInd w:val="0"/>
              <w:jc w:val="both"/>
              <w:rPr>
                <w:rFonts w:ascii="Times New Roman" w:hAnsi="Times New Roman" w:cs="Times New Roman"/>
                <w:color w:val="000000"/>
                <w:sz w:val="20"/>
                <w:szCs w:val="20"/>
              </w:rPr>
            </w:pPr>
            <w:r w:rsidRPr="00F57008">
              <w:rPr>
                <w:rFonts w:ascii="Times New Roman" w:hAnsi="Times New Roman" w:cs="Times New Roman"/>
                <w:color w:val="000000"/>
                <w:sz w:val="20"/>
                <w:szCs w:val="20"/>
                <w:lang w:val="en-IN" w:bidi="ar-SA"/>
              </w:rPr>
              <w:t>R-</w:t>
            </w:r>
            <w:r w:rsidR="00FE49C5" w:rsidRPr="00F57008">
              <w:rPr>
                <w:rFonts w:ascii="Times New Roman" w:hAnsi="Times New Roman" w:cs="Times New Roman"/>
                <w:color w:val="000000"/>
                <w:sz w:val="20"/>
                <w:szCs w:val="20"/>
                <w:lang w:val="en-IN" w:bidi="ar-SA"/>
              </w:rPr>
              <w:t>5’-</w:t>
            </w:r>
            <w:r w:rsidR="00FE49C5" w:rsidRPr="00F57008">
              <w:rPr>
                <w:rFonts w:ascii="Times New Roman" w:hAnsi="Times New Roman" w:cs="Times New Roman"/>
                <w:color w:val="000000"/>
                <w:sz w:val="20"/>
                <w:szCs w:val="20"/>
              </w:rPr>
              <w:t>GCT GAA CGC CTA TCC CCT GC</w:t>
            </w:r>
            <w:r w:rsidR="00FE49C5" w:rsidRPr="00F57008">
              <w:rPr>
                <w:rFonts w:ascii="Times New Roman" w:hAnsi="Times New Roman" w:cs="Times New Roman"/>
                <w:color w:val="000000"/>
                <w:sz w:val="20"/>
                <w:szCs w:val="20"/>
                <w:lang w:val="en-IN" w:bidi="ar-SA"/>
              </w:rPr>
              <w:t>-3’</w:t>
            </w:r>
          </w:p>
        </w:tc>
        <w:tc>
          <w:tcPr>
            <w:tcW w:w="786" w:type="pct"/>
            <w:vMerge/>
            <w:vAlign w:val="center"/>
          </w:tcPr>
          <w:p w:rsidR="00FE49C5" w:rsidRPr="00F57008" w:rsidRDefault="00FE49C5" w:rsidP="00982162">
            <w:pPr>
              <w:autoSpaceDE w:val="0"/>
              <w:autoSpaceDN w:val="0"/>
              <w:adjustRightInd w:val="0"/>
              <w:jc w:val="center"/>
              <w:rPr>
                <w:rFonts w:ascii="Times New Roman" w:hAnsi="Times New Roman" w:cs="Times New Roman"/>
                <w:color w:val="000000"/>
                <w:sz w:val="20"/>
                <w:szCs w:val="20"/>
              </w:rPr>
            </w:pPr>
          </w:p>
        </w:tc>
        <w:tc>
          <w:tcPr>
            <w:tcW w:w="1178" w:type="pct"/>
            <w:vMerge/>
            <w:vAlign w:val="center"/>
          </w:tcPr>
          <w:p w:rsidR="00FE49C5" w:rsidRPr="00F57008" w:rsidRDefault="00FE49C5" w:rsidP="00FE49C5">
            <w:pPr>
              <w:autoSpaceDE w:val="0"/>
              <w:autoSpaceDN w:val="0"/>
              <w:adjustRightInd w:val="0"/>
              <w:jc w:val="center"/>
              <w:rPr>
                <w:rFonts w:ascii="Times New Roman" w:hAnsi="Times New Roman" w:cs="Times New Roman"/>
                <w:color w:val="000000"/>
                <w:sz w:val="20"/>
                <w:szCs w:val="20"/>
              </w:rPr>
            </w:pPr>
          </w:p>
        </w:tc>
      </w:tr>
      <w:tr w:rsidR="000B21E3" w:rsidRPr="00F57008" w:rsidTr="000B21E3">
        <w:trPr>
          <w:trHeight w:val="20"/>
        </w:trPr>
        <w:tc>
          <w:tcPr>
            <w:tcW w:w="680" w:type="pct"/>
            <w:vMerge w:val="restart"/>
            <w:vAlign w:val="center"/>
          </w:tcPr>
          <w:p w:rsidR="00FE49C5" w:rsidRPr="00F57008" w:rsidRDefault="00FE49C5" w:rsidP="00982162">
            <w:pPr>
              <w:autoSpaceDE w:val="0"/>
              <w:autoSpaceDN w:val="0"/>
              <w:adjustRightInd w:val="0"/>
              <w:rPr>
                <w:rFonts w:ascii="Times New Roman" w:hAnsi="Times New Roman" w:cs="Times New Roman"/>
                <w:iCs/>
                <w:color w:val="000000"/>
                <w:sz w:val="20"/>
                <w:szCs w:val="20"/>
              </w:rPr>
            </w:pPr>
            <w:r w:rsidRPr="00F57008">
              <w:rPr>
                <w:rFonts w:ascii="Times New Roman" w:hAnsi="Times New Roman" w:cs="Times New Roman"/>
                <w:iCs/>
                <w:color w:val="000000"/>
                <w:sz w:val="20"/>
                <w:szCs w:val="20"/>
              </w:rPr>
              <w:t>irp1</w:t>
            </w:r>
          </w:p>
        </w:tc>
        <w:tc>
          <w:tcPr>
            <w:tcW w:w="2356" w:type="pct"/>
            <w:tcBorders>
              <w:bottom w:val="nil"/>
            </w:tcBorders>
            <w:vAlign w:val="center"/>
          </w:tcPr>
          <w:p w:rsidR="00FE49C5" w:rsidRPr="00F57008" w:rsidRDefault="00303374" w:rsidP="00731B8F">
            <w:pPr>
              <w:autoSpaceDE w:val="0"/>
              <w:autoSpaceDN w:val="0"/>
              <w:adjustRightInd w:val="0"/>
              <w:jc w:val="both"/>
              <w:rPr>
                <w:rFonts w:ascii="Times New Roman" w:hAnsi="Times New Roman" w:cs="Times New Roman"/>
                <w:color w:val="000000"/>
                <w:sz w:val="20"/>
                <w:szCs w:val="20"/>
              </w:rPr>
            </w:pPr>
            <w:r w:rsidRPr="00F57008">
              <w:rPr>
                <w:rFonts w:ascii="Times New Roman" w:hAnsi="Times New Roman" w:cs="Times New Roman"/>
                <w:color w:val="000000"/>
                <w:sz w:val="20"/>
                <w:szCs w:val="20"/>
                <w:lang w:val="en-IN" w:bidi="ar-SA"/>
              </w:rPr>
              <w:t>F-</w:t>
            </w:r>
            <w:r w:rsidR="00FE49C5" w:rsidRPr="00F57008">
              <w:rPr>
                <w:rFonts w:ascii="Times New Roman" w:hAnsi="Times New Roman" w:cs="Times New Roman"/>
                <w:color w:val="000000"/>
                <w:sz w:val="20"/>
                <w:szCs w:val="20"/>
                <w:lang w:val="en-IN" w:bidi="ar-SA"/>
              </w:rPr>
              <w:t>5’-</w:t>
            </w:r>
            <w:r w:rsidR="00FE49C5" w:rsidRPr="00F57008">
              <w:rPr>
                <w:rFonts w:ascii="Times New Roman" w:hAnsi="Times New Roman" w:cs="Times New Roman"/>
                <w:color w:val="000000"/>
                <w:sz w:val="20"/>
                <w:szCs w:val="20"/>
              </w:rPr>
              <w:t>TGA ATC GCG GGT GTC TTA TGC</w:t>
            </w:r>
            <w:r w:rsidR="00FE49C5" w:rsidRPr="00F57008">
              <w:rPr>
                <w:rFonts w:ascii="Times New Roman" w:hAnsi="Times New Roman" w:cs="Times New Roman"/>
                <w:color w:val="000000"/>
                <w:sz w:val="20"/>
                <w:szCs w:val="20"/>
                <w:lang w:val="en-IN" w:bidi="ar-SA"/>
              </w:rPr>
              <w:t>-3’</w:t>
            </w:r>
          </w:p>
        </w:tc>
        <w:tc>
          <w:tcPr>
            <w:tcW w:w="786" w:type="pct"/>
            <w:vMerge w:val="restart"/>
            <w:vAlign w:val="center"/>
          </w:tcPr>
          <w:p w:rsidR="00FE49C5" w:rsidRPr="00F57008" w:rsidRDefault="00FE49C5" w:rsidP="00982162">
            <w:pPr>
              <w:autoSpaceDE w:val="0"/>
              <w:autoSpaceDN w:val="0"/>
              <w:adjustRightInd w:val="0"/>
              <w:jc w:val="center"/>
              <w:rPr>
                <w:rFonts w:ascii="Times New Roman" w:hAnsi="Times New Roman" w:cs="Times New Roman"/>
                <w:color w:val="000000"/>
                <w:sz w:val="20"/>
                <w:szCs w:val="20"/>
              </w:rPr>
            </w:pPr>
            <w:r w:rsidRPr="00F57008">
              <w:rPr>
                <w:rFonts w:ascii="Times New Roman" w:hAnsi="Times New Roman" w:cs="Times New Roman"/>
                <w:color w:val="000000"/>
                <w:sz w:val="20"/>
                <w:szCs w:val="20"/>
              </w:rPr>
              <w:t>57</w:t>
            </w:r>
          </w:p>
        </w:tc>
        <w:tc>
          <w:tcPr>
            <w:tcW w:w="1178" w:type="pct"/>
            <w:vMerge w:val="restart"/>
            <w:vAlign w:val="center"/>
          </w:tcPr>
          <w:p w:rsidR="00FE49C5" w:rsidRPr="00F57008" w:rsidRDefault="00566244" w:rsidP="00633E8D">
            <w:pPr>
              <w:jc w:val="center"/>
              <w:rPr>
                <w:rFonts w:ascii="Times New Roman" w:hAnsi="Times New Roman" w:cs="Times New Roman"/>
                <w:sz w:val="20"/>
                <w:szCs w:val="20"/>
              </w:rPr>
            </w:pPr>
            <w:r w:rsidRPr="00F57008">
              <w:rPr>
                <w:rFonts w:ascii="Times New Roman" w:hAnsi="Times New Roman" w:cs="Times New Roman"/>
                <w:color w:val="000000"/>
                <w:sz w:val="20"/>
                <w:szCs w:val="20"/>
              </w:rPr>
              <w:fldChar w:fldCharType="begin" w:fldLock="1"/>
            </w:r>
            <w:r w:rsidR="00EB53F5" w:rsidRPr="00F57008">
              <w:rPr>
                <w:rFonts w:ascii="Times New Roman" w:hAnsi="Times New Roman" w:cs="Times New Roman"/>
                <w:color w:val="000000"/>
                <w:sz w:val="20"/>
                <w:szCs w:val="20"/>
              </w:rPr>
              <w:instrText>ADDIN CSL_CITATION {"citationItems":[{"id":"ITEM-1","itemData":{"DOI":"10.1128/IAI.70.4.1832-1841.2002","ISBN":"0019-9567 (Print)\\n0019-9567 (Linking)","ISSN":"00199567","PMID":"11895945","abstract":"The high-pathogenicity island (HPI) of yersiniae encodes an iron uptake system represented by its siderophore yersiniabactin (Ybt). The HPI is present in yersiniae with high levels of pathogenicity--i.e., Yersinia pestis, Y. pseudotuberculosis, and Y. enterocolitica biogroup (BG) 1B--but absent in Y. enterocolitica strains with low (BG 2 to 5) and no (BG 1A) levels of pathogenicity and has been shown to be an important virulence factor. Comparison of the HPI in Y. enterocolitica (Yen-HPI) and that in Y. pestis and Y. pseudotuberculosis revealed that, in contrast to genes of the variable region, genes of the core region (genes irp9 to fyuA) are highly homologous. In the present work the Yen-HPI core genes were rescued from the chromosome of Y. enterocolitica WA-C (BG 1B, serotype O:8) using the FRT-FLP recombinase system. Transfer of the resulting plasmid pCP1 into the siderophore-deficient strain Y. enterocolitica NF-O (BG 1A) led to no halo on siderophore indicator chrome azurol S (CAS) agar. Transfer of pCP1 into the Y. enterocolitica strain MRS40 (serotype O:9, BG 2; phenotype, CAS negative) led to a CAS halo larger than that of parental strain WA-C, indicating high Ybt production. pCP1 was highly unstable in iron-deficient medium, and no enhanced mouse virulence conferred by MRS40 carrying pCP1 could be detected. To overcome the problem of instability, pCP1 was integrated into the chromosome of MRS40, leading to the formation of a CAS halo comparable to that seen with WA-C and correspondingly to increased mouse virulence. Thus, the core genes of Yen-HPI are sufficient to confer a positive CAS phenotype and mouse virulence to Y. enterocolitica MRS40, BG 2, but are insufficient to confer this phenotype to Y. enterocolitica NF-O, BG 1A.","author":[{"dropping-particle":"","family":"Pelludat","given":"Cosima","non-dropping-particle":"","parse-names":false,"suffix":""},{"dropping-particle":"","family":"Hogardt","given":"Michael","non-dropping-particle":"","parse-names":false,"suffix":""},{"dropping-particle":"","family":"Heesemann","given":"Jürgen","non-dropping-particle":"","parse-names":false,"suffix":""}],"container-title":"Infection and Immunity","id":"ITEM-1","issue":"4","issued":{"date-parts":[["2002"]]},"page":"1832-1841","title":"Transfer of the core region genes of the Yersinia enterocolitica WA-C serotype O:8 high-pathogenicity island to Y. enterocolitica MRS40, a strain with low levels of pathogenicity, confers a yersiniabactin biosynthesis phenotype and enhanced mouse virulenc","type":"article-journal","volume":"70"},"uris":["http://www.mendeley.com/documents/?uuid=151ef98f-4ea5-32d6-981c-e8e16614c9fd"]}],"mendeley":{"formattedCitation":"[5]","manualFormatting":"Pelludat et al. 2002","plainTextFormattedCitation":"[5]","previouslyFormattedCitation":"[5]"},"properties":{"noteIndex":0},"schema":"https://github.com/citation-style-language/schema/raw/master/csl-citation.json"}</w:instrText>
            </w:r>
            <w:r w:rsidRPr="00F57008">
              <w:rPr>
                <w:rFonts w:ascii="Times New Roman" w:hAnsi="Times New Roman" w:cs="Times New Roman"/>
                <w:color w:val="000000"/>
                <w:sz w:val="20"/>
                <w:szCs w:val="20"/>
              </w:rPr>
              <w:fldChar w:fldCharType="separate"/>
            </w:r>
            <w:r w:rsidRPr="00F57008">
              <w:rPr>
                <w:rFonts w:ascii="Times New Roman" w:hAnsi="Times New Roman" w:cs="Times New Roman"/>
                <w:noProof/>
                <w:color w:val="000000"/>
                <w:sz w:val="20"/>
                <w:szCs w:val="20"/>
              </w:rPr>
              <w:t>Pelludat et al. 2002</w:t>
            </w:r>
            <w:r w:rsidRPr="00F57008">
              <w:rPr>
                <w:rFonts w:ascii="Times New Roman" w:hAnsi="Times New Roman" w:cs="Times New Roman"/>
                <w:color w:val="000000"/>
                <w:sz w:val="20"/>
                <w:szCs w:val="20"/>
              </w:rPr>
              <w:fldChar w:fldCharType="end"/>
            </w:r>
          </w:p>
        </w:tc>
      </w:tr>
      <w:tr w:rsidR="000B21E3" w:rsidRPr="00F57008" w:rsidTr="000B21E3">
        <w:trPr>
          <w:trHeight w:val="20"/>
        </w:trPr>
        <w:tc>
          <w:tcPr>
            <w:tcW w:w="680" w:type="pct"/>
            <w:vMerge/>
            <w:vAlign w:val="center"/>
          </w:tcPr>
          <w:p w:rsidR="00FE49C5" w:rsidRPr="00F57008" w:rsidRDefault="00FE49C5" w:rsidP="00982162">
            <w:pPr>
              <w:autoSpaceDE w:val="0"/>
              <w:autoSpaceDN w:val="0"/>
              <w:adjustRightInd w:val="0"/>
              <w:rPr>
                <w:rFonts w:ascii="Times New Roman" w:hAnsi="Times New Roman" w:cs="Times New Roman"/>
                <w:iCs/>
                <w:color w:val="000000"/>
                <w:sz w:val="20"/>
                <w:szCs w:val="20"/>
              </w:rPr>
            </w:pPr>
          </w:p>
        </w:tc>
        <w:tc>
          <w:tcPr>
            <w:tcW w:w="2356" w:type="pct"/>
            <w:tcBorders>
              <w:top w:val="nil"/>
              <w:bottom w:val="single" w:sz="4" w:space="0" w:color="auto"/>
            </w:tcBorders>
            <w:vAlign w:val="center"/>
          </w:tcPr>
          <w:p w:rsidR="00FE49C5" w:rsidRPr="00F57008" w:rsidRDefault="00303374" w:rsidP="00731B8F">
            <w:pPr>
              <w:autoSpaceDE w:val="0"/>
              <w:autoSpaceDN w:val="0"/>
              <w:adjustRightInd w:val="0"/>
              <w:jc w:val="both"/>
              <w:rPr>
                <w:rFonts w:ascii="Times New Roman" w:hAnsi="Times New Roman" w:cs="Times New Roman"/>
                <w:color w:val="000000"/>
                <w:sz w:val="20"/>
                <w:szCs w:val="20"/>
              </w:rPr>
            </w:pPr>
            <w:r w:rsidRPr="00F57008">
              <w:rPr>
                <w:rFonts w:ascii="Times New Roman" w:hAnsi="Times New Roman" w:cs="Times New Roman"/>
                <w:color w:val="000000"/>
                <w:sz w:val="20"/>
                <w:szCs w:val="20"/>
                <w:lang w:val="en-IN" w:bidi="ar-SA"/>
              </w:rPr>
              <w:t>R-</w:t>
            </w:r>
            <w:r w:rsidR="00FE49C5" w:rsidRPr="00F57008">
              <w:rPr>
                <w:rFonts w:ascii="Times New Roman" w:hAnsi="Times New Roman" w:cs="Times New Roman"/>
                <w:color w:val="000000"/>
                <w:sz w:val="20"/>
                <w:szCs w:val="20"/>
                <w:lang w:val="en-IN" w:bidi="ar-SA"/>
              </w:rPr>
              <w:t>5’-</w:t>
            </w:r>
            <w:r w:rsidR="00FE49C5" w:rsidRPr="00F57008">
              <w:rPr>
                <w:rFonts w:ascii="Times New Roman" w:hAnsi="Times New Roman" w:cs="Times New Roman"/>
                <w:color w:val="000000"/>
                <w:sz w:val="20"/>
                <w:szCs w:val="20"/>
              </w:rPr>
              <w:t>TCC CTC AAT AAA GCC CAC GCT</w:t>
            </w:r>
            <w:r w:rsidR="00FE49C5" w:rsidRPr="00F57008">
              <w:rPr>
                <w:rFonts w:ascii="Times New Roman" w:hAnsi="Times New Roman" w:cs="Times New Roman"/>
                <w:color w:val="000000"/>
                <w:sz w:val="20"/>
                <w:szCs w:val="20"/>
                <w:lang w:val="en-IN" w:bidi="ar-SA"/>
              </w:rPr>
              <w:t>-3’</w:t>
            </w:r>
          </w:p>
        </w:tc>
        <w:tc>
          <w:tcPr>
            <w:tcW w:w="786" w:type="pct"/>
            <w:vMerge/>
            <w:vAlign w:val="center"/>
          </w:tcPr>
          <w:p w:rsidR="00FE49C5" w:rsidRPr="00F57008" w:rsidRDefault="00FE49C5" w:rsidP="00982162">
            <w:pPr>
              <w:autoSpaceDE w:val="0"/>
              <w:autoSpaceDN w:val="0"/>
              <w:adjustRightInd w:val="0"/>
              <w:jc w:val="center"/>
              <w:rPr>
                <w:rFonts w:ascii="Times New Roman" w:hAnsi="Times New Roman" w:cs="Times New Roman"/>
                <w:color w:val="000000"/>
                <w:sz w:val="20"/>
                <w:szCs w:val="20"/>
              </w:rPr>
            </w:pPr>
          </w:p>
        </w:tc>
        <w:tc>
          <w:tcPr>
            <w:tcW w:w="1178" w:type="pct"/>
            <w:vMerge/>
            <w:vAlign w:val="center"/>
          </w:tcPr>
          <w:p w:rsidR="00FE49C5" w:rsidRPr="00F57008" w:rsidRDefault="00FE49C5" w:rsidP="00FE49C5">
            <w:pPr>
              <w:autoSpaceDE w:val="0"/>
              <w:autoSpaceDN w:val="0"/>
              <w:adjustRightInd w:val="0"/>
              <w:jc w:val="center"/>
              <w:rPr>
                <w:rFonts w:ascii="Times New Roman" w:hAnsi="Times New Roman" w:cs="Times New Roman"/>
                <w:color w:val="000000"/>
                <w:sz w:val="20"/>
                <w:szCs w:val="20"/>
              </w:rPr>
            </w:pPr>
          </w:p>
        </w:tc>
      </w:tr>
      <w:tr w:rsidR="000B21E3" w:rsidRPr="00F57008" w:rsidTr="000B21E3">
        <w:trPr>
          <w:trHeight w:val="20"/>
        </w:trPr>
        <w:tc>
          <w:tcPr>
            <w:tcW w:w="680" w:type="pct"/>
            <w:vMerge w:val="restart"/>
            <w:vAlign w:val="center"/>
          </w:tcPr>
          <w:p w:rsidR="00FE49C5" w:rsidRPr="00F57008" w:rsidRDefault="00FE49C5" w:rsidP="00982162">
            <w:pPr>
              <w:autoSpaceDE w:val="0"/>
              <w:autoSpaceDN w:val="0"/>
              <w:adjustRightInd w:val="0"/>
              <w:rPr>
                <w:rFonts w:ascii="Times New Roman" w:hAnsi="Times New Roman" w:cs="Times New Roman"/>
                <w:iCs/>
                <w:color w:val="000000"/>
                <w:sz w:val="20"/>
                <w:szCs w:val="20"/>
              </w:rPr>
            </w:pPr>
            <w:proofErr w:type="spellStart"/>
            <w:r w:rsidRPr="00F57008">
              <w:rPr>
                <w:rFonts w:ascii="Times New Roman" w:hAnsi="Times New Roman" w:cs="Times New Roman"/>
                <w:iCs/>
                <w:color w:val="000000"/>
                <w:sz w:val="20"/>
                <w:szCs w:val="20"/>
              </w:rPr>
              <w:t>entB</w:t>
            </w:r>
            <w:proofErr w:type="spellEnd"/>
          </w:p>
        </w:tc>
        <w:tc>
          <w:tcPr>
            <w:tcW w:w="2356" w:type="pct"/>
            <w:tcBorders>
              <w:bottom w:val="nil"/>
            </w:tcBorders>
            <w:vAlign w:val="center"/>
          </w:tcPr>
          <w:p w:rsidR="00FE49C5" w:rsidRPr="00F57008" w:rsidRDefault="00303374" w:rsidP="00731B8F">
            <w:pPr>
              <w:autoSpaceDE w:val="0"/>
              <w:autoSpaceDN w:val="0"/>
              <w:adjustRightInd w:val="0"/>
              <w:jc w:val="both"/>
              <w:rPr>
                <w:rFonts w:ascii="Times New Roman" w:hAnsi="Times New Roman" w:cs="Times New Roman"/>
                <w:color w:val="000000"/>
                <w:sz w:val="20"/>
                <w:szCs w:val="20"/>
              </w:rPr>
            </w:pPr>
            <w:r w:rsidRPr="00F57008">
              <w:rPr>
                <w:rFonts w:ascii="Times New Roman" w:hAnsi="Times New Roman" w:cs="Times New Roman"/>
                <w:color w:val="000000"/>
                <w:sz w:val="20"/>
                <w:szCs w:val="20"/>
                <w:lang w:val="en-IN" w:bidi="ar-SA"/>
              </w:rPr>
              <w:t>F-</w:t>
            </w:r>
            <w:r w:rsidR="00FE49C5" w:rsidRPr="00F57008">
              <w:rPr>
                <w:rFonts w:ascii="Times New Roman" w:hAnsi="Times New Roman" w:cs="Times New Roman"/>
                <w:color w:val="000000"/>
                <w:sz w:val="20"/>
                <w:szCs w:val="20"/>
                <w:lang w:val="en-IN" w:bidi="ar-SA"/>
              </w:rPr>
              <w:t>5’-</w:t>
            </w:r>
            <w:r w:rsidR="00FE49C5" w:rsidRPr="00F57008">
              <w:rPr>
                <w:rFonts w:ascii="Times New Roman" w:hAnsi="Times New Roman" w:cs="Times New Roman"/>
                <w:color w:val="000000"/>
                <w:sz w:val="20"/>
                <w:szCs w:val="20"/>
              </w:rPr>
              <w:t xml:space="preserve">CTG </w:t>
            </w:r>
            <w:proofErr w:type="spellStart"/>
            <w:r w:rsidR="00FE49C5" w:rsidRPr="00F57008">
              <w:rPr>
                <w:rFonts w:ascii="Times New Roman" w:hAnsi="Times New Roman" w:cs="Times New Roman"/>
                <w:color w:val="000000"/>
                <w:sz w:val="20"/>
                <w:szCs w:val="20"/>
              </w:rPr>
              <w:t>CTG</w:t>
            </w:r>
            <w:proofErr w:type="spellEnd"/>
            <w:r w:rsidR="00FE49C5" w:rsidRPr="00F57008">
              <w:rPr>
                <w:rFonts w:ascii="Times New Roman" w:hAnsi="Times New Roman" w:cs="Times New Roman"/>
                <w:color w:val="000000"/>
                <w:sz w:val="20"/>
                <w:szCs w:val="20"/>
              </w:rPr>
              <w:t xml:space="preserve"> GGA AAA GCG ATT GTC</w:t>
            </w:r>
            <w:r w:rsidR="00FE49C5" w:rsidRPr="00F57008">
              <w:rPr>
                <w:rFonts w:ascii="Times New Roman" w:hAnsi="Times New Roman" w:cs="Times New Roman"/>
                <w:color w:val="000000"/>
                <w:sz w:val="20"/>
                <w:szCs w:val="20"/>
                <w:lang w:val="en-IN" w:bidi="ar-SA"/>
              </w:rPr>
              <w:t>-3’</w:t>
            </w:r>
          </w:p>
        </w:tc>
        <w:tc>
          <w:tcPr>
            <w:tcW w:w="786" w:type="pct"/>
            <w:vMerge w:val="restart"/>
            <w:vAlign w:val="center"/>
          </w:tcPr>
          <w:p w:rsidR="00FE49C5" w:rsidRPr="00F57008" w:rsidRDefault="00FE49C5" w:rsidP="00982162">
            <w:pPr>
              <w:autoSpaceDE w:val="0"/>
              <w:autoSpaceDN w:val="0"/>
              <w:adjustRightInd w:val="0"/>
              <w:jc w:val="center"/>
              <w:rPr>
                <w:rFonts w:ascii="Times New Roman" w:hAnsi="Times New Roman" w:cs="Times New Roman"/>
                <w:color w:val="000000"/>
                <w:sz w:val="20"/>
                <w:szCs w:val="20"/>
              </w:rPr>
            </w:pPr>
            <w:r w:rsidRPr="00F57008">
              <w:rPr>
                <w:rFonts w:ascii="Times New Roman" w:hAnsi="Times New Roman" w:cs="Times New Roman"/>
                <w:color w:val="000000"/>
                <w:sz w:val="20"/>
                <w:szCs w:val="20"/>
              </w:rPr>
              <w:t>57</w:t>
            </w:r>
          </w:p>
        </w:tc>
        <w:tc>
          <w:tcPr>
            <w:tcW w:w="1178" w:type="pct"/>
            <w:vMerge w:val="restart"/>
            <w:vAlign w:val="center"/>
          </w:tcPr>
          <w:p w:rsidR="00FE49C5" w:rsidRPr="00F57008" w:rsidRDefault="00566244" w:rsidP="00633E8D">
            <w:pPr>
              <w:autoSpaceDE w:val="0"/>
              <w:autoSpaceDN w:val="0"/>
              <w:adjustRightInd w:val="0"/>
              <w:jc w:val="center"/>
              <w:rPr>
                <w:rFonts w:ascii="Times New Roman" w:hAnsi="Times New Roman" w:cs="Times New Roman"/>
                <w:color w:val="000000"/>
                <w:sz w:val="20"/>
                <w:szCs w:val="20"/>
              </w:rPr>
            </w:pPr>
            <w:r w:rsidRPr="00F57008">
              <w:rPr>
                <w:rFonts w:ascii="Times New Roman" w:hAnsi="Times New Roman" w:cs="Times New Roman"/>
                <w:color w:val="000000"/>
                <w:sz w:val="20"/>
                <w:szCs w:val="20"/>
              </w:rPr>
              <w:fldChar w:fldCharType="begin" w:fldLock="1"/>
            </w:r>
            <w:r w:rsidR="00EB53F5" w:rsidRPr="00F57008">
              <w:rPr>
                <w:rFonts w:ascii="Times New Roman" w:hAnsi="Times New Roman" w:cs="Times New Roman"/>
                <w:color w:val="000000"/>
                <w:sz w:val="20"/>
                <w:szCs w:val="20"/>
              </w:rPr>
              <w:instrText>ADDIN CSL_CITATION {"citationItems":[{"id":"ITEM-1","itemData":{"DOI":"10.1038/srep38929","ISBN":"2045-2322 (Electronic) 2045-2322 (Linking)","ISSN":"2045-2322","PMID":"28004732","abstract":"Molecular typing and virulence analysis of multidrug resistant Klebsiella pneumoniae clinical isolates recovered from Egyptian hospitals","author":[{"dropping-particle":"","family":"Wasfi","given":"Reham","non-dropping-particle":"","parse-names":false,"suffix":""},{"dropping-particle":"","family":"Elkhatib","given":"Walid F.","non-dropping-particle":"","parse-names":false,"suffix":""},{"dropping-particle":"","family":"Ashour","given":"Hossam M.","non-dropping-particle":"","parse-names":false,"suffix":""}],"container-title":"Scientific Reports","id":"ITEM-1","issue":"1","issued":{"date-parts":[["2016","12","22"]]},"page":"38929","publisher":"Nature Publishing Group","title":"Molecular typing and virulence analysis of multidrug resistant Klebsiella pneumoniae clinical isolates recovered from Egyptian hospitals","type":"article-journal","volume":"6"},"uris":["http://www.mendeley.com/documents/?uuid=2d9f3280-11ae-31a9-8ce4-61678e513b54"]}],"mendeley":{"formattedCitation":"[6]","manualFormatting":"Wasfi et al. 2016","plainTextFormattedCitation":"[6]","previouslyFormattedCitation":"[6]"},"properties":{"noteIndex":0},"schema":"https://github.com/citation-style-language/schema/raw/master/csl-citation.json"}</w:instrText>
            </w:r>
            <w:r w:rsidRPr="00F57008">
              <w:rPr>
                <w:rFonts w:ascii="Times New Roman" w:hAnsi="Times New Roman" w:cs="Times New Roman"/>
                <w:color w:val="000000"/>
                <w:sz w:val="20"/>
                <w:szCs w:val="20"/>
              </w:rPr>
              <w:fldChar w:fldCharType="separate"/>
            </w:r>
            <w:r w:rsidRPr="00F57008">
              <w:rPr>
                <w:rFonts w:ascii="Times New Roman" w:hAnsi="Times New Roman" w:cs="Times New Roman"/>
                <w:noProof/>
                <w:color w:val="000000"/>
                <w:sz w:val="20"/>
                <w:szCs w:val="20"/>
              </w:rPr>
              <w:t>Wasfi et al. 2016</w:t>
            </w:r>
            <w:r w:rsidRPr="00F57008">
              <w:rPr>
                <w:rFonts w:ascii="Times New Roman" w:hAnsi="Times New Roman" w:cs="Times New Roman"/>
                <w:color w:val="000000"/>
                <w:sz w:val="20"/>
                <w:szCs w:val="20"/>
              </w:rPr>
              <w:fldChar w:fldCharType="end"/>
            </w:r>
          </w:p>
        </w:tc>
      </w:tr>
      <w:tr w:rsidR="000B21E3" w:rsidRPr="00F57008" w:rsidTr="000B21E3">
        <w:trPr>
          <w:trHeight w:val="20"/>
        </w:trPr>
        <w:tc>
          <w:tcPr>
            <w:tcW w:w="680" w:type="pct"/>
            <w:vMerge/>
            <w:vAlign w:val="center"/>
          </w:tcPr>
          <w:p w:rsidR="00FE49C5" w:rsidRPr="00F57008" w:rsidRDefault="00FE49C5" w:rsidP="00982162">
            <w:pPr>
              <w:autoSpaceDE w:val="0"/>
              <w:autoSpaceDN w:val="0"/>
              <w:adjustRightInd w:val="0"/>
              <w:rPr>
                <w:rFonts w:ascii="Times New Roman" w:hAnsi="Times New Roman" w:cs="Times New Roman"/>
                <w:color w:val="000000"/>
                <w:sz w:val="20"/>
                <w:szCs w:val="20"/>
              </w:rPr>
            </w:pPr>
          </w:p>
        </w:tc>
        <w:tc>
          <w:tcPr>
            <w:tcW w:w="2356" w:type="pct"/>
            <w:tcBorders>
              <w:top w:val="nil"/>
              <w:bottom w:val="single" w:sz="4" w:space="0" w:color="auto"/>
            </w:tcBorders>
            <w:vAlign w:val="center"/>
          </w:tcPr>
          <w:p w:rsidR="00FE49C5" w:rsidRPr="00F57008" w:rsidRDefault="00303374" w:rsidP="00731B8F">
            <w:pPr>
              <w:autoSpaceDE w:val="0"/>
              <w:autoSpaceDN w:val="0"/>
              <w:adjustRightInd w:val="0"/>
              <w:jc w:val="both"/>
              <w:rPr>
                <w:rFonts w:ascii="Times New Roman" w:hAnsi="Times New Roman" w:cs="Times New Roman"/>
                <w:color w:val="000000"/>
                <w:sz w:val="20"/>
                <w:szCs w:val="20"/>
              </w:rPr>
            </w:pPr>
            <w:r w:rsidRPr="00F57008">
              <w:rPr>
                <w:rFonts w:ascii="Times New Roman" w:hAnsi="Times New Roman" w:cs="Times New Roman"/>
                <w:color w:val="000000"/>
                <w:sz w:val="20"/>
                <w:szCs w:val="20"/>
                <w:lang w:val="en-IN" w:bidi="ar-SA"/>
              </w:rPr>
              <w:t>R-</w:t>
            </w:r>
            <w:r w:rsidR="00FE49C5" w:rsidRPr="00F57008">
              <w:rPr>
                <w:rFonts w:ascii="Times New Roman" w:hAnsi="Times New Roman" w:cs="Times New Roman"/>
                <w:color w:val="000000"/>
                <w:sz w:val="20"/>
                <w:szCs w:val="20"/>
                <w:lang w:val="en-IN" w:bidi="ar-SA"/>
              </w:rPr>
              <w:t>5’-</w:t>
            </w:r>
            <w:r w:rsidR="00FE49C5" w:rsidRPr="00F57008">
              <w:rPr>
                <w:rFonts w:ascii="Times New Roman" w:hAnsi="Times New Roman" w:cs="Times New Roman"/>
                <w:color w:val="000000"/>
                <w:sz w:val="20"/>
                <w:szCs w:val="20"/>
              </w:rPr>
              <w:t>AAG GCG ACT CAG GAG TGG CTT</w:t>
            </w:r>
            <w:r w:rsidR="00FE49C5" w:rsidRPr="00F57008">
              <w:rPr>
                <w:rFonts w:ascii="Times New Roman" w:hAnsi="Times New Roman" w:cs="Times New Roman"/>
                <w:color w:val="000000"/>
                <w:sz w:val="20"/>
                <w:szCs w:val="20"/>
                <w:lang w:val="en-IN" w:bidi="ar-SA"/>
              </w:rPr>
              <w:t>-3’</w:t>
            </w:r>
          </w:p>
        </w:tc>
        <w:tc>
          <w:tcPr>
            <w:tcW w:w="786" w:type="pct"/>
            <w:vMerge/>
            <w:vAlign w:val="center"/>
          </w:tcPr>
          <w:p w:rsidR="00FE49C5" w:rsidRPr="00F57008" w:rsidRDefault="00FE49C5" w:rsidP="00982162">
            <w:pPr>
              <w:autoSpaceDE w:val="0"/>
              <w:autoSpaceDN w:val="0"/>
              <w:adjustRightInd w:val="0"/>
              <w:jc w:val="center"/>
              <w:rPr>
                <w:rFonts w:ascii="Times New Roman" w:hAnsi="Times New Roman" w:cs="Times New Roman"/>
                <w:color w:val="000000"/>
                <w:sz w:val="20"/>
                <w:szCs w:val="20"/>
              </w:rPr>
            </w:pPr>
          </w:p>
        </w:tc>
        <w:tc>
          <w:tcPr>
            <w:tcW w:w="1178" w:type="pct"/>
            <w:vMerge/>
            <w:vAlign w:val="center"/>
          </w:tcPr>
          <w:p w:rsidR="00FE49C5" w:rsidRPr="00F57008" w:rsidRDefault="00FE49C5" w:rsidP="00FE49C5">
            <w:pPr>
              <w:autoSpaceDE w:val="0"/>
              <w:autoSpaceDN w:val="0"/>
              <w:adjustRightInd w:val="0"/>
              <w:jc w:val="center"/>
              <w:rPr>
                <w:rFonts w:ascii="Times New Roman" w:hAnsi="Times New Roman" w:cs="Times New Roman"/>
                <w:color w:val="000000"/>
                <w:sz w:val="20"/>
                <w:szCs w:val="20"/>
              </w:rPr>
            </w:pPr>
          </w:p>
        </w:tc>
      </w:tr>
      <w:tr w:rsidR="000B21E3" w:rsidRPr="00F57008" w:rsidTr="000B21E3">
        <w:trPr>
          <w:trHeight w:val="20"/>
        </w:trPr>
        <w:tc>
          <w:tcPr>
            <w:tcW w:w="680" w:type="pct"/>
            <w:vMerge w:val="restart"/>
            <w:vAlign w:val="center"/>
          </w:tcPr>
          <w:p w:rsidR="00FE49C5" w:rsidRPr="00F57008" w:rsidRDefault="00FE49C5" w:rsidP="00982162">
            <w:pPr>
              <w:autoSpaceDE w:val="0"/>
              <w:autoSpaceDN w:val="0"/>
              <w:adjustRightInd w:val="0"/>
              <w:rPr>
                <w:rFonts w:ascii="Times New Roman" w:hAnsi="Times New Roman" w:cs="Times New Roman"/>
                <w:color w:val="000000"/>
                <w:sz w:val="20"/>
                <w:szCs w:val="20"/>
              </w:rPr>
            </w:pPr>
            <w:r w:rsidRPr="00F57008">
              <w:rPr>
                <w:rFonts w:ascii="Times New Roman" w:hAnsi="Times New Roman" w:cs="Times New Roman"/>
                <w:sz w:val="20"/>
                <w:szCs w:val="20"/>
              </w:rPr>
              <w:t>REP</w:t>
            </w:r>
          </w:p>
        </w:tc>
        <w:tc>
          <w:tcPr>
            <w:tcW w:w="2356" w:type="pct"/>
            <w:tcBorders>
              <w:bottom w:val="nil"/>
            </w:tcBorders>
            <w:vAlign w:val="center"/>
          </w:tcPr>
          <w:p w:rsidR="00FE49C5" w:rsidRPr="00F57008" w:rsidRDefault="00303374" w:rsidP="00731B8F">
            <w:pPr>
              <w:autoSpaceDE w:val="0"/>
              <w:autoSpaceDN w:val="0"/>
              <w:adjustRightInd w:val="0"/>
              <w:jc w:val="both"/>
              <w:rPr>
                <w:rFonts w:ascii="Times New Roman" w:hAnsi="Times New Roman" w:cs="Times New Roman"/>
                <w:color w:val="000000"/>
                <w:sz w:val="20"/>
                <w:szCs w:val="20"/>
              </w:rPr>
            </w:pPr>
            <w:r w:rsidRPr="00F57008">
              <w:rPr>
                <w:rFonts w:ascii="Times New Roman" w:hAnsi="Times New Roman" w:cs="Times New Roman"/>
                <w:color w:val="000000"/>
                <w:sz w:val="20"/>
                <w:szCs w:val="20"/>
                <w:lang w:val="en-IN" w:bidi="ar-SA"/>
              </w:rPr>
              <w:t>F-</w:t>
            </w:r>
            <w:r w:rsidR="00FE49C5" w:rsidRPr="00F57008">
              <w:rPr>
                <w:rFonts w:ascii="Times New Roman" w:hAnsi="Times New Roman" w:cs="Times New Roman"/>
                <w:color w:val="000000"/>
                <w:sz w:val="20"/>
                <w:szCs w:val="20"/>
                <w:lang w:val="en-IN" w:bidi="ar-SA"/>
              </w:rPr>
              <w:t>5’-</w:t>
            </w:r>
            <w:r w:rsidR="00FE49C5" w:rsidRPr="00F57008">
              <w:rPr>
                <w:rFonts w:ascii="Times New Roman" w:hAnsi="Times New Roman" w:cs="Times New Roman"/>
                <w:sz w:val="20"/>
                <w:szCs w:val="20"/>
              </w:rPr>
              <w:t xml:space="preserve">III ICG </w:t>
            </w:r>
            <w:proofErr w:type="spellStart"/>
            <w:r w:rsidR="00FE49C5" w:rsidRPr="00F57008">
              <w:rPr>
                <w:rFonts w:ascii="Times New Roman" w:hAnsi="Times New Roman" w:cs="Times New Roman"/>
                <w:sz w:val="20"/>
                <w:szCs w:val="20"/>
              </w:rPr>
              <w:t>ICG</w:t>
            </w:r>
            <w:proofErr w:type="spellEnd"/>
            <w:r w:rsidR="00FE49C5" w:rsidRPr="00F57008">
              <w:rPr>
                <w:rFonts w:ascii="Times New Roman" w:hAnsi="Times New Roman" w:cs="Times New Roman"/>
                <w:sz w:val="20"/>
                <w:szCs w:val="20"/>
              </w:rPr>
              <w:t xml:space="preserve"> ICA TCI GGC</w:t>
            </w:r>
            <w:r w:rsidR="00FE49C5" w:rsidRPr="00F57008">
              <w:rPr>
                <w:rFonts w:ascii="Times New Roman" w:hAnsi="Times New Roman" w:cs="Times New Roman"/>
                <w:color w:val="000000"/>
                <w:sz w:val="20"/>
                <w:szCs w:val="20"/>
                <w:lang w:val="en-IN" w:bidi="ar-SA"/>
              </w:rPr>
              <w:t>-3’</w:t>
            </w:r>
          </w:p>
        </w:tc>
        <w:tc>
          <w:tcPr>
            <w:tcW w:w="786" w:type="pct"/>
            <w:vMerge w:val="restart"/>
            <w:vAlign w:val="center"/>
          </w:tcPr>
          <w:p w:rsidR="00FE49C5" w:rsidRPr="00F57008" w:rsidRDefault="00FE49C5" w:rsidP="00982162">
            <w:pPr>
              <w:autoSpaceDE w:val="0"/>
              <w:autoSpaceDN w:val="0"/>
              <w:adjustRightInd w:val="0"/>
              <w:jc w:val="center"/>
              <w:rPr>
                <w:rFonts w:ascii="Times New Roman" w:hAnsi="Times New Roman" w:cs="Times New Roman"/>
                <w:sz w:val="20"/>
                <w:szCs w:val="20"/>
              </w:rPr>
            </w:pPr>
            <w:r w:rsidRPr="00F57008">
              <w:rPr>
                <w:rFonts w:ascii="Times New Roman" w:hAnsi="Times New Roman" w:cs="Times New Roman"/>
                <w:sz w:val="20"/>
                <w:szCs w:val="20"/>
              </w:rPr>
              <w:t>47</w:t>
            </w:r>
          </w:p>
        </w:tc>
        <w:tc>
          <w:tcPr>
            <w:tcW w:w="1178" w:type="pct"/>
            <w:vMerge w:val="restart"/>
            <w:vAlign w:val="center"/>
          </w:tcPr>
          <w:p w:rsidR="00FE49C5" w:rsidRPr="00F57008" w:rsidRDefault="00DB506D" w:rsidP="00633E8D">
            <w:pPr>
              <w:autoSpaceDE w:val="0"/>
              <w:autoSpaceDN w:val="0"/>
              <w:adjustRightInd w:val="0"/>
              <w:jc w:val="center"/>
              <w:rPr>
                <w:rFonts w:ascii="Times New Roman" w:hAnsi="Times New Roman" w:cs="Times New Roman"/>
                <w:color w:val="000000"/>
                <w:sz w:val="20"/>
                <w:szCs w:val="20"/>
              </w:rPr>
            </w:pPr>
            <w:r w:rsidRPr="00F57008">
              <w:rPr>
                <w:rFonts w:ascii="Times New Roman" w:hAnsi="Times New Roman" w:cs="Times New Roman"/>
                <w:color w:val="000000"/>
                <w:sz w:val="20"/>
                <w:szCs w:val="20"/>
              </w:rPr>
              <w:fldChar w:fldCharType="begin" w:fldLock="1"/>
            </w:r>
            <w:r w:rsidR="00EB53F5" w:rsidRPr="00F57008">
              <w:rPr>
                <w:rFonts w:ascii="Times New Roman" w:hAnsi="Times New Roman" w:cs="Times New Roman"/>
                <w:color w:val="000000"/>
                <w:sz w:val="20"/>
                <w:szCs w:val="20"/>
              </w:rPr>
              <w:instrText>ADDIN CSL_CITATION {"citationItems":[{"id":"ITEM-1","itemData":{"DOI":"10.1093/nar/19.24.6823","ISBN":"0305-1048","ISSN":"03051048","PMID":"1762913","abstract":"Dispersed repetitive DNA sequences have been described recently in eubacteria. To assess the distribution and evolutionary conservation of two distinct prokaryotic repetitive elements, consensus ollgonucleotides were used in polymerase chain reaction PCR amplification and slot blot hybridization experiments with genomic DMA from diverse eubacterial species. Oligonucleotides matching Repetitive Extragenic Palindromic REP elements and Enterobacterial Repetitive Intergenic Consensus ERIC sequences were synthesized and tested as opposing PCR primers in the amplification of eubacterial genomic DMA. REP and ERIC consensus oligonucleotides produced clearly resolvable bands by agarose gel electrophoresis following PCR amplification. These band patterns provided unambiguous DNA fingerprints of different eubacterial species and strains. Both REP and ERIC probes hybridized preferentially to genomic DNA from Gram-negative enteric bacteria and related species. Widespread distribution of these repetitive DNA elements in the genomes of various microorganisms should enable rapid identification of bacterial species and strains, and be useful for the analysis of prokaryotic genomes.","author":[{"dropping-particle":"","family":"Versalovic","given":"James","non-dropping-particle":"","parse-names":false,"suffix":""},{"dropping-particle":"","family":"Koeuth","given":"Thearith","non-dropping-particle":"","parse-names":false,"suffix":""},{"dropping-particle":"","family":"Lupski","given":"R.","non-dropping-particle":"","parse-names":false,"suffix":""}],"container-title":"Nucleic Acids Research","id":"ITEM-1","issue":"24","issued":{"date-parts":[["1991"]]},"page":"6823-6831","title":"Distribution of repetitive DNA sequences in eubacteria and application to finerpriting of bacterial enomes","type":"article-journal","volume":"19"},"uris":["http://www.mendeley.com/documents/?uuid=31d6219b-241a-451a-8465-8a4d966ad1ea"]}],"mendeley":{"formattedCitation":"[7]","manualFormatting":"Versalovic et al. 1991","plainTextFormattedCitation":"[7]","previouslyFormattedCitation":"[7]"},"properties":{"noteIndex":0},"schema":"https://github.com/citation-style-language/schema/raw/master/csl-citation.json"}</w:instrText>
            </w:r>
            <w:r w:rsidRPr="00F57008">
              <w:rPr>
                <w:rFonts w:ascii="Times New Roman" w:hAnsi="Times New Roman" w:cs="Times New Roman"/>
                <w:color w:val="000000"/>
                <w:sz w:val="20"/>
                <w:szCs w:val="20"/>
              </w:rPr>
              <w:fldChar w:fldCharType="separate"/>
            </w:r>
            <w:r w:rsidRPr="00F57008">
              <w:rPr>
                <w:rFonts w:ascii="Times New Roman" w:hAnsi="Times New Roman" w:cs="Times New Roman"/>
                <w:noProof/>
                <w:color w:val="000000"/>
                <w:sz w:val="20"/>
                <w:szCs w:val="20"/>
              </w:rPr>
              <w:t>Versalovic et al. 1991</w:t>
            </w:r>
            <w:r w:rsidRPr="00F57008">
              <w:rPr>
                <w:rFonts w:ascii="Times New Roman" w:hAnsi="Times New Roman" w:cs="Times New Roman"/>
                <w:color w:val="000000"/>
                <w:sz w:val="20"/>
                <w:szCs w:val="20"/>
              </w:rPr>
              <w:fldChar w:fldCharType="end"/>
            </w:r>
          </w:p>
        </w:tc>
      </w:tr>
      <w:tr w:rsidR="000B21E3" w:rsidRPr="00F57008" w:rsidTr="000B21E3">
        <w:trPr>
          <w:trHeight w:val="20"/>
        </w:trPr>
        <w:tc>
          <w:tcPr>
            <w:tcW w:w="680" w:type="pct"/>
            <w:vMerge/>
            <w:vAlign w:val="center"/>
          </w:tcPr>
          <w:p w:rsidR="0067537B" w:rsidRPr="00F57008" w:rsidRDefault="0067537B" w:rsidP="00982162">
            <w:pPr>
              <w:autoSpaceDE w:val="0"/>
              <w:autoSpaceDN w:val="0"/>
              <w:adjustRightInd w:val="0"/>
              <w:jc w:val="center"/>
              <w:rPr>
                <w:rFonts w:ascii="Times New Roman" w:hAnsi="Times New Roman" w:cs="Times New Roman"/>
                <w:color w:val="000000"/>
                <w:sz w:val="20"/>
                <w:szCs w:val="20"/>
              </w:rPr>
            </w:pPr>
          </w:p>
        </w:tc>
        <w:tc>
          <w:tcPr>
            <w:tcW w:w="2356" w:type="pct"/>
            <w:tcBorders>
              <w:top w:val="nil"/>
            </w:tcBorders>
            <w:vAlign w:val="center"/>
          </w:tcPr>
          <w:p w:rsidR="0067537B" w:rsidRPr="00F57008" w:rsidRDefault="00303374" w:rsidP="00731B8F">
            <w:pPr>
              <w:autoSpaceDE w:val="0"/>
              <w:autoSpaceDN w:val="0"/>
              <w:adjustRightInd w:val="0"/>
              <w:jc w:val="both"/>
              <w:rPr>
                <w:rFonts w:ascii="Times New Roman" w:hAnsi="Times New Roman" w:cs="Times New Roman"/>
                <w:color w:val="000000"/>
                <w:sz w:val="20"/>
                <w:szCs w:val="20"/>
              </w:rPr>
            </w:pPr>
            <w:r w:rsidRPr="00F57008">
              <w:rPr>
                <w:rFonts w:ascii="Times New Roman" w:hAnsi="Times New Roman" w:cs="Times New Roman"/>
                <w:color w:val="000000"/>
                <w:sz w:val="20"/>
                <w:szCs w:val="20"/>
                <w:lang w:val="en-IN" w:bidi="ar-SA"/>
              </w:rPr>
              <w:t>R-</w:t>
            </w:r>
            <w:r w:rsidR="00231AD7" w:rsidRPr="00F57008">
              <w:rPr>
                <w:rFonts w:ascii="Times New Roman" w:hAnsi="Times New Roman" w:cs="Times New Roman"/>
                <w:color w:val="000000"/>
                <w:sz w:val="20"/>
                <w:szCs w:val="20"/>
                <w:lang w:val="en-IN" w:bidi="ar-SA"/>
              </w:rPr>
              <w:t>5’-</w:t>
            </w:r>
            <w:r w:rsidR="0067537B" w:rsidRPr="00F57008">
              <w:rPr>
                <w:rFonts w:ascii="Times New Roman" w:hAnsi="Times New Roman" w:cs="Times New Roman"/>
                <w:sz w:val="20"/>
                <w:szCs w:val="20"/>
              </w:rPr>
              <w:t>ICG</w:t>
            </w:r>
            <w:r w:rsidR="00731B8F" w:rsidRPr="00F57008">
              <w:rPr>
                <w:rFonts w:ascii="Times New Roman" w:hAnsi="Times New Roman" w:cs="Times New Roman"/>
                <w:sz w:val="20"/>
                <w:szCs w:val="20"/>
              </w:rPr>
              <w:t xml:space="preserve"> </w:t>
            </w:r>
            <w:r w:rsidR="0067537B" w:rsidRPr="00F57008">
              <w:rPr>
                <w:rFonts w:ascii="Times New Roman" w:hAnsi="Times New Roman" w:cs="Times New Roman"/>
                <w:sz w:val="20"/>
                <w:szCs w:val="20"/>
              </w:rPr>
              <w:t>ICT</w:t>
            </w:r>
            <w:r w:rsidR="00731B8F" w:rsidRPr="00F57008">
              <w:rPr>
                <w:rFonts w:ascii="Times New Roman" w:hAnsi="Times New Roman" w:cs="Times New Roman"/>
                <w:sz w:val="20"/>
                <w:szCs w:val="20"/>
              </w:rPr>
              <w:t xml:space="preserve"> </w:t>
            </w:r>
            <w:r w:rsidR="0067537B" w:rsidRPr="00F57008">
              <w:rPr>
                <w:rFonts w:ascii="Times New Roman" w:hAnsi="Times New Roman" w:cs="Times New Roman"/>
                <w:sz w:val="20"/>
                <w:szCs w:val="20"/>
              </w:rPr>
              <w:t>TAT</w:t>
            </w:r>
            <w:r w:rsidR="00731B8F" w:rsidRPr="00F57008">
              <w:rPr>
                <w:rFonts w:ascii="Times New Roman" w:hAnsi="Times New Roman" w:cs="Times New Roman"/>
                <w:sz w:val="20"/>
                <w:szCs w:val="20"/>
              </w:rPr>
              <w:t xml:space="preserve"> </w:t>
            </w:r>
            <w:r w:rsidR="0067537B" w:rsidRPr="00F57008">
              <w:rPr>
                <w:rFonts w:ascii="Times New Roman" w:hAnsi="Times New Roman" w:cs="Times New Roman"/>
                <w:sz w:val="20"/>
                <w:szCs w:val="20"/>
              </w:rPr>
              <w:t>CIG</w:t>
            </w:r>
            <w:r w:rsidR="00731B8F" w:rsidRPr="00F57008">
              <w:rPr>
                <w:rFonts w:ascii="Times New Roman" w:hAnsi="Times New Roman" w:cs="Times New Roman"/>
                <w:sz w:val="20"/>
                <w:szCs w:val="20"/>
              </w:rPr>
              <w:t xml:space="preserve"> </w:t>
            </w:r>
            <w:r w:rsidR="0067537B" w:rsidRPr="00F57008">
              <w:rPr>
                <w:rFonts w:ascii="Times New Roman" w:hAnsi="Times New Roman" w:cs="Times New Roman"/>
                <w:sz w:val="20"/>
                <w:szCs w:val="20"/>
              </w:rPr>
              <w:t>GCC</w:t>
            </w:r>
            <w:r w:rsidR="00731B8F" w:rsidRPr="00F57008">
              <w:rPr>
                <w:rFonts w:ascii="Times New Roman" w:hAnsi="Times New Roman" w:cs="Times New Roman"/>
                <w:sz w:val="20"/>
                <w:szCs w:val="20"/>
              </w:rPr>
              <w:t xml:space="preserve"> </w:t>
            </w:r>
            <w:r w:rsidR="0067537B" w:rsidRPr="00F57008">
              <w:rPr>
                <w:rFonts w:ascii="Times New Roman" w:hAnsi="Times New Roman" w:cs="Times New Roman"/>
                <w:sz w:val="20"/>
                <w:szCs w:val="20"/>
              </w:rPr>
              <w:t>TAC</w:t>
            </w:r>
            <w:r w:rsidR="00731B8F" w:rsidRPr="00F57008">
              <w:rPr>
                <w:rFonts w:ascii="Times New Roman" w:hAnsi="Times New Roman" w:cs="Times New Roman"/>
                <w:color w:val="000000"/>
                <w:sz w:val="20"/>
                <w:szCs w:val="20"/>
                <w:lang w:val="en-IN" w:bidi="ar-SA"/>
              </w:rPr>
              <w:t>-3’</w:t>
            </w:r>
          </w:p>
        </w:tc>
        <w:tc>
          <w:tcPr>
            <w:tcW w:w="786" w:type="pct"/>
            <w:vMerge/>
            <w:vAlign w:val="center"/>
          </w:tcPr>
          <w:p w:rsidR="0067537B" w:rsidRPr="00F57008" w:rsidRDefault="0067537B" w:rsidP="00982162">
            <w:pPr>
              <w:autoSpaceDE w:val="0"/>
              <w:autoSpaceDN w:val="0"/>
              <w:adjustRightInd w:val="0"/>
              <w:jc w:val="center"/>
              <w:rPr>
                <w:rFonts w:ascii="Times New Roman" w:hAnsi="Times New Roman" w:cs="Times New Roman"/>
                <w:color w:val="000000"/>
                <w:sz w:val="20"/>
                <w:szCs w:val="20"/>
              </w:rPr>
            </w:pPr>
          </w:p>
        </w:tc>
        <w:tc>
          <w:tcPr>
            <w:tcW w:w="1178" w:type="pct"/>
            <w:vMerge/>
            <w:vAlign w:val="center"/>
          </w:tcPr>
          <w:p w:rsidR="0067537B" w:rsidRPr="00F57008" w:rsidRDefault="0067537B" w:rsidP="00982162">
            <w:pPr>
              <w:autoSpaceDE w:val="0"/>
              <w:autoSpaceDN w:val="0"/>
              <w:adjustRightInd w:val="0"/>
              <w:jc w:val="center"/>
              <w:rPr>
                <w:rFonts w:ascii="Times New Roman" w:hAnsi="Times New Roman" w:cs="Times New Roman"/>
                <w:color w:val="000000"/>
                <w:sz w:val="20"/>
                <w:szCs w:val="20"/>
              </w:rPr>
            </w:pPr>
          </w:p>
        </w:tc>
      </w:tr>
    </w:tbl>
    <w:p w:rsidR="00633E8D" w:rsidRPr="00F57008" w:rsidRDefault="00633E8D" w:rsidP="00CF3AA8">
      <w:pPr>
        <w:widowControl w:val="0"/>
        <w:autoSpaceDE w:val="0"/>
        <w:autoSpaceDN w:val="0"/>
        <w:adjustRightInd w:val="0"/>
        <w:spacing w:after="0" w:line="240" w:lineRule="auto"/>
        <w:rPr>
          <w:rFonts w:ascii="Times New Roman" w:hAnsi="Times New Roman" w:cs="Times New Roman"/>
          <w:b/>
          <w:sz w:val="20"/>
          <w:szCs w:val="20"/>
        </w:rPr>
      </w:pPr>
    </w:p>
    <w:p w:rsidR="00176BED" w:rsidRPr="00F57008" w:rsidRDefault="00176BED" w:rsidP="00CF3AA8">
      <w:pPr>
        <w:widowControl w:val="0"/>
        <w:autoSpaceDE w:val="0"/>
        <w:autoSpaceDN w:val="0"/>
        <w:adjustRightInd w:val="0"/>
        <w:spacing w:after="0" w:line="240" w:lineRule="auto"/>
        <w:rPr>
          <w:rFonts w:ascii="Times New Roman" w:hAnsi="Times New Roman" w:cs="Times New Roman"/>
          <w:b/>
          <w:sz w:val="20"/>
          <w:szCs w:val="20"/>
        </w:rPr>
      </w:pPr>
    </w:p>
    <w:p w:rsidR="00176BED" w:rsidRPr="00F57008" w:rsidRDefault="00176BED" w:rsidP="00CF3AA8">
      <w:pPr>
        <w:widowControl w:val="0"/>
        <w:autoSpaceDE w:val="0"/>
        <w:autoSpaceDN w:val="0"/>
        <w:adjustRightInd w:val="0"/>
        <w:spacing w:after="0" w:line="240" w:lineRule="auto"/>
        <w:rPr>
          <w:rFonts w:ascii="Times New Roman" w:hAnsi="Times New Roman" w:cs="Times New Roman"/>
          <w:b/>
          <w:sz w:val="20"/>
          <w:szCs w:val="20"/>
        </w:rPr>
      </w:pPr>
    </w:p>
    <w:p w:rsidR="00176BED" w:rsidRDefault="00176BED" w:rsidP="00176BED">
      <w:pPr>
        <w:widowControl w:val="0"/>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sz w:val="24"/>
          <w:szCs w:val="24"/>
        </w:rPr>
        <w:t>References:</w:t>
      </w:r>
    </w:p>
    <w:p w:rsidR="00F57008" w:rsidRDefault="00F57008" w:rsidP="00F57008">
      <w:pPr>
        <w:widowControl w:val="0"/>
        <w:autoSpaceDE w:val="0"/>
        <w:autoSpaceDN w:val="0"/>
        <w:adjustRightInd w:val="0"/>
        <w:spacing w:line="480" w:lineRule="auto"/>
        <w:ind w:left="640" w:hanging="640"/>
        <w:jc w:val="both"/>
        <w:rPr>
          <w:rFonts w:ascii="Times New Roman" w:hAnsi="Times New Roman" w:cs="Times New Roman"/>
          <w:noProof/>
          <w:sz w:val="20"/>
          <w:szCs w:val="20"/>
        </w:rPr>
      </w:pPr>
      <w:r w:rsidRPr="00F57008">
        <w:rPr>
          <w:rFonts w:ascii="Times New Roman" w:hAnsi="Times New Roman" w:cs="Times New Roman"/>
          <w:noProof/>
          <w:sz w:val="20"/>
          <w:szCs w:val="20"/>
        </w:rPr>
        <w:t xml:space="preserve">El Fertas-Aissani R, Messai Y, Alouache S, Bakour R (2013) Virulence profiles and antibiotic susceptibility patterns of </w:t>
      </w:r>
      <w:r w:rsidRPr="00F57008">
        <w:rPr>
          <w:rFonts w:ascii="Times New Roman" w:hAnsi="Times New Roman" w:cs="Times New Roman"/>
          <w:i/>
          <w:iCs/>
          <w:noProof/>
          <w:sz w:val="20"/>
          <w:szCs w:val="20"/>
        </w:rPr>
        <w:t>Klebsiella pneumoniae</w:t>
      </w:r>
      <w:r w:rsidRPr="00F57008">
        <w:rPr>
          <w:rFonts w:ascii="Times New Roman" w:hAnsi="Times New Roman" w:cs="Times New Roman"/>
          <w:noProof/>
          <w:sz w:val="20"/>
          <w:szCs w:val="20"/>
        </w:rPr>
        <w:t xml:space="preserve"> strains isolated from different clinical specimens. Pathol Biol 61:209–16.</w:t>
      </w:r>
    </w:p>
    <w:bookmarkStart w:id="0" w:name="_GoBack"/>
    <w:bookmarkEnd w:id="0"/>
    <w:p w:rsidR="00EB53F5" w:rsidRPr="00F57008" w:rsidRDefault="00EB53F5" w:rsidP="00F57008">
      <w:pPr>
        <w:widowControl w:val="0"/>
        <w:autoSpaceDE w:val="0"/>
        <w:autoSpaceDN w:val="0"/>
        <w:adjustRightInd w:val="0"/>
        <w:spacing w:line="480" w:lineRule="auto"/>
        <w:ind w:left="640" w:hanging="640"/>
        <w:jc w:val="both"/>
        <w:rPr>
          <w:rFonts w:ascii="Times New Roman" w:hAnsi="Times New Roman" w:cs="Times New Roman"/>
          <w:noProof/>
          <w:sz w:val="20"/>
          <w:szCs w:val="20"/>
        </w:rPr>
      </w:pPr>
      <w:r w:rsidRPr="00F57008">
        <w:rPr>
          <w:rFonts w:ascii="Times New Roman" w:hAnsi="Times New Roman" w:cs="Times New Roman"/>
          <w:noProof/>
          <w:sz w:val="20"/>
          <w:szCs w:val="20"/>
        </w:rPr>
        <w:fldChar w:fldCharType="begin" w:fldLock="1"/>
      </w:r>
      <w:r w:rsidRPr="00F57008">
        <w:rPr>
          <w:rFonts w:ascii="Times New Roman" w:hAnsi="Times New Roman" w:cs="Times New Roman"/>
          <w:noProof/>
          <w:sz w:val="20"/>
          <w:szCs w:val="20"/>
        </w:rPr>
        <w:instrText xml:space="preserve">ADDIN Mendeley Bibliography CSL_BIBLIOGRAPHY </w:instrText>
      </w:r>
      <w:r w:rsidRPr="00F57008">
        <w:rPr>
          <w:rFonts w:ascii="Times New Roman" w:hAnsi="Times New Roman" w:cs="Times New Roman"/>
          <w:noProof/>
          <w:sz w:val="20"/>
          <w:szCs w:val="20"/>
        </w:rPr>
        <w:fldChar w:fldCharType="separate"/>
      </w:r>
      <w:r w:rsidRPr="00F57008">
        <w:rPr>
          <w:rFonts w:ascii="Times New Roman" w:hAnsi="Times New Roman" w:cs="Times New Roman"/>
          <w:noProof/>
          <w:sz w:val="20"/>
          <w:szCs w:val="20"/>
        </w:rPr>
        <w:t>Essack SY, Hall LMC, Pillay DG, McFadyen ML, Livermore DM</w:t>
      </w:r>
      <w:r w:rsidR="00C842DE" w:rsidRPr="00F57008">
        <w:rPr>
          <w:rFonts w:ascii="Times New Roman" w:hAnsi="Times New Roman" w:cs="Times New Roman"/>
          <w:noProof/>
          <w:sz w:val="20"/>
          <w:szCs w:val="20"/>
        </w:rPr>
        <w:t xml:space="preserve"> (2001)</w:t>
      </w:r>
      <w:r w:rsidRPr="00F57008">
        <w:rPr>
          <w:rFonts w:ascii="Times New Roman" w:hAnsi="Times New Roman" w:cs="Times New Roman"/>
          <w:noProof/>
          <w:sz w:val="20"/>
          <w:szCs w:val="20"/>
        </w:rPr>
        <w:t xml:space="preserve"> Complexity and diversity of </w:t>
      </w:r>
      <w:r w:rsidRPr="00F57008">
        <w:rPr>
          <w:rFonts w:ascii="Times New Roman" w:hAnsi="Times New Roman" w:cs="Times New Roman"/>
          <w:i/>
          <w:iCs/>
          <w:noProof/>
          <w:sz w:val="20"/>
          <w:szCs w:val="20"/>
        </w:rPr>
        <w:t>Klebsiella pneumoniae</w:t>
      </w:r>
      <w:r w:rsidRPr="00F57008">
        <w:rPr>
          <w:rFonts w:ascii="Times New Roman" w:hAnsi="Times New Roman" w:cs="Times New Roman"/>
          <w:noProof/>
          <w:sz w:val="20"/>
          <w:szCs w:val="20"/>
        </w:rPr>
        <w:t xml:space="preserve"> strains with extended-spectrum β-lactamases isolated in 1994 and 1996 at a teaching hospital in Durban, South Africa. Antimicrob. Agents Chemother</w:t>
      </w:r>
      <w:r w:rsidR="00C842DE" w:rsidRPr="00F57008">
        <w:rPr>
          <w:rFonts w:ascii="Times New Roman" w:hAnsi="Times New Roman" w:cs="Times New Roman"/>
          <w:noProof/>
          <w:sz w:val="20"/>
          <w:szCs w:val="20"/>
        </w:rPr>
        <w:t xml:space="preserve"> </w:t>
      </w:r>
      <w:r w:rsidRPr="00F57008">
        <w:rPr>
          <w:rFonts w:ascii="Times New Roman" w:hAnsi="Times New Roman" w:cs="Times New Roman"/>
          <w:noProof/>
          <w:sz w:val="20"/>
          <w:szCs w:val="20"/>
        </w:rPr>
        <w:t>45:88–95. doi: http://www.ncbi.nlm.nih.gov/pubmed/11120950doi: 10.1128/AAC.45.1.88-95.2001</w:t>
      </w:r>
    </w:p>
    <w:p w:rsidR="00F57008" w:rsidRPr="00F57008" w:rsidRDefault="00F57008" w:rsidP="00F57008">
      <w:pPr>
        <w:widowControl w:val="0"/>
        <w:autoSpaceDE w:val="0"/>
        <w:autoSpaceDN w:val="0"/>
        <w:adjustRightInd w:val="0"/>
        <w:spacing w:line="480" w:lineRule="auto"/>
        <w:ind w:left="640" w:hanging="640"/>
        <w:jc w:val="both"/>
        <w:rPr>
          <w:rFonts w:ascii="Times New Roman" w:hAnsi="Times New Roman" w:cs="Times New Roman"/>
          <w:noProof/>
          <w:sz w:val="20"/>
          <w:szCs w:val="20"/>
        </w:rPr>
      </w:pPr>
      <w:r w:rsidRPr="00F57008">
        <w:rPr>
          <w:rFonts w:ascii="Times New Roman" w:hAnsi="Times New Roman" w:cs="Times New Roman"/>
          <w:noProof/>
          <w:sz w:val="20"/>
          <w:szCs w:val="20"/>
        </w:rPr>
        <w:t xml:space="preserve">Fang C-T, Lai S-Y, Yi W-C, Hsueh P-R, Liu K-L, Chang S-C (2007) </w:t>
      </w:r>
      <w:r w:rsidRPr="00F57008">
        <w:rPr>
          <w:rFonts w:ascii="Times New Roman" w:hAnsi="Times New Roman" w:cs="Times New Roman"/>
          <w:i/>
          <w:iCs/>
          <w:noProof/>
          <w:sz w:val="20"/>
          <w:szCs w:val="20"/>
        </w:rPr>
        <w:t>Klebsiella pneumoniae</w:t>
      </w:r>
      <w:r w:rsidRPr="00F57008">
        <w:rPr>
          <w:rFonts w:ascii="Times New Roman" w:hAnsi="Times New Roman" w:cs="Times New Roman"/>
          <w:noProof/>
          <w:sz w:val="20"/>
          <w:szCs w:val="20"/>
        </w:rPr>
        <w:t xml:space="preserve"> Genotype K1: An emerging pathogen that causes septic ocular or central nervous system complications from pyogenic liver abscess. Clin Infect Dis 45:284–93.</w:t>
      </w:r>
    </w:p>
    <w:p w:rsidR="00F57008" w:rsidRPr="00F57008" w:rsidRDefault="00F57008" w:rsidP="00F57008">
      <w:pPr>
        <w:widowControl w:val="0"/>
        <w:autoSpaceDE w:val="0"/>
        <w:autoSpaceDN w:val="0"/>
        <w:adjustRightInd w:val="0"/>
        <w:spacing w:line="480" w:lineRule="auto"/>
        <w:ind w:left="640" w:hanging="640"/>
        <w:jc w:val="both"/>
        <w:rPr>
          <w:rFonts w:ascii="Times New Roman" w:hAnsi="Times New Roman" w:cs="Times New Roman"/>
          <w:noProof/>
          <w:sz w:val="20"/>
          <w:szCs w:val="20"/>
        </w:rPr>
      </w:pPr>
      <w:r w:rsidRPr="00F57008">
        <w:rPr>
          <w:rFonts w:ascii="Times New Roman" w:hAnsi="Times New Roman" w:cs="Times New Roman"/>
          <w:noProof/>
          <w:sz w:val="20"/>
          <w:szCs w:val="20"/>
        </w:rPr>
        <w:t xml:space="preserve">Pelludat C, Hogardt M, Heesemann J (2002) Transfer of the core region genes of the </w:t>
      </w:r>
      <w:r w:rsidRPr="00F57008">
        <w:rPr>
          <w:rFonts w:ascii="Times New Roman" w:hAnsi="Times New Roman" w:cs="Times New Roman"/>
          <w:i/>
          <w:iCs/>
          <w:noProof/>
          <w:sz w:val="20"/>
          <w:szCs w:val="20"/>
        </w:rPr>
        <w:t>Yersinia enterocolitica</w:t>
      </w:r>
      <w:r w:rsidRPr="00F57008">
        <w:rPr>
          <w:rFonts w:ascii="Times New Roman" w:hAnsi="Times New Roman" w:cs="Times New Roman"/>
          <w:noProof/>
          <w:sz w:val="20"/>
          <w:szCs w:val="20"/>
        </w:rPr>
        <w:t xml:space="preserve"> </w:t>
      </w:r>
      <w:r w:rsidRPr="00F57008">
        <w:rPr>
          <w:rFonts w:ascii="Times New Roman" w:hAnsi="Times New Roman" w:cs="Times New Roman"/>
          <w:noProof/>
          <w:sz w:val="20"/>
          <w:szCs w:val="20"/>
        </w:rPr>
        <w:lastRenderedPageBreak/>
        <w:t xml:space="preserve">WA-C serotype O:8 high-pathogenicity island to </w:t>
      </w:r>
      <w:r w:rsidRPr="00F57008">
        <w:rPr>
          <w:rFonts w:ascii="Times New Roman" w:hAnsi="Times New Roman" w:cs="Times New Roman"/>
          <w:i/>
          <w:iCs/>
          <w:noProof/>
          <w:sz w:val="20"/>
          <w:szCs w:val="20"/>
        </w:rPr>
        <w:t>Y. enterocolitica</w:t>
      </w:r>
      <w:r w:rsidRPr="00F57008">
        <w:rPr>
          <w:rFonts w:ascii="Times New Roman" w:hAnsi="Times New Roman" w:cs="Times New Roman"/>
          <w:noProof/>
          <w:sz w:val="20"/>
          <w:szCs w:val="20"/>
        </w:rPr>
        <w:t xml:space="preserve"> MRS40, a strain with low levels of pathogenicity, confers a yersiniabactin biosynthesis phenotype and enhanced mouse virulenc. Infect Immun 70:1832–41. doi: http://iai.asm.org/doi: 10.1128/IAI.70.4.1832-1841.2002</w:t>
      </w:r>
    </w:p>
    <w:p w:rsidR="00EB53F5" w:rsidRPr="00F57008" w:rsidRDefault="00EB53F5" w:rsidP="00F57008">
      <w:pPr>
        <w:widowControl w:val="0"/>
        <w:autoSpaceDE w:val="0"/>
        <w:autoSpaceDN w:val="0"/>
        <w:adjustRightInd w:val="0"/>
        <w:spacing w:line="480" w:lineRule="auto"/>
        <w:ind w:left="640" w:hanging="640"/>
        <w:jc w:val="both"/>
        <w:rPr>
          <w:rFonts w:ascii="Times New Roman" w:hAnsi="Times New Roman" w:cs="Times New Roman"/>
          <w:noProof/>
          <w:sz w:val="20"/>
          <w:szCs w:val="20"/>
        </w:rPr>
      </w:pPr>
      <w:r w:rsidRPr="00F57008">
        <w:rPr>
          <w:rFonts w:ascii="Times New Roman" w:hAnsi="Times New Roman" w:cs="Times New Roman"/>
          <w:noProof/>
          <w:sz w:val="20"/>
          <w:szCs w:val="20"/>
        </w:rPr>
        <w:t>Saladin M, Cao VTB, Lambert T, Donay JL, Herrmann JL, Ould-Hocine Z, et al</w:t>
      </w:r>
      <w:r w:rsidR="00C842DE" w:rsidRPr="00F57008">
        <w:rPr>
          <w:rFonts w:ascii="Times New Roman" w:hAnsi="Times New Roman" w:cs="Times New Roman"/>
          <w:noProof/>
          <w:sz w:val="20"/>
          <w:szCs w:val="20"/>
        </w:rPr>
        <w:t xml:space="preserve"> (2002)</w:t>
      </w:r>
      <w:r w:rsidRPr="00F57008">
        <w:rPr>
          <w:rFonts w:ascii="Times New Roman" w:hAnsi="Times New Roman" w:cs="Times New Roman"/>
          <w:noProof/>
          <w:sz w:val="20"/>
          <w:szCs w:val="20"/>
        </w:rPr>
        <w:t xml:space="preserve"> Diversity of CTX-M β-lactamases and their promoter regions from Enterobacteriaceae isolated in three Parisian hospitals. FEMS Microbiol Lett 209:161–8. doi: 10.1016/S0378-1097(02)00484-6</w:t>
      </w:r>
    </w:p>
    <w:p w:rsidR="00EB53F5" w:rsidRPr="00F57008" w:rsidRDefault="00EB53F5" w:rsidP="00F57008">
      <w:pPr>
        <w:widowControl w:val="0"/>
        <w:autoSpaceDE w:val="0"/>
        <w:autoSpaceDN w:val="0"/>
        <w:adjustRightInd w:val="0"/>
        <w:spacing w:line="480" w:lineRule="auto"/>
        <w:ind w:left="640" w:hanging="640"/>
        <w:jc w:val="both"/>
        <w:rPr>
          <w:rFonts w:ascii="Times New Roman" w:hAnsi="Times New Roman" w:cs="Times New Roman"/>
          <w:noProof/>
          <w:sz w:val="20"/>
          <w:szCs w:val="20"/>
        </w:rPr>
      </w:pPr>
      <w:r w:rsidRPr="00F57008">
        <w:rPr>
          <w:rFonts w:ascii="Times New Roman" w:hAnsi="Times New Roman" w:cs="Times New Roman"/>
          <w:noProof/>
          <w:sz w:val="20"/>
          <w:szCs w:val="20"/>
        </w:rPr>
        <w:t>Wasfi R, Elkhatib WF, Ashour HM</w:t>
      </w:r>
      <w:r w:rsidR="00C842DE" w:rsidRPr="00F57008">
        <w:rPr>
          <w:rFonts w:ascii="Times New Roman" w:hAnsi="Times New Roman" w:cs="Times New Roman"/>
          <w:noProof/>
          <w:sz w:val="20"/>
          <w:szCs w:val="20"/>
        </w:rPr>
        <w:t xml:space="preserve"> (2016)</w:t>
      </w:r>
      <w:r w:rsidRPr="00F57008">
        <w:rPr>
          <w:rFonts w:ascii="Times New Roman" w:hAnsi="Times New Roman" w:cs="Times New Roman"/>
          <w:noProof/>
          <w:sz w:val="20"/>
          <w:szCs w:val="20"/>
        </w:rPr>
        <w:t xml:space="preserve"> Molecular typing and virulence analysis of multidrug resistant </w:t>
      </w:r>
      <w:r w:rsidRPr="00F57008">
        <w:rPr>
          <w:rFonts w:ascii="Times New Roman" w:hAnsi="Times New Roman" w:cs="Times New Roman"/>
          <w:i/>
          <w:iCs/>
          <w:noProof/>
          <w:sz w:val="20"/>
          <w:szCs w:val="20"/>
        </w:rPr>
        <w:t>Klebsiella pneumoniae</w:t>
      </w:r>
      <w:r w:rsidRPr="00F57008">
        <w:rPr>
          <w:rFonts w:ascii="Times New Roman" w:hAnsi="Times New Roman" w:cs="Times New Roman"/>
          <w:noProof/>
          <w:sz w:val="20"/>
          <w:szCs w:val="20"/>
        </w:rPr>
        <w:t xml:space="preserve"> clinical isolates recovered from Egyptian hospitals. Sci</w:t>
      </w:r>
      <w:r w:rsidR="00C842DE" w:rsidRPr="00F57008">
        <w:rPr>
          <w:rFonts w:ascii="Times New Roman" w:hAnsi="Times New Roman" w:cs="Times New Roman"/>
          <w:noProof/>
          <w:sz w:val="20"/>
          <w:szCs w:val="20"/>
        </w:rPr>
        <w:t xml:space="preserve"> </w:t>
      </w:r>
      <w:r w:rsidRPr="00F57008">
        <w:rPr>
          <w:rFonts w:ascii="Times New Roman" w:hAnsi="Times New Roman" w:cs="Times New Roman"/>
          <w:noProof/>
          <w:sz w:val="20"/>
          <w:szCs w:val="20"/>
        </w:rPr>
        <w:t>Rep</w:t>
      </w:r>
      <w:r w:rsidR="00C842DE" w:rsidRPr="00F57008">
        <w:rPr>
          <w:rFonts w:ascii="Times New Roman" w:hAnsi="Times New Roman" w:cs="Times New Roman"/>
          <w:noProof/>
          <w:sz w:val="20"/>
          <w:szCs w:val="20"/>
        </w:rPr>
        <w:t xml:space="preserve"> </w:t>
      </w:r>
      <w:r w:rsidRPr="00F57008">
        <w:rPr>
          <w:rFonts w:ascii="Times New Roman" w:hAnsi="Times New Roman" w:cs="Times New Roman"/>
          <w:noProof/>
          <w:sz w:val="20"/>
          <w:szCs w:val="20"/>
        </w:rPr>
        <w:t>6:38929. doi: http://www.nature.com/articles/srep38929doi: 10.1038/srep38929</w:t>
      </w:r>
    </w:p>
    <w:p w:rsidR="00EB53F5" w:rsidRPr="00F57008" w:rsidRDefault="00EB53F5" w:rsidP="00F57008">
      <w:pPr>
        <w:widowControl w:val="0"/>
        <w:autoSpaceDE w:val="0"/>
        <w:autoSpaceDN w:val="0"/>
        <w:adjustRightInd w:val="0"/>
        <w:spacing w:line="480" w:lineRule="auto"/>
        <w:ind w:left="640" w:hanging="640"/>
        <w:jc w:val="both"/>
        <w:rPr>
          <w:rFonts w:ascii="Times New Roman" w:hAnsi="Times New Roman" w:cs="Times New Roman"/>
          <w:noProof/>
          <w:sz w:val="20"/>
          <w:szCs w:val="18"/>
        </w:rPr>
      </w:pPr>
      <w:r w:rsidRPr="00F57008">
        <w:rPr>
          <w:rFonts w:ascii="Times New Roman" w:hAnsi="Times New Roman" w:cs="Times New Roman"/>
          <w:noProof/>
          <w:sz w:val="20"/>
          <w:szCs w:val="20"/>
        </w:rPr>
        <w:t>Versalovic J, Koeuth T, Lupski R</w:t>
      </w:r>
      <w:r w:rsidR="00C842DE" w:rsidRPr="00F57008">
        <w:rPr>
          <w:rFonts w:ascii="Times New Roman" w:hAnsi="Times New Roman" w:cs="Times New Roman"/>
          <w:noProof/>
          <w:sz w:val="20"/>
          <w:szCs w:val="20"/>
        </w:rPr>
        <w:t xml:space="preserve"> (1991)</w:t>
      </w:r>
      <w:r w:rsidRPr="00F57008">
        <w:rPr>
          <w:rFonts w:ascii="Times New Roman" w:hAnsi="Times New Roman" w:cs="Times New Roman"/>
          <w:noProof/>
          <w:sz w:val="20"/>
          <w:szCs w:val="20"/>
        </w:rPr>
        <w:t xml:space="preserve"> Distribution of repetitive DNA sequences in eubacteria and application to finerpriting of bacterial enomes. Nucleic Acids Res</w:t>
      </w:r>
      <w:r w:rsidR="00C842DE" w:rsidRPr="00F57008">
        <w:rPr>
          <w:rFonts w:ascii="Times New Roman" w:hAnsi="Times New Roman" w:cs="Times New Roman"/>
          <w:noProof/>
          <w:sz w:val="20"/>
          <w:szCs w:val="20"/>
        </w:rPr>
        <w:t xml:space="preserve"> </w:t>
      </w:r>
      <w:r w:rsidRPr="00F57008">
        <w:rPr>
          <w:rFonts w:ascii="Times New Roman" w:hAnsi="Times New Roman" w:cs="Times New Roman"/>
          <w:noProof/>
          <w:sz w:val="20"/>
          <w:szCs w:val="20"/>
        </w:rPr>
        <w:t>1991;19:6823–31.</w:t>
      </w:r>
    </w:p>
    <w:p w:rsidR="007E4707" w:rsidRPr="00693719" w:rsidRDefault="00EB53F5" w:rsidP="00F57008">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F57008">
        <w:rPr>
          <w:rFonts w:ascii="Times New Roman" w:hAnsi="Times New Roman" w:cs="Times New Roman"/>
          <w:noProof/>
          <w:sz w:val="20"/>
          <w:szCs w:val="20"/>
        </w:rPr>
        <w:fldChar w:fldCharType="end"/>
      </w:r>
    </w:p>
    <w:sectPr w:rsidR="007E4707" w:rsidRPr="00693719" w:rsidSect="00D035C2">
      <w:footerReference w:type="default" r:id="rId9"/>
      <w:pgSz w:w="11920" w:h="16860"/>
      <w:pgMar w:top="1418" w:right="1134" w:bottom="1418"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4B7" w:rsidRDefault="004C54B7" w:rsidP="00F57008">
      <w:pPr>
        <w:spacing w:after="0" w:line="240" w:lineRule="auto"/>
      </w:pPr>
      <w:r>
        <w:separator/>
      </w:r>
    </w:p>
  </w:endnote>
  <w:endnote w:type="continuationSeparator" w:id="0">
    <w:p w:rsidR="004C54B7" w:rsidRDefault="004C54B7" w:rsidP="00F57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8602179"/>
      <w:docPartObj>
        <w:docPartGallery w:val="Page Numbers (Bottom of Page)"/>
        <w:docPartUnique/>
      </w:docPartObj>
    </w:sdtPr>
    <w:sdtEndPr>
      <w:rPr>
        <w:noProof/>
      </w:rPr>
    </w:sdtEndPr>
    <w:sdtContent>
      <w:p w:rsidR="00F57008" w:rsidRDefault="00F570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57008" w:rsidRDefault="00F57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4B7" w:rsidRDefault="004C54B7" w:rsidP="00F57008">
      <w:pPr>
        <w:spacing w:after="0" w:line="240" w:lineRule="auto"/>
      </w:pPr>
      <w:r>
        <w:separator/>
      </w:r>
    </w:p>
  </w:footnote>
  <w:footnote w:type="continuationSeparator" w:id="0">
    <w:p w:rsidR="004C54B7" w:rsidRDefault="004C54B7" w:rsidP="00F570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1102B"/>
    <w:multiLevelType w:val="hybridMultilevel"/>
    <w:tmpl w:val="045EC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K0NDAzMTY2NTO1tDBU0lEKTi0uzszPAykwNKoFALkB2uktAAAA"/>
  </w:docVars>
  <w:rsids>
    <w:rsidRoot w:val="00C94E24"/>
    <w:rsid w:val="0000715A"/>
    <w:rsid w:val="00013112"/>
    <w:rsid w:val="0003270B"/>
    <w:rsid w:val="00033919"/>
    <w:rsid w:val="0004285F"/>
    <w:rsid w:val="00063E1F"/>
    <w:rsid w:val="00070D95"/>
    <w:rsid w:val="000A072D"/>
    <w:rsid w:val="000B21E3"/>
    <w:rsid w:val="000C1EAA"/>
    <w:rsid w:val="000F6E80"/>
    <w:rsid w:val="0011677E"/>
    <w:rsid w:val="00135700"/>
    <w:rsid w:val="00171DBB"/>
    <w:rsid w:val="00176BED"/>
    <w:rsid w:val="001E078C"/>
    <w:rsid w:val="00212863"/>
    <w:rsid w:val="00231AD7"/>
    <w:rsid w:val="0023444E"/>
    <w:rsid w:val="002B0A7D"/>
    <w:rsid w:val="00303374"/>
    <w:rsid w:val="00347715"/>
    <w:rsid w:val="00356F2B"/>
    <w:rsid w:val="00366275"/>
    <w:rsid w:val="003F7E93"/>
    <w:rsid w:val="00401AEE"/>
    <w:rsid w:val="00424797"/>
    <w:rsid w:val="00433F56"/>
    <w:rsid w:val="00442A32"/>
    <w:rsid w:val="004A3A27"/>
    <w:rsid w:val="004C54B7"/>
    <w:rsid w:val="004E0992"/>
    <w:rsid w:val="005373F1"/>
    <w:rsid w:val="00566244"/>
    <w:rsid w:val="00584C01"/>
    <w:rsid w:val="005A0A72"/>
    <w:rsid w:val="005E2BF8"/>
    <w:rsid w:val="005E787D"/>
    <w:rsid w:val="005F0A21"/>
    <w:rsid w:val="005F707E"/>
    <w:rsid w:val="00612202"/>
    <w:rsid w:val="00633E8D"/>
    <w:rsid w:val="00662084"/>
    <w:rsid w:val="00671D0D"/>
    <w:rsid w:val="00672ACA"/>
    <w:rsid w:val="0067537B"/>
    <w:rsid w:val="00685356"/>
    <w:rsid w:val="00693719"/>
    <w:rsid w:val="0069699C"/>
    <w:rsid w:val="006A51EE"/>
    <w:rsid w:val="006B30C4"/>
    <w:rsid w:val="006E49BC"/>
    <w:rsid w:val="0073019A"/>
    <w:rsid w:val="00731B8F"/>
    <w:rsid w:val="007679E7"/>
    <w:rsid w:val="00797D6E"/>
    <w:rsid w:val="007B52FB"/>
    <w:rsid w:val="007B72AA"/>
    <w:rsid w:val="007C0864"/>
    <w:rsid w:val="007C1406"/>
    <w:rsid w:val="007C44D5"/>
    <w:rsid w:val="007C6A81"/>
    <w:rsid w:val="007E4707"/>
    <w:rsid w:val="00866176"/>
    <w:rsid w:val="008C71FD"/>
    <w:rsid w:val="008D6DAB"/>
    <w:rsid w:val="008E2C95"/>
    <w:rsid w:val="008F6C44"/>
    <w:rsid w:val="00935C38"/>
    <w:rsid w:val="0094430E"/>
    <w:rsid w:val="0094432D"/>
    <w:rsid w:val="00953843"/>
    <w:rsid w:val="00982162"/>
    <w:rsid w:val="009E385C"/>
    <w:rsid w:val="00A20263"/>
    <w:rsid w:val="00A25D61"/>
    <w:rsid w:val="00A318AE"/>
    <w:rsid w:val="00A657AF"/>
    <w:rsid w:val="00A70ED3"/>
    <w:rsid w:val="00AD456D"/>
    <w:rsid w:val="00AF1EB7"/>
    <w:rsid w:val="00AF49C8"/>
    <w:rsid w:val="00AF5BAF"/>
    <w:rsid w:val="00B0422B"/>
    <w:rsid w:val="00B14DC2"/>
    <w:rsid w:val="00B367B4"/>
    <w:rsid w:val="00B677AD"/>
    <w:rsid w:val="00BA3AC2"/>
    <w:rsid w:val="00BB5584"/>
    <w:rsid w:val="00BD04E8"/>
    <w:rsid w:val="00BF0F8A"/>
    <w:rsid w:val="00C07B93"/>
    <w:rsid w:val="00C107AF"/>
    <w:rsid w:val="00C2039B"/>
    <w:rsid w:val="00C2270D"/>
    <w:rsid w:val="00C55CD9"/>
    <w:rsid w:val="00C842DE"/>
    <w:rsid w:val="00C8456C"/>
    <w:rsid w:val="00C94E24"/>
    <w:rsid w:val="00CB4928"/>
    <w:rsid w:val="00CE2D6B"/>
    <w:rsid w:val="00CF3AA8"/>
    <w:rsid w:val="00D035C2"/>
    <w:rsid w:val="00D11EC7"/>
    <w:rsid w:val="00D4767F"/>
    <w:rsid w:val="00D9708A"/>
    <w:rsid w:val="00DA76F7"/>
    <w:rsid w:val="00DB506D"/>
    <w:rsid w:val="00DF7908"/>
    <w:rsid w:val="00E06700"/>
    <w:rsid w:val="00E1144A"/>
    <w:rsid w:val="00E30DF4"/>
    <w:rsid w:val="00E63DE0"/>
    <w:rsid w:val="00EB53F5"/>
    <w:rsid w:val="00F57008"/>
    <w:rsid w:val="00F71B0E"/>
    <w:rsid w:val="00F95771"/>
    <w:rsid w:val="00FA2DBA"/>
    <w:rsid w:val="00FE49C5"/>
    <w:rsid w:val="00FE590E"/>
    <w:rsid w:val="00FF174B"/>
    <w:rsid w:val="00FF41C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C21D3"/>
  <w15:docId w15:val="{1AFD257F-18AF-4964-85F2-AF1D7D69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7B4"/>
    <w:rPr>
      <w:lang w:val="en-US" w:bidi="o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767F"/>
    <w:pPr>
      <w:ind w:left="720"/>
      <w:contextualSpacing/>
    </w:pPr>
  </w:style>
  <w:style w:type="character" w:styleId="Hyperlink">
    <w:name w:val="Hyperlink"/>
    <w:basedOn w:val="DefaultParagraphFont"/>
    <w:uiPriority w:val="99"/>
    <w:unhideWhenUsed/>
    <w:rsid w:val="00401AEE"/>
    <w:rPr>
      <w:color w:val="0000FF" w:themeColor="hyperlink"/>
      <w:u w:val="single"/>
    </w:rPr>
  </w:style>
  <w:style w:type="character" w:styleId="UnresolvedMention">
    <w:name w:val="Unresolved Mention"/>
    <w:basedOn w:val="DefaultParagraphFont"/>
    <w:uiPriority w:val="99"/>
    <w:semiHidden/>
    <w:unhideWhenUsed/>
    <w:rsid w:val="00401AEE"/>
    <w:rPr>
      <w:color w:val="605E5C"/>
      <w:shd w:val="clear" w:color="auto" w:fill="E1DFDD"/>
    </w:rPr>
  </w:style>
  <w:style w:type="paragraph" w:styleId="Header">
    <w:name w:val="header"/>
    <w:basedOn w:val="Normal"/>
    <w:link w:val="HeaderChar"/>
    <w:uiPriority w:val="99"/>
    <w:unhideWhenUsed/>
    <w:rsid w:val="00F57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008"/>
    <w:rPr>
      <w:lang w:val="en-US" w:bidi="or-IN"/>
    </w:rPr>
  </w:style>
  <w:style w:type="paragraph" w:styleId="Footer">
    <w:name w:val="footer"/>
    <w:basedOn w:val="Normal"/>
    <w:link w:val="FooterChar"/>
    <w:uiPriority w:val="99"/>
    <w:unhideWhenUsed/>
    <w:rsid w:val="00F57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008"/>
    <w:rPr>
      <w:lang w:val="en-US" w:bidi="o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keteswarasubudhi@soa.ac.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62FD898-CFA4-4463-82C6-F48D8B3DC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5133</Words>
  <Characters>29263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dc:creator>
  <cp:lastModifiedBy>RAJESH</cp:lastModifiedBy>
  <cp:revision>9</cp:revision>
  <dcterms:created xsi:type="dcterms:W3CDTF">2019-02-12T09:15:00Z</dcterms:created>
  <dcterms:modified xsi:type="dcterms:W3CDTF">2019-06-18T07:06:00Z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4811a645-faab-394e-9650-1ddbe107dbdd</vt:lpwstr>
  </property>
  <property fmtid="{D5CDD505-2E9C-101B-9397-08002B2CF9AE}" pid="4" name="Mendeley Citation Style_1">
    <vt:lpwstr>http://www.zotero.org/styles/european-journal-of-clinical-microbiology-and-infectious-diseases</vt:lpwstr>
  </property>
  <property fmtid="{D5CDD505-2E9C-101B-9397-08002B2CF9AE}" pid="5" name="Mendeley Recent Style Id 0_1">
    <vt:lpwstr>http://www.zotero.org/styles/3-biotech</vt:lpwstr>
  </property>
  <property fmtid="{D5CDD505-2E9C-101B-9397-08002B2CF9AE}" pid="6" name="Mendeley Recent Style Name 0_1">
    <vt:lpwstr>3 Biotech</vt:lpwstr>
  </property>
  <property fmtid="{D5CDD505-2E9C-101B-9397-08002B2CF9AE}" pid="7" name="Mendeley Recent Style Id 1_1">
    <vt:lpwstr>http://www.zotero.org/styles/european-journal-of-clinical-microbiology-and-infectious-diseases</vt:lpwstr>
  </property>
  <property fmtid="{D5CDD505-2E9C-101B-9397-08002B2CF9AE}" pid="8" name="Mendeley Recent Style Name 1_1">
    <vt:lpwstr>European Journal of Clinical Microbiology &amp; Infectious Diseases</vt:lpwstr>
  </property>
  <property fmtid="{D5CDD505-2E9C-101B-9397-08002B2CF9AE}" pid="9" name="Mendeley Recent Style Id 2_1">
    <vt:lpwstr>http://www.zotero.org/styles/hawaii-international-conference-on-system-sciences-proceedings</vt:lpwstr>
  </property>
  <property fmtid="{D5CDD505-2E9C-101B-9397-08002B2CF9AE}" pid="10" name="Mendeley Recent Style Name 2_1">
    <vt:lpwstr>Hawaii International Conference on System Sciences Proceedings</vt:lpwstr>
  </property>
  <property fmtid="{D5CDD505-2E9C-101B-9397-08002B2CF9AE}" pid="11" name="Mendeley Recent Style Id 3_1">
    <vt:lpwstr>http://www.zotero.org/styles/indian-journal-of-medical-research</vt:lpwstr>
  </property>
  <property fmtid="{D5CDD505-2E9C-101B-9397-08002B2CF9AE}" pid="12" name="Mendeley Recent Style Name 3_1">
    <vt:lpwstr>Indian Journal of Medical Research</vt:lpwstr>
  </property>
  <property fmtid="{D5CDD505-2E9C-101B-9397-08002B2CF9AE}" pid="13" name="Mendeley Recent Style Id 4_1">
    <vt:lpwstr>http://www.zotero.org/styles/industrial-crops-and-products</vt:lpwstr>
  </property>
  <property fmtid="{D5CDD505-2E9C-101B-9397-08002B2CF9AE}" pid="14" name="Mendeley Recent Style Name 4_1">
    <vt:lpwstr>Industrial Crops &amp; Products</vt:lpwstr>
  </property>
  <property fmtid="{D5CDD505-2E9C-101B-9397-08002B2CF9AE}" pid="15" name="Mendeley Recent Style Id 5_1">
    <vt:lpwstr>http://www.zotero.org/styles/international-microbiology</vt:lpwstr>
  </property>
  <property fmtid="{D5CDD505-2E9C-101B-9397-08002B2CF9AE}" pid="16" name="Mendeley Recent Style Name 5_1">
    <vt:lpwstr>International Microbiology</vt:lpwstr>
  </property>
  <property fmtid="{D5CDD505-2E9C-101B-9397-08002B2CF9AE}" pid="17" name="Mendeley Recent Style Id 6_1">
    <vt:lpwstr>http://www.zotero.org/styles/journal-of-global-antimicrobial-resistance</vt:lpwstr>
  </property>
  <property fmtid="{D5CDD505-2E9C-101B-9397-08002B2CF9AE}" pid="18" name="Mendeley Recent Style Name 6_1">
    <vt:lpwstr>Journal of Global Antimicrobial Resistance</vt:lpwstr>
  </property>
  <property fmtid="{D5CDD505-2E9C-101B-9397-08002B2CF9AE}" pid="19" name="Mendeley Recent Style Id 7_1">
    <vt:lpwstr>http://www.zotero.org/styles/microbial-drug-resistance</vt:lpwstr>
  </property>
  <property fmtid="{D5CDD505-2E9C-101B-9397-08002B2CF9AE}" pid="20" name="Mendeley Recent Style Name 7_1">
    <vt:lpwstr>Microbial Drug Resistance</vt:lpwstr>
  </property>
  <property fmtid="{D5CDD505-2E9C-101B-9397-08002B2CF9AE}" pid="21" name="Mendeley Recent Style Id 8_1">
    <vt:lpwstr>http://www.zotero.org/styles/nature-biotechnology</vt:lpwstr>
  </property>
  <property fmtid="{D5CDD505-2E9C-101B-9397-08002B2CF9AE}" pid="22" name="Mendeley Recent Style Name 8_1">
    <vt:lpwstr>Nature Biotechnology</vt:lpwstr>
  </property>
  <property fmtid="{D5CDD505-2E9C-101B-9397-08002B2CF9AE}" pid="23" name="Mendeley Recent Style Id 9_1">
    <vt:lpwstr>http://www.zotero.org/styles/vancouver-brackets</vt:lpwstr>
  </property>
  <property fmtid="{D5CDD505-2E9C-101B-9397-08002B2CF9AE}" pid="24" name="Mendeley Recent Style Name 9_1">
    <vt:lpwstr>Vancouver (brackets)</vt:lpwstr>
  </property>
</Properties>
</file>