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87D41" w14:textId="77777777" w:rsidR="00343552" w:rsidRPr="00343552" w:rsidRDefault="00DB604D" w:rsidP="00343552">
      <w:pPr>
        <w:pStyle w:val="Articletitle"/>
        <w:jc w:val="both"/>
      </w:pPr>
      <w:bookmarkStart w:id="0" w:name="_Hlk24971020"/>
      <w:r w:rsidRPr="00120167">
        <w:t>Supplemental Information</w:t>
      </w:r>
      <w:r w:rsidR="00120167" w:rsidRPr="00120167">
        <w:t>: Precision characterization of three ultrafine condensation particle counters using singly charged salt clusters in the 1-4 nm size range generated by a bipolar electrospray source</w:t>
      </w:r>
    </w:p>
    <w:p w14:paraId="0369EB8D" w14:textId="77777777" w:rsidR="00343552" w:rsidRPr="00973407" w:rsidRDefault="00343552" w:rsidP="00343552">
      <w:pPr>
        <w:pStyle w:val="Authornames"/>
        <w:jc w:val="both"/>
      </w:pPr>
      <w:r w:rsidRPr="00973407">
        <w:t xml:space="preserve">Sophia </w:t>
      </w:r>
      <w:proofErr w:type="spellStart"/>
      <w:r w:rsidRPr="00973407">
        <w:t>Brilke</w:t>
      </w:r>
      <w:r w:rsidRPr="00973407">
        <w:rPr>
          <w:vertAlign w:val="superscript"/>
        </w:rPr>
        <w:t>a</w:t>
      </w:r>
      <w:proofErr w:type="spellEnd"/>
      <w:r w:rsidRPr="00973407">
        <w:t xml:space="preserve">*, Julian </w:t>
      </w:r>
      <w:proofErr w:type="spellStart"/>
      <w:r w:rsidRPr="00973407">
        <w:t>Resch</w:t>
      </w:r>
      <w:r w:rsidRPr="00973407">
        <w:rPr>
          <w:vertAlign w:val="superscript"/>
        </w:rPr>
        <w:t>a</w:t>
      </w:r>
      <w:proofErr w:type="spellEnd"/>
      <w:r w:rsidRPr="00973407">
        <w:t xml:space="preserve">, Markus </w:t>
      </w:r>
      <w:proofErr w:type="spellStart"/>
      <w:r w:rsidRPr="00973407">
        <w:t>Leiminger</w:t>
      </w:r>
      <w:r w:rsidRPr="00973407">
        <w:rPr>
          <w:vertAlign w:val="superscript"/>
        </w:rPr>
        <w:t>b</w:t>
      </w:r>
      <w:proofErr w:type="spellEnd"/>
      <w:r w:rsidRPr="00973407">
        <w:t xml:space="preserve">, Gerhard </w:t>
      </w:r>
      <w:proofErr w:type="spellStart"/>
      <w:proofErr w:type="gramStart"/>
      <w:r w:rsidRPr="00973407">
        <w:t>Steiner</w:t>
      </w:r>
      <w:r w:rsidRPr="00973407">
        <w:rPr>
          <w:vertAlign w:val="superscript"/>
        </w:rPr>
        <w:t>b,c</w:t>
      </w:r>
      <w:proofErr w:type="spellEnd"/>
      <w:proofErr w:type="gramEnd"/>
      <w:r w:rsidRPr="00973407">
        <w:t xml:space="preserve">, Christian </w:t>
      </w:r>
      <w:proofErr w:type="spellStart"/>
      <w:r w:rsidRPr="00973407">
        <w:t>Tauber</w:t>
      </w:r>
      <w:r w:rsidRPr="00973407">
        <w:rPr>
          <w:vertAlign w:val="superscript"/>
        </w:rPr>
        <w:t>a</w:t>
      </w:r>
      <w:proofErr w:type="spellEnd"/>
      <w:r w:rsidRPr="00973407">
        <w:t xml:space="preserve">, Peter J. </w:t>
      </w:r>
      <w:proofErr w:type="spellStart"/>
      <w:r w:rsidRPr="00973407">
        <w:t>Wlasits</w:t>
      </w:r>
      <w:r w:rsidRPr="00973407">
        <w:rPr>
          <w:vertAlign w:val="superscript"/>
        </w:rPr>
        <w:t>a</w:t>
      </w:r>
      <w:proofErr w:type="spellEnd"/>
      <w:r w:rsidRPr="00973407">
        <w:t xml:space="preserve"> and Paul M. </w:t>
      </w:r>
      <w:proofErr w:type="spellStart"/>
      <w:r w:rsidRPr="00973407">
        <w:t>Winkler</w:t>
      </w:r>
      <w:r w:rsidRPr="00973407">
        <w:rPr>
          <w:vertAlign w:val="superscript"/>
        </w:rPr>
        <w:t>a</w:t>
      </w:r>
      <w:proofErr w:type="spellEnd"/>
    </w:p>
    <w:p w14:paraId="117E37E6" w14:textId="77777777" w:rsidR="00343552" w:rsidRDefault="00343552" w:rsidP="00343552">
      <w:pPr>
        <w:pStyle w:val="Affiliation"/>
        <w:jc w:val="both"/>
      </w:pPr>
      <w:proofErr w:type="spellStart"/>
      <w:r w:rsidRPr="00973407">
        <w:rPr>
          <w:vertAlign w:val="superscript"/>
        </w:rPr>
        <w:t>a</w:t>
      </w:r>
      <w:r w:rsidRPr="00973407">
        <w:t>University</w:t>
      </w:r>
      <w:proofErr w:type="spellEnd"/>
      <w:r w:rsidRPr="00973407">
        <w:t xml:space="preserve"> of Vienna, Faculty of Physics, Vienna, Austria; </w:t>
      </w:r>
      <w:proofErr w:type="spellStart"/>
      <w:r w:rsidRPr="00973407">
        <w:rPr>
          <w:vertAlign w:val="superscript"/>
        </w:rPr>
        <w:t>b</w:t>
      </w:r>
      <w:r w:rsidRPr="00973407">
        <w:t>University</w:t>
      </w:r>
      <w:proofErr w:type="spellEnd"/>
      <w:r w:rsidRPr="00973407">
        <w:t xml:space="preserve"> of Innsbruck, Institute for Ion Physics and Applied Physics, Innsbruck, Austria; </w:t>
      </w:r>
      <w:proofErr w:type="spellStart"/>
      <w:r w:rsidRPr="00973407">
        <w:rPr>
          <w:vertAlign w:val="superscript"/>
        </w:rPr>
        <w:t>c</w:t>
      </w:r>
      <w:r w:rsidRPr="00973407">
        <w:t>GRIMM</w:t>
      </w:r>
      <w:proofErr w:type="spellEnd"/>
      <w:r w:rsidRPr="00973407">
        <w:t xml:space="preserve"> Aerosol Technik </w:t>
      </w:r>
      <w:proofErr w:type="spellStart"/>
      <w:r w:rsidRPr="00973407">
        <w:t>Ainring</w:t>
      </w:r>
      <w:proofErr w:type="spellEnd"/>
      <w:r w:rsidRPr="00973407">
        <w:t xml:space="preserve"> GmbH &amp; Co. KG, </w:t>
      </w:r>
      <w:proofErr w:type="spellStart"/>
      <w:r w:rsidRPr="00973407">
        <w:t>Ainring</w:t>
      </w:r>
      <w:proofErr w:type="spellEnd"/>
      <w:r w:rsidRPr="00973407">
        <w:t>, Germany</w:t>
      </w:r>
    </w:p>
    <w:p w14:paraId="32332475" w14:textId="77777777" w:rsidR="00343552" w:rsidRPr="00973407" w:rsidRDefault="00343552" w:rsidP="00343552">
      <w:pPr>
        <w:pStyle w:val="Affiliation"/>
        <w:jc w:val="both"/>
      </w:pPr>
    </w:p>
    <w:p w14:paraId="6F0A754B" w14:textId="77777777" w:rsidR="00343552" w:rsidRDefault="00343552" w:rsidP="00343552">
      <w:pPr>
        <w:pStyle w:val="Correspondencedetails"/>
        <w:jc w:val="both"/>
      </w:pPr>
      <w:r w:rsidRPr="00973407">
        <w:rPr>
          <w:b/>
        </w:rPr>
        <w:t>Correspondence</w:t>
      </w:r>
      <w:r w:rsidRPr="00973407">
        <w:t xml:space="preserve">: Sophia </w:t>
      </w:r>
      <w:proofErr w:type="spellStart"/>
      <w:r w:rsidRPr="00973407">
        <w:t>Brilke</w:t>
      </w:r>
      <w:proofErr w:type="spellEnd"/>
      <w:r w:rsidRPr="00973407">
        <w:t xml:space="preserve"> (</w:t>
      </w:r>
      <w:hyperlink r:id="rId7" w:history="1">
        <w:r w:rsidRPr="00343552">
          <w:rPr>
            <w:rStyle w:val="Hyperlink"/>
            <w:color w:val="auto"/>
            <w:u w:val="none"/>
          </w:rPr>
          <w:t>sophia.brilke@univie.ac.at</w:t>
        </w:r>
      </w:hyperlink>
      <w:r w:rsidRPr="00343552">
        <w:t>)</w:t>
      </w:r>
    </w:p>
    <w:p w14:paraId="7F42A173" w14:textId="77777777" w:rsidR="00343552" w:rsidRPr="00343552" w:rsidRDefault="00343552" w:rsidP="00343552">
      <w:pPr>
        <w:pStyle w:val="Correspondencedetails"/>
        <w:jc w:val="both"/>
      </w:pPr>
    </w:p>
    <w:p w14:paraId="3A38A580" w14:textId="77777777" w:rsidR="00343552" w:rsidRPr="00343552" w:rsidRDefault="00343552">
      <w:pPr>
        <w:spacing w:after="160" w:line="259" w:lineRule="auto"/>
        <w:rPr>
          <w:rFonts w:cs="Arial"/>
          <w:b/>
          <w:bCs/>
          <w:i/>
          <w:iCs/>
          <w:szCs w:val="28"/>
          <w:lang w:val="de-AT"/>
        </w:rPr>
      </w:pPr>
      <w:r w:rsidRPr="00343552">
        <w:rPr>
          <w:lang w:val="de-AT"/>
        </w:rPr>
        <w:br w:type="page"/>
      </w:r>
    </w:p>
    <w:p w14:paraId="2A31E88F" w14:textId="77777777" w:rsidR="00120167" w:rsidRDefault="00120167" w:rsidP="00120167">
      <w:pPr>
        <w:pStyle w:val="Heading2"/>
      </w:pPr>
      <w:r w:rsidRPr="00120167">
        <w:lastRenderedPageBreak/>
        <w:t xml:space="preserve">Adjustment of the settings of the bipolar electrospray source </w:t>
      </w:r>
    </w:p>
    <w:p w14:paraId="57B36D3F" w14:textId="77777777" w:rsidR="00343552" w:rsidRPr="00343552" w:rsidRDefault="00343552" w:rsidP="00343552">
      <w:pPr>
        <w:pStyle w:val="Paragraph"/>
      </w:pPr>
    </w:p>
    <w:p w14:paraId="1972E5AD" w14:textId="77777777" w:rsidR="00120167" w:rsidRDefault="003E6390" w:rsidP="00120167">
      <w:pPr>
        <w:jc w:val="center"/>
      </w:pPr>
      <w:r w:rsidRPr="003E6390">
        <w:rPr>
          <w:noProof/>
        </w:rPr>
        <w:drawing>
          <wp:inline distT="0" distB="0" distL="0" distR="0" wp14:anchorId="74301506" wp14:editId="73A3825C">
            <wp:extent cx="2510587" cy="3237533"/>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494" cy="3264493"/>
                    </a:xfrm>
                    <a:prstGeom prst="rect">
                      <a:avLst/>
                    </a:prstGeom>
                    <a:noFill/>
                    <a:ln>
                      <a:noFill/>
                    </a:ln>
                  </pic:spPr>
                </pic:pic>
              </a:graphicData>
            </a:graphic>
          </wp:inline>
        </w:drawing>
      </w:r>
    </w:p>
    <w:p w14:paraId="67E1E4E1" w14:textId="77777777" w:rsidR="00120167" w:rsidRPr="00F131AE" w:rsidRDefault="00120167" w:rsidP="00F131AE">
      <w:pPr>
        <w:pStyle w:val="Figurecaption"/>
        <w:spacing w:line="276" w:lineRule="auto"/>
        <w:jc w:val="both"/>
        <w:rPr>
          <w:sz w:val="20"/>
        </w:rPr>
      </w:pPr>
      <w:bookmarkStart w:id="1" w:name="_Ref24979742"/>
      <w:r w:rsidRPr="00F131AE">
        <w:rPr>
          <w:sz w:val="20"/>
        </w:rPr>
        <w:t>Figure S</w:t>
      </w:r>
      <w:r w:rsidRPr="00F131AE">
        <w:rPr>
          <w:sz w:val="20"/>
        </w:rPr>
        <w:fldChar w:fldCharType="begin"/>
      </w:r>
      <w:r w:rsidRPr="00F131AE">
        <w:rPr>
          <w:sz w:val="20"/>
        </w:rPr>
        <w:instrText xml:space="preserve"> SEQ Figure_S \* ARABIC </w:instrText>
      </w:r>
      <w:r w:rsidRPr="00F131AE">
        <w:rPr>
          <w:sz w:val="20"/>
        </w:rPr>
        <w:fldChar w:fldCharType="separate"/>
      </w:r>
      <w:r w:rsidRPr="00F131AE">
        <w:rPr>
          <w:sz w:val="20"/>
        </w:rPr>
        <w:t>1</w:t>
      </w:r>
      <w:r w:rsidRPr="00F131AE">
        <w:rPr>
          <w:sz w:val="20"/>
        </w:rPr>
        <w:fldChar w:fldCharType="end"/>
      </w:r>
      <w:bookmarkEnd w:id="1"/>
      <w:r w:rsidRPr="00F131AE">
        <w:rPr>
          <w:sz w:val="20"/>
        </w:rPr>
        <w:t xml:space="preserve">: Example demonstration of the adjustment of the electrospray currents when classifying a large positive THABr cluster at an approximate mobility equivalent diameter of 3.4 nm. Note that these electrospray settings individually depend on the capillary geometry and capillary tip position. In the upper panel, </w:t>
      </w:r>
      <w:bookmarkStart w:id="2" w:name="_Hlk24970775"/>
      <w:r w:rsidRPr="00F131AE">
        <w:rPr>
          <w:sz w:val="20"/>
        </w:rPr>
        <w:t>the absolute FCE background when switching from unipolar to bipolar mode is displayed for different ratios of the negative to positive electrospray current. The lower panel shows the counting efficiency measured by the TSI 3777 and Airmodus PSM for each ratio of the currents. At current ratios between approx. 0.5 – 1, the FCE background decreases to zero. The dashed lines mark the value of the counting efficiency curves as shown in Figure 7 (Main Text).</w:t>
      </w:r>
      <w:bookmarkEnd w:id="2"/>
    </w:p>
    <w:p w14:paraId="60166D12" w14:textId="77777777" w:rsidR="00DB604D" w:rsidRPr="00120167" w:rsidRDefault="00DB604D" w:rsidP="00DB604D">
      <w:pPr>
        <w:spacing w:line="240" w:lineRule="auto"/>
      </w:pPr>
    </w:p>
    <w:p w14:paraId="57632381" w14:textId="77777777" w:rsidR="00DB604D" w:rsidRPr="00120167" w:rsidRDefault="00DB604D" w:rsidP="00F131AE">
      <w:pPr>
        <w:pStyle w:val="Newparagraph"/>
        <w:spacing w:line="276" w:lineRule="auto"/>
        <w:jc w:val="both"/>
      </w:pPr>
      <w:r w:rsidRPr="00120167">
        <w:t xml:space="preserve">An exemplary demonstration of the procedure for choosing the right settings of the electrospray is given in </w:t>
      </w:r>
      <w:r w:rsidRPr="00120167">
        <w:fldChar w:fldCharType="begin"/>
      </w:r>
      <w:r w:rsidRPr="00120167">
        <w:instrText xml:space="preserve"> REF _Ref24979742 \h </w:instrText>
      </w:r>
      <w:r w:rsidR="00F131AE">
        <w:instrText xml:space="preserve"> \* MERGEFORMAT </w:instrText>
      </w:r>
      <w:r w:rsidRPr="00120167">
        <w:fldChar w:fldCharType="separate"/>
      </w:r>
      <w:r w:rsidR="00E26D45" w:rsidRPr="00120167">
        <w:t>Figure S</w:t>
      </w:r>
      <w:r w:rsidR="00E26D45" w:rsidRPr="00120167">
        <w:rPr>
          <w:noProof/>
        </w:rPr>
        <w:t>1</w:t>
      </w:r>
      <w:r w:rsidRPr="00120167">
        <w:fldChar w:fldCharType="end"/>
      </w:r>
      <w:r w:rsidRPr="00120167">
        <w:t xml:space="preserve">. In the upper panel, the increase in the background measured by the FCE is presented. The FCE background, i.e. a surplus of positive or negative ions behind the DMA, arises when the bipolar electrospray switches from unipolar to bipolar mode. By adjusting the electrospray currents, the background can be reduced to zero. At those settings, the electrospray is assumed to be run at symmetric spray conditions. The counting efficiency of two low cut-off CPCs measured at each electrospray current setting reaches a plateau for high enough current ratios as is display in the lower panel of </w:t>
      </w:r>
      <w:r w:rsidRPr="00120167">
        <w:fldChar w:fldCharType="begin"/>
      </w:r>
      <w:r w:rsidRPr="00120167">
        <w:instrText xml:space="preserve"> REF _Ref24979742 \h </w:instrText>
      </w:r>
      <w:r w:rsidR="00F131AE">
        <w:instrText xml:space="preserve"> \* MERGEFORMAT </w:instrText>
      </w:r>
      <w:r w:rsidRPr="00120167">
        <w:fldChar w:fldCharType="separate"/>
      </w:r>
      <w:r w:rsidR="00E26D45" w:rsidRPr="00120167">
        <w:t>Figure S</w:t>
      </w:r>
      <w:r w:rsidR="00E26D45" w:rsidRPr="00120167">
        <w:rPr>
          <w:noProof/>
        </w:rPr>
        <w:t>1</w:t>
      </w:r>
      <w:r w:rsidRPr="00120167">
        <w:fldChar w:fldCharType="end"/>
      </w:r>
      <w:r w:rsidRPr="00120167">
        <w:t>. This behavior is linked to a high enough abundance of counter-ions leading to efficient charge reduction of ions at higher charge states. By the described procedure, the electrospray currents are adjusted prior to each measurement.</w:t>
      </w:r>
    </w:p>
    <w:bookmarkEnd w:id="0"/>
    <w:p w14:paraId="1155EF25" w14:textId="77777777" w:rsidR="00343552" w:rsidRDefault="00343552">
      <w:pPr>
        <w:spacing w:after="160" w:line="259" w:lineRule="auto"/>
        <w:rPr>
          <w:rFonts w:cs="Arial"/>
          <w:b/>
          <w:bCs/>
          <w:i/>
          <w:iCs/>
          <w:szCs w:val="28"/>
        </w:rPr>
      </w:pPr>
      <w:r>
        <w:br w:type="page"/>
      </w:r>
    </w:p>
    <w:p w14:paraId="28C42BC5" w14:textId="77777777" w:rsidR="00DB604D" w:rsidRPr="00120167" w:rsidRDefault="00120167" w:rsidP="00C53BEE">
      <w:pPr>
        <w:pStyle w:val="Heading2"/>
        <w:rPr>
          <w:noProof/>
        </w:rPr>
      </w:pPr>
      <w:r>
        <w:lastRenderedPageBreak/>
        <w:t>Non size-resolve</w:t>
      </w:r>
      <w:r w:rsidR="00C53BEE">
        <w:t>d composition measurement of clusters generated by the bipolar electrospray source</w:t>
      </w:r>
      <w:r w:rsidRPr="00120167">
        <w:t xml:space="preserve"> </w:t>
      </w:r>
    </w:p>
    <w:p w14:paraId="08CFE96E" w14:textId="77777777" w:rsidR="00DB604D" w:rsidRPr="00120167" w:rsidRDefault="003E6390" w:rsidP="00C53BEE">
      <w:pPr>
        <w:spacing w:line="240" w:lineRule="auto"/>
        <w:jc w:val="center"/>
      </w:pPr>
      <w:r w:rsidRPr="003E6390">
        <w:rPr>
          <w:noProof/>
        </w:rPr>
        <w:drawing>
          <wp:inline distT="0" distB="0" distL="0" distR="0" wp14:anchorId="62CCF4F0" wp14:editId="6BDD7C38">
            <wp:extent cx="5396865" cy="533463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6865" cy="5334635"/>
                    </a:xfrm>
                    <a:prstGeom prst="rect">
                      <a:avLst/>
                    </a:prstGeom>
                    <a:noFill/>
                    <a:ln>
                      <a:noFill/>
                    </a:ln>
                  </pic:spPr>
                </pic:pic>
              </a:graphicData>
            </a:graphic>
          </wp:inline>
        </w:drawing>
      </w:r>
    </w:p>
    <w:p w14:paraId="2B3AD1AA" w14:textId="2B1C85AD" w:rsidR="00DB604D" w:rsidRDefault="00DB604D" w:rsidP="00DE446D">
      <w:pPr>
        <w:pStyle w:val="Figurecaption"/>
        <w:spacing w:line="276" w:lineRule="auto"/>
        <w:jc w:val="both"/>
        <w:rPr>
          <w:sz w:val="20"/>
        </w:rPr>
      </w:pPr>
      <w:r w:rsidRPr="00DE446D">
        <w:rPr>
          <w:sz w:val="20"/>
        </w:rPr>
        <w:t>Figure S</w:t>
      </w:r>
      <w:r w:rsidRPr="00DE446D">
        <w:rPr>
          <w:sz w:val="20"/>
        </w:rPr>
        <w:fldChar w:fldCharType="begin"/>
      </w:r>
      <w:r w:rsidRPr="00DE446D">
        <w:rPr>
          <w:sz w:val="20"/>
        </w:rPr>
        <w:instrText xml:space="preserve"> SEQ Figure_S \* ARABIC </w:instrText>
      </w:r>
      <w:r w:rsidRPr="00DE446D">
        <w:rPr>
          <w:sz w:val="20"/>
        </w:rPr>
        <w:fldChar w:fldCharType="separate"/>
      </w:r>
      <w:r w:rsidR="00E26D45" w:rsidRPr="00DE446D">
        <w:rPr>
          <w:noProof/>
          <w:sz w:val="20"/>
        </w:rPr>
        <w:t>2</w:t>
      </w:r>
      <w:r w:rsidRPr="00DE446D">
        <w:rPr>
          <w:sz w:val="20"/>
        </w:rPr>
        <w:fldChar w:fldCharType="end"/>
      </w:r>
      <w:r w:rsidRPr="00DE446D">
        <w:rPr>
          <w:sz w:val="20"/>
        </w:rPr>
        <w:t xml:space="preserve">: Positive mass spectra of </w:t>
      </w:r>
      <w:r w:rsidR="00C53BEE" w:rsidRPr="00DE446D">
        <w:rPr>
          <w:sz w:val="20"/>
        </w:rPr>
        <w:t xml:space="preserve">THABr </w:t>
      </w:r>
      <w:r w:rsidRPr="00DE446D">
        <w:rPr>
          <w:sz w:val="20"/>
        </w:rPr>
        <w:t>clusters generated from the bipolar electrospray directly installed to the ioniAPi-TOF inlet. The upper panel shows the resulting clusters when operating the electrospray in unipolar (positive) mode, the lower panel the spectrum when having switched to bipolar mode. The ion signal was normalized to the intensity of the monomer peak. The bold text marks the peak</w:t>
      </w:r>
      <w:r w:rsidR="00EC6CFB">
        <w:rPr>
          <w:sz w:val="20"/>
        </w:rPr>
        <w:t>s</w:t>
      </w:r>
      <w:r w:rsidRPr="00DE446D">
        <w:rPr>
          <w:sz w:val="20"/>
        </w:rPr>
        <w:t xml:space="preserve"> that are assigned to singly charged clusters, z=1, of the form (AB)</w:t>
      </w:r>
      <w:r w:rsidRPr="00DE446D">
        <w:rPr>
          <w:sz w:val="20"/>
          <w:vertAlign w:val="subscript"/>
        </w:rPr>
        <w:t>n</w:t>
      </w:r>
      <w:r w:rsidRPr="00DE446D">
        <w:rPr>
          <w:sz w:val="20"/>
        </w:rPr>
        <w:t>(A</w:t>
      </w:r>
      <w:r w:rsidRPr="00DE446D">
        <w:rPr>
          <w:sz w:val="20"/>
          <w:vertAlign w:val="superscript"/>
        </w:rPr>
        <w:t>+</w:t>
      </w:r>
      <w:r w:rsidRPr="00DE446D">
        <w:rPr>
          <w:sz w:val="20"/>
        </w:rPr>
        <w:t>)</w:t>
      </w:r>
      <w:r w:rsidRPr="00DE446D">
        <w:rPr>
          <w:sz w:val="20"/>
          <w:vertAlign w:val="subscript"/>
        </w:rPr>
        <w:t>1</w:t>
      </w:r>
      <w:r w:rsidRPr="00DE446D">
        <w:rPr>
          <w:sz w:val="20"/>
        </w:rPr>
        <w:t xml:space="preserve">. The arrow markers show clusters at charge states z=+2, that correspond to the doubly charged species as presented in </w:t>
      </w:r>
      <w:r w:rsidRPr="00DE446D">
        <w:rPr>
          <w:sz w:val="20"/>
        </w:rPr>
        <w:fldChar w:fldCharType="begin" w:fldLock="1"/>
      </w:r>
      <w:r w:rsidRPr="00DE446D">
        <w:rPr>
          <w:sz w:val="20"/>
        </w:rPr>
        <w:instrText>ADDIN CSL_CITATION {"citationItems":[{"id":"ITEM-1","itemData":{"DOI":"10.1016/j.jasms.2005.01.019","abstract":"Multiply charged electrospray ions from concentrated solutions of Heptyl4N\u0002Br\u0003 (designated A\u0002B\u0003 hereafter) in formamide are analyzed mass spectrometrically (MS) following mobility selection in ambient air in a differential mobility analyzer (DMA). Most of the sharp mobility peaks seen are identified as (AB)nA\u0002 clusters, with 0 \u0002 n \u0002 5. One anomalously abundant and mobile ion is identified as NH4 \u0002(AB)4. Six ions in the (AB)n(A\u0002)2 series are also identified, completing and correcting earlier mobility data for singly and doubly charged ions up to masses of almost 9000 Da. The more mobile of two broad humps seen in the mobility spectrum includes m/z values approximately from 2500 up to 12,000 Da. It is formed primarily by multiply charged (AB)n(A\u0002)z clusters with multiple ammonium bromide adducts. Because of overlapping of many peaks of different m/z and charge state z, only a few individual species can be identified by MS alone in this highly congested region. However, the spectral simplification brought about by mobility selection upstream of the MS reveals a series of broad modulations in m/z space, with all ions resolved in the second, third, . . .sixth modulation being in charge states z \u0004 2, 3, . . .6, respectively. Extrapolation of this trend beyond the sixth wave fixes the ion charge state (in some cases up to z \u0004 15) and mass (beyond m \u0004 175,000 u). This wavy structure had been previously observed and explained in terms of ion evaporation kinetics from volatile drops, though without mass identification. All observations indicate that the clusters are formed as charged residues, but their charge state is fixed by the Iribarne– Thomson ion evaporation mechanism. Consequently, the measured curve of cluster diameter versus z yields the two parameters governing ion evaporation kinetics. Clusters with z \u0005 1 and electrical mobility Z \u0005 0.495 cm2/V/s are metastable and evaporate a singly charged cluster, probably (AB)2A\u0002, between the DMA and the MS. Plotting the electrical mobilities Z of the clusters in the form (z/Z)1/2 versus m1/3 (both proportional to cluster diameter) collapse the data for all cluster sizes and charge states into one single straight line for Z below 0.495 cm2/V/s. This linear relation reveals a uniform apparent cluster density of 0.935 g/cm3 and an effective hard-sphere diameter of the air molecules of 0.44 nm. An anomalous mobility increase is observed at diameters below 3 nm.","author":[{"dropping-particle":"","family":"Fernández de la Mora","given":"Juan","non-dropping-particle":"","parse-names":false,"suffix":""},{"dropping-particle":"","family":"Thomson","given":"Bruce A","non-dropping-particle":"","parse-names":false,"suffix":""},{"dropping-particle":"","family":"Gamero-Castaño","given":"Manuel","non-dropping-particle":"","parse-names":false,"suffix":""}],"container-title":"Journal of the American Society for Mass Spectrometry","id":"ITEM-1","issue":"5","issued":{"date-parts":[["2005"]]},"page":"717-732","title":"Tandem Mobility Mass Spectrometry Study of Electrosprayed Tetraheptyl Ammonium Bromide Clusters","type":"article-journal","volume":"16"},"uris":["http://www.mendeley.com/documents/?uuid=e96ffc37-20a7-4558-8ed4-262d98f8de5d"]}],"mendeley":{"formattedCitation":"(Fernández de la Mora et al. 2005)","manualFormatting":"Fernández de la Mora et al. (2005)","plainTextFormattedCitation":"(Fernández de la Mora et al. 2005)","previouslyFormattedCitation":"(Fernández de la Mora et al. 2005)"},"properties":{"noteIndex":0},"schema":"https://github.com/citation-style-language/schema/raw/master/csl-citation.json"}</w:instrText>
      </w:r>
      <w:r w:rsidRPr="00DE446D">
        <w:rPr>
          <w:sz w:val="20"/>
        </w:rPr>
        <w:fldChar w:fldCharType="separate"/>
      </w:r>
      <w:r w:rsidRPr="00DE446D">
        <w:rPr>
          <w:noProof/>
          <w:sz w:val="20"/>
        </w:rPr>
        <w:t>Fernández de la Mora</w:t>
      </w:r>
      <w:r w:rsidR="00B62A65">
        <w:rPr>
          <w:noProof/>
          <w:sz w:val="20"/>
        </w:rPr>
        <w:t>, Thomson and Gamero-Castaño</w:t>
      </w:r>
      <w:r w:rsidRPr="00DE446D">
        <w:rPr>
          <w:noProof/>
          <w:sz w:val="20"/>
        </w:rPr>
        <w:t xml:space="preserve"> (2005)</w:t>
      </w:r>
      <w:r w:rsidRPr="00DE446D">
        <w:rPr>
          <w:sz w:val="20"/>
        </w:rPr>
        <w:fldChar w:fldCharType="end"/>
      </w:r>
      <w:r w:rsidRPr="00DE446D">
        <w:rPr>
          <w:sz w:val="20"/>
        </w:rPr>
        <w:t>.</w:t>
      </w:r>
    </w:p>
    <w:p w14:paraId="0A8A4326" w14:textId="77777777" w:rsidR="00DE446D" w:rsidRPr="00DE446D" w:rsidRDefault="00DE446D" w:rsidP="00DE446D"/>
    <w:p w14:paraId="753EBADB" w14:textId="77777777" w:rsidR="00DB604D" w:rsidRPr="00120167" w:rsidRDefault="00DB604D" w:rsidP="00DB604D">
      <w:pPr>
        <w:pStyle w:val="Heading2"/>
      </w:pPr>
      <w:r w:rsidRPr="00120167">
        <w:t>References</w:t>
      </w:r>
    </w:p>
    <w:p w14:paraId="02934A4A" w14:textId="4684617E" w:rsidR="00DB604D" w:rsidRPr="00120167" w:rsidRDefault="00DB604D" w:rsidP="00DE446D">
      <w:pPr>
        <w:widowControl w:val="0"/>
        <w:autoSpaceDE w:val="0"/>
        <w:autoSpaceDN w:val="0"/>
        <w:adjustRightInd w:val="0"/>
        <w:spacing w:line="276" w:lineRule="auto"/>
        <w:ind w:left="480" w:hanging="480"/>
        <w:rPr>
          <w:noProof/>
        </w:rPr>
      </w:pPr>
      <w:r w:rsidRPr="00120167">
        <w:fldChar w:fldCharType="begin" w:fldLock="1"/>
      </w:r>
      <w:r w:rsidRPr="00120167">
        <w:instrText xml:space="preserve">ADDIN Mendeley Bibliography CSL_BIBLIOGRAPHY </w:instrText>
      </w:r>
      <w:r w:rsidRPr="00120167">
        <w:fldChar w:fldCharType="separate"/>
      </w:r>
      <w:r w:rsidRPr="00120167">
        <w:rPr>
          <w:noProof/>
        </w:rPr>
        <w:t xml:space="preserve">Fernández de la Mora, J., </w:t>
      </w:r>
      <w:r w:rsidR="00B62A65">
        <w:rPr>
          <w:noProof/>
        </w:rPr>
        <w:t xml:space="preserve">B. A. </w:t>
      </w:r>
      <w:r w:rsidRPr="00120167">
        <w:rPr>
          <w:noProof/>
        </w:rPr>
        <w:t xml:space="preserve">Thomson, and </w:t>
      </w:r>
      <w:r w:rsidR="00B62A65">
        <w:rPr>
          <w:noProof/>
        </w:rPr>
        <w:t xml:space="preserve">M. </w:t>
      </w:r>
      <w:r w:rsidRPr="00120167">
        <w:rPr>
          <w:noProof/>
        </w:rPr>
        <w:t>Gamero-Castaño. 2005. Tandem Mobility Mass Spectrometry Study of Electrosprayed Tetraheptyl Ammonium Bromide Clusters.</w:t>
      </w:r>
      <w:r w:rsidRPr="00120167">
        <w:rPr>
          <w:i/>
          <w:iCs/>
          <w:noProof/>
        </w:rPr>
        <w:t xml:space="preserve"> J. Am. Soc. Mass Spectrom.,</w:t>
      </w:r>
      <w:r w:rsidRPr="00120167">
        <w:rPr>
          <w:noProof/>
        </w:rPr>
        <w:t xml:space="preserve"> 16(5):717–732.</w:t>
      </w:r>
    </w:p>
    <w:p w14:paraId="6795AD8E" w14:textId="77777777" w:rsidR="00DB604D" w:rsidRPr="00343552" w:rsidRDefault="00DB604D" w:rsidP="00343552">
      <w:pPr>
        <w:spacing w:line="276" w:lineRule="auto"/>
      </w:pPr>
      <w:r w:rsidRPr="00120167">
        <w:fldChar w:fldCharType="end"/>
      </w:r>
      <w:bookmarkStart w:id="3" w:name="_GoBack"/>
      <w:bookmarkEnd w:id="3"/>
    </w:p>
    <w:sectPr w:rsidR="00DB604D" w:rsidRPr="00343552"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2258" w14:textId="77777777" w:rsidR="00BC3251" w:rsidRDefault="00BC3251">
      <w:pPr>
        <w:spacing w:line="240" w:lineRule="auto"/>
      </w:pPr>
      <w:r>
        <w:separator/>
      </w:r>
    </w:p>
  </w:endnote>
  <w:endnote w:type="continuationSeparator" w:id="0">
    <w:p w14:paraId="095D02C1" w14:textId="77777777" w:rsidR="00BC3251" w:rsidRDefault="00BC3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6B99" w14:textId="77777777" w:rsidR="00BC3251" w:rsidRDefault="00BC3251">
      <w:pPr>
        <w:spacing w:line="240" w:lineRule="auto"/>
      </w:pPr>
      <w:r>
        <w:separator/>
      </w:r>
    </w:p>
  </w:footnote>
  <w:footnote w:type="continuationSeparator" w:id="0">
    <w:p w14:paraId="2D667207" w14:textId="77777777" w:rsidR="00BC3251" w:rsidRDefault="00BC32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4D"/>
    <w:rsid w:val="00120167"/>
    <w:rsid w:val="00156159"/>
    <w:rsid w:val="001613A6"/>
    <w:rsid w:val="00184C7F"/>
    <w:rsid w:val="00212FC6"/>
    <w:rsid w:val="00317193"/>
    <w:rsid w:val="00343552"/>
    <w:rsid w:val="003E2859"/>
    <w:rsid w:val="003E6390"/>
    <w:rsid w:val="0052058B"/>
    <w:rsid w:val="0089423E"/>
    <w:rsid w:val="00AB38C6"/>
    <w:rsid w:val="00B53ECB"/>
    <w:rsid w:val="00B62A65"/>
    <w:rsid w:val="00B63E2A"/>
    <w:rsid w:val="00BC3251"/>
    <w:rsid w:val="00C0425E"/>
    <w:rsid w:val="00C53BEE"/>
    <w:rsid w:val="00DA7374"/>
    <w:rsid w:val="00DB604D"/>
    <w:rsid w:val="00DE446D"/>
    <w:rsid w:val="00E26C60"/>
    <w:rsid w:val="00E26D45"/>
    <w:rsid w:val="00EC6CFB"/>
    <w:rsid w:val="00F131AE"/>
    <w:rsid w:val="00F76A3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2ECD5"/>
  <w15:chartTrackingRefBased/>
  <w15:docId w15:val="{F09C1F82-4D1C-4293-8308-30080769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04D"/>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uiPriority w:val="9"/>
    <w:qFormat/>
    <w:rsid w:val="00DB604D"/>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DB604D"/>
    <w:pPr>
      <w:keepNext/>
      <w:spacing w:before="360" w:after="60" w:line="360" w:lineRule="auto"/>
      <w:ind w:right="567"/>
      <w:contextualSpacing/>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4D"/>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DB604D"/>
    <w:rPr>
      <w:rFonts w:ascii="Times New Roman" w:eastAsia="Times New Roman" w:hAnsi="Times New Roman" w:cs="Arial"/>
      <w:b/>
      <w:bCs/>
      <w:i/>
      <w:iCs/>
      <w:sz w:val="24"/>
      <w:szCs w:val="28"/>
      <w:lang w:eastAsia="en-GB"/>
    </w:rPr>
  </w:style>
  <w:style w:type="paragraph" w:customStyle="1" w:styleId="Figurecaption">
    <w:name w:val="Figure caption"/>
    <w:basedOn w:val="Normal"/>
    <w:next w:val="Normal"/>
    <w:qFormat/>
    <w:rsid w:val="00DB604D"/>
    <w:pPr>
      <w:spacing w:before="240" w:line="360" w:lineRule="auto"/>
    </w:pPr>
  </w:style>
  <w:style w:type="paragraph" w:customStyle="1" w:styleId="Paragraph">
    <w:name w:val="Paragraph"/>
    <w:basedOn w:val="Normal"/>
    <w:next w:val="Newparagraph"/>
    <w:qFormat/>
    <w:rsid w:val="00DB604D"/>
    <w:pPr>
      <w:widowControl w:val="0"/>
      <w:spacing w:before="240"/>
    </w:pPr>
  </w:style>
  <w:style w:type="paragraph" w:customStyle="1" w:styleId="Newparagraph">
    <w:name w:val="New paragraph"/>
    <w:basedOn w:val="Normal"/>
    <w:qFormat/>
    <w:rsid w:val="00DB604D"/>
    <w:pPr>
      <w:ind w:firstLine="720"/>
    </w:pPr>
  </w:style>
  <w:style w:type="paragraph" w:styleId="BalloonText">
    <w:name w:val="Balloon Text"/>
    <w:basedOn w:val="Normal"/>
    <w:link w:val="BalloonTextChar"/>
    <w:uiPriority w:val="99"/>
    <w:semiHidden/>
    <w:unhideWhenUsed/>
    <w:rsid w:val="00DB60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04D"/>
    <w:rPr>
      <w:rFonts w:ascii="Segoe UI" w:eastAsia="Times New Roman" w:hAnsi="Segoe UI" w:cs="Segoe UI"/>
      <w:sz w:val="18"/>
      <w:szCs w:val="18"/>
      <w:lang w:eastAsia="en-GB"/>
    </w:rPr>
  </w:style>
  <w:style w:type="paragraph" w:customStyle="1" w:styleId="Articletitle">
    <w:name w:val="Article title"/>
    <w:basedOn w:val="Normal"/>
    <w:next w:val="Normal"/>
    <w:qFormat/>
    <w:rsid w:val="00120167"/>
    <w:pPr>
      <w:spacing w:after="120" w:line="360" w:lineRule="auto"/>
    </w:pPr>
    <w:rPr>
      <w:b/>
      <w:sz w:val="28"/>
    </w:rPr>
  </w:style>
  <w:style w:type="paragraph" w:styleId="FootnoteText">
    <w:name w:val="footnote text"/>
    <w:basedOn w:val="Normal"/>
    <w:link w:val="FootnoteTextChar"/>
    <w:uiPriority w:val="99"/>
    <w:semiHidden/>
    <w:unhideWhenUsed/>
    <w:rsid w:val="00120167"/>
    <w:pPr>
      <w:spacing w:line="240" w:lineRule="auto"/>
    </w:pPr>
    <w:rPr>
      <w:sz w:val="20"/>
      <w:szCs w:val="20"/>
    </w:rPr>
  </w:style>
  <w:style w:type="character" w:customStyle="1" w:styleId="FootnoteTextChar">
    <w:name w:val="Footnote Text Char"/>
    <w:basedOn w:val="DefaultParagraphFont"/>
    <w:link w:val="FootnoteText"/>
    <w:uiPriority w:val="99"/>
    <w:semiHidden/>
    <w:rsid w:val="0012016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20167"/>
    <w:rPr>
      <w:vertAlign w:val="superscript"/>
    </w:rPr>
  </w:style>
  <w:style w:type="paragraph" w:customStyle="1" w:styleId="Authornames">
    <w:name w:val="Author names"/>
    <w:basedOn w:val="Normal"/>
    <w:next w:val="Normal"/>
    <w:qFormat/>
    <w:rsid w:val="00343552"/>
    <w:pPr>
      <w:spacing w:before="240" w:line="360" w:lineRule="auto"/>
    </w:pPr>
    <w:rPr>
      <w:sz w:val="28"/>
    </w:rPr>
  </w:style>
  <w:style w:type="paragraph" w:customStyle="1" w:styleId="Affiliation">
    <w:name w:val="Affiliation"/>
    <w:basedOn w:val="Normal"/>
    <w:qFormat/>
    <w:rsid w:val="00343552"/>
    <w:pPr>
      <w:spacing w:before="240" w:line="360" w:lineRule="auto"/>
    </w:pPr>
    <w:rPr>
      <w:i/>
    </w:rPr>
  </w:style>
  <w:style w:type="paragraph" w:customStyle="1" w:styleId="Correspondencedetails">
    <w:name w:val="Correspondence details"/>
    <w:basedOn w:val="Normal"/>
    <w:qFormat/>
    <w:rsid w:val="00343552"/>
    <w:pPr>
      <w:spacing w:before="240" w:line="360" w:lineRule="auto"/>
    </w:pPr>
  </w:style>
  <w:style w:type="character" w:styleId="Hyperlink">
    <w:name w:val="Hyperlink"/>
    <w:basedOn w:val="DefaultParagraphFont"/>
    <w:uiPriority w:val="99"/>
    <w:unhideWhenUsed/>
    <w:rsid w:val="00343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sophia.brilke@univie.ac.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29F3E-A7F2-9247-BAEF-90EAD35A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SBRILKE</dc:creator>
  <cp:keywords/>
  <dc:description/>
  <cp:lastModifiedBy>Luba Slabyj</cp:lastModifiedBy>
  <cp:revision>2</cp:revision>
  <cp:lastPrinted>2019-11-25T17:05:00Z</cp:lastPrinted>
  <dcterms:created xsi:type="dcterms:W3CDTF">2019-12-19T22:28:00Z</dcterms:created>
  <dcterms:modified xsi:type="dcterms:W3CDTF">2019-12-19T22:28:00Z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http://www.zotero.org/styles/aerosol-science-and-technology</vt:lpwstr>
  </property>
  <property fmtid="{D5CDD505-2E9C-101B-9397-08002B2CF9AE}" pid="3" name="Mendeley Recent Style Name 0_1">
    <vt:lpwstr>Aerosol Science and Technology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http://csl.mendeley.com/styles/558863021/apa-sb</vt:lpwstr>
  </property>
  <property fmtid="{D5CDD505-2E9C-101B-9397-08002B2CF9AE}" pid="11" name="Mendeley Recent Style Name 4_1">
    <vt:lpwstr>American Psychological Association 6th edition - SB</vt:lpwstr>
  </property>
  <property fmtid="{D5CDD505-2E9C-101B-9397-08002B2CF9AE}" pid="12" name="Mendeley Recent Style Id 5_1">
    <vt:lpwstr>https://csl.mendeley.com/styles/558863021/apa-sb-sb</vt:lpwstr>
  </property>
  <property fmtid="{D5CDD505-2E9C-101B-9397-08002B2CF9AE}" pid="13" name="Mendeley Recent Style Name 5_1">
    <vt:lpwstr>American Psychological Association 6th edition - SB2</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1da73530-fd55-316d-af27-b309125caab8</vt:lpwstr>
  </property>
  <property fmtid="{D5CDD505-2E9C-101B-9397-08002B2CF9AE}" pid="24" name="Mendeley Citation Style_1">
    <vt:lpwstr>http://www.zotero.org/styles/aerosol-science-and-technology</vt:lpwstr>
  </property>
</Properties>
</file>