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6" w:rsidRPr="00366DC3" w:rsidRDefault="00EB5EA6" w:rsidP="00EB5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C3">
        <w:rPr>
          <w:rFonts w:ascii="Times New Roman" w:hAnsi="Times New Roman" w:cs="Times New Roman"/>
          <w:b/>
          <w:sz w:val="28"/>
          <w:szCs w:val="28"/>
        </w:rPr>
        <w:t>Tunable electrochemical synthesis of pyrrole based adsorbents</w:t>
      </w:r>
    </w:p>
    <w:p w:rsidR="00EB5EA6" w:rsidRPr="00305822" w:rsidRDefault="00EB5EA6" w:rsidP="00EB5EA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A048D">
        <w:rPr>
          <w:rFonts w:ascii="Times New Roman" w:eastAsia="Times New Roman" w:hAnsi="Times New Roman" w:cs="Times New Roman"/>
          <w:b/>
          <w:sz w:val="24"/>
          <w:szCs w:val="24"/>
        </w:rPr>
        <w:t>Avinash Kumar Pandey</w:t>
      </w:r>
      <w:r w:rsidRPr="003F706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,2*</w:t>
      </w:r>
      <w:r w:rsidRPr="009A048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058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Abhishek Kumar Mishra</w:t>
      </w:r>
      <w:r w:rsidR="002E6990"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2E6990" w:rsidRPr="003058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1,</w:t>
      </w:r>
      <w:r w:rsidR="00023006" w:rsidRPr="003058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>3</w:t>
      </w:r>
    </w:p>
    <w:p w:rsidR="00EB5EA6" w:rsidRPr="00305822" w:rsidRDefault="00EB5EA6" w:rsidP="00EB5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82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Chemistry Department, DDU Gorakhpur University, Gorakhpur- 273009, India</w:t>
      </w:r>
    </w:p>
    <w:p w:rsidR="00EB5EA6" w:rsidRPr="00305822" w:rsidRDefault="00EB5EA6" w:rsidP="00EB5EA6">
      <w:pPr>
        <w:tabs>
          <w:tab w:val="left" w:pos="1277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Present Address: </w:t>
      </w: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ab/>
        <w:t>2</w:t>
      </w: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Chandigarh University, Gharuan, Mohali-140413, India</w:t>
      </w:r>
    </w:p>
    <w:p w:rsidR="00023006" w:rsidRPr="00305822" w:rsidRDefault="00023006" w:rsidP="00023006">
      <w:pPr>
        <w:tabs>
          <w:tab w:val="left" w:pos="1277"/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3058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Sardar Patel Institute of Science and Technology Mahavidyalaya, Gorakhpur- 273001, India</w:t>
      </w:r>
    </w:p>
    <w:p w:rsidR="001C66EF" w:rsidRPr="001C66EF" w:rsidRDefault="001C66EF" w:rsidP="001C66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66EF">
        <w:rPr>
          <w:rFonts w:ascii="Times New Roman" w:hAnsi="Times New Roman" w:cs="Times New Roman"/>
          <w:b/>
          <w:sz w:val="24"/>
          <w:szCs w:val="24"/>
          <w:u w:val="single"/>
        </w:rPr>
        <w:t>Supplementary file</w:t>
      </w:r>
    </w:p>
    <w:p w:rsidR="006956E3" w:rsidRPr="006956E3" w:rsidRDefault="006956E3" w:rsidP="006956E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6E3">
        <w:rPr>
          <w:rFonts w:ascii="Times New Roman" w:hAnsi="Times New Roman" w:cs="Times New Roman"/>
          <w:b/>
          <w:sz w:val="24"/>
          <w:szCs w:val="24"/>
        </w:rPr>
        <w:t>Electrochemical synthesis of pyrrole based adsorbents</w:t>
      </w:r>
    </w:p>
    <w:p w:rsidR="006956E3" w:rsidRPr="00305822" w:rsidRDefault="006956E3" w:rsidP="006956E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Pyrrole based adsorbents </w:t>
      </w:r>
      <w:r w:rsidRPr="00441AA3">
        <w:rPr>
          <w:rFonts w:ascii="Times New Roman" w:hAnsi="Times New Roman" w:cs="Times New Roman"/>
          <w:sz w:val="24"/>
          <w:szCs w:val="24"/>
        </w:rPr>
        <w:t>were ob</w:t>
      </w:r>
      <w:r>
        <w:rPr>
          <w:rFonts w:ascii="Times New Roman" w:hAnsi="Times New Roman" w:cs="Times New Roman"/>
          <w:sz w:val="24"/>
          <w:szCs w:val="24"/>
        </w:rPr>
        <w:t>tain</w:t>
      </w:r>
      <w:r w:rsidRPr="00441AA3">
        <w:rPr>
          <w:rFonts w:ascii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hAnsi="Times New Roman" w:cs="Times New Roman"/>
          <w:sz w:val="24"/>
          <w:szCs w:val="24"/>
        </w:rPr>
        <w:t>by electropolymerization of pyrrole from its aqueous solution containing (i) potassium</w:t>
      </w:r>
      <w:r w:rsidR="00D45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bromide, (ii) potassium</w:t>
      </w:r>
      <w:r w:rsidR="00D45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bromide and an anionic surfactant </w:t>
      </w:r>
      <w:r w:rsidR="002C39B2">
        <w:rPr>
          <w:rFonts w:ascii="Times New Roman" w:hAnsi="Times New Roman" w:cs="Times New Roman"/>
          <w:sz w:val="24"/>
          <w:szCs w:val="24"/>
        </w:rPr>
        <w:t xml:space="preserve">sodium dodecyl sulphate (NaDS) </w:t>
      </w:r>
      <w:r w:rsidR="00FB6F95">
        <w:rPr>
          <w:rFonts w:ascii="Times New Roman" w:hAnsi="Times New Roman" w:cs="Times New Roman"/>
          <w:sz w:val="24"/>
          <w:szCs w:val="24"/>
        </w:rPr>
        <w:t xml:space="preserve">in different </w:t>
      </w:r>
      <w:r>
        <w:rPr>
          <w:rFonts w:ascii="Times New Roman" w:hAnsi="Times New Roman" w:cs="Times New Roman"/>
          <w:sz w:val="24"/>
          <w:szCs w:val="24"/>
        </w:rPr>
        <w:t>ratios and (iii) potassium bromide, NaDS and Prussian blue (PB)</w:t>
      </w:r>
      <w:r w:rsidR="00EF6D20">
        <w:rPr>
          <w:rFonts w:ascii="Times New Roman" w:hAnsi="Times New Roman" w:cs="Times New Roman"/>
          <w:sz w:val="24"/>
          <w:szCs w:val="24"/>
        </w:rPr>
        <w:t xml:space="preserve"> </w:t>
      </w:r>
      <w:r w:rsidRPr="00441AA3">
        <w:rPr>
          <w:rFonts w:ascii="Times New Roman" w:hAnsi="Times New Roman" w:cs="Times New Roman"/>
          <w:sz w:val="24"/>
          <w:szCs w:val="24"/>
        </w:rPr>
        <w:t xml:space="preserve">different </w:t>
      </w:r>
      <w:r>
        <w:rPr>
          <w:rFonts w:ascii="Times New Roman" w:hAnsi="Times New Roman" w:cs="Times New Roman"/>
          <w:sz w:val="24"/>
          <w:szCs w:val="24"/>
        </w:rPr>
        <w:t>experimental condit</w:t>
      </w:r>
      <w:r w:rsidR="00FA621F">
        <w:rPr>
          <w:rFonts w:ascii="Times New Roman" w:hAnsi="Times New Roman" w:cs="Times New Roman"/>
          <w:sz w:val="24"/>
          <w:szCs w:val="24"/>
        </w:rPr>
        <w:t>ions, using an experimental set</w:t>
      </w:r>
      <w:r>
        <w:rPr>
          <w:rFonts w:ascii="Times New Roman" w:hAnsi="Times New Roman" w:cs="Times New Roman"/>
          <w:sz w:val="24"/>
          <w:szCs w:val="24"/>
        </w:rPr>
        <w:t>up</w:t>
      </w:r>
      <w:r w:rsidR="00FA621F">
        <w:rPr>
          <w:rFonts w:ascii="Times New Roman" w:hAnsi="Times New Roman" w:cs="Times New Roman"/>
          <w:sz w:val="24"/>
          <w:szCs w:val="24"/>
        </w:rPr>
        <w:t xml:space="preserve"> as shown in Figure S1.</w:t>
      </w:r>
      <w:r w:rsidR="002C39B2">
        <w:rPr>
          <w:rFonts w:ascii="Times New Roman" w:hAnsi="Times New Roman" w:cs="Times New Roman"/>
          <w:sz w:val="24"/>
          <w:szCs w:val="24"/>
        </w:rPr>
        <w:t xml:space="preserve"> </w:t>
      </w:r>
      <w:r w:rsidR="00EF6D20">
        <w:rPr>
          <w:rFonts w:ascii="Times New Roman" w:hAnsi="Times New Roman" w:cs="Times New Roman"/>
          <w:sz w:val="24"/>
          <w:szCs w:val="24"/>
        </w:rPr>
        <w:t>T</w:t>
      </w:r>
      <w:r w:rsidR="00FA621F">
        <w:rPr>
          <w:rFonts w:ascii="Times New Roman" w:hAnsi="Times New Roman" w:cs="Times New Roman"/>
          <w:sz w:val="24"/>
          <w:szCs w:val="24"/>
        </w:rPr>
        <w:t xml:space="preserve">he experimental setup </w:t>
      </w:r>
      <w:r>
        <w:rPr>
          <w:rFonts w:ascii="Times New Roman" w:hAnsi="Times New Roman" w:cs="Times New Roman"/>
          <w:sz w:val="24"/>
          <w:szCs w:val="24"/>
        </w:rPr>
        <w:t>consisting of a</w:t>
      </w:r>
      <w:r w:rsidRPr="00441AA3">
        <w:rPr>
          <w:rFonts w:ascii="Times New Roman" w:hAnsi="Times New Roman" w:cs="Times New Roman"/>
          <w:sz w:val="24"/>
          <w:szCs w:val="24"/>
        </w:rPr>
        <w:t xml:space="preserve"> circular platinum cathode of radius 2.5</w:t>
      </w:r>
      <w:r w:rsidR="00EF6D20">
        <w:rPr>
          <w:rFonts w:ascii="Times New Roman" w:hAnsi="Times New Roman" w:cs="Times New Roman"/>
          <w:sz w:val="24"/>
          <w:szCs w:val="24"/>
        </w:rPr>
        <w:t xml:space="preserve"> </w:t>
      </w:r>
      <w:r w:rsidRPr="00441AA3">
        <w:rPr>
          <w:rFonts w:ascii="Times New Roman" w:hAnsi="Times New Roman" w:cs="Times New Roman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 xml:space="preserve"> and a </w:t>
      </w:r>
      <w:r w:rsidRPr="00441AA3">
        <w:rPr>
          <w:rFonts w:ascii="Times New Roman" w:hAnsi="Times New Roman" w:cs="Times New Roman"/>
          <w:sz w:val="24"/>
          <w:szCs w:val="24"/>
        </w:rPr>
        <w:t xml:space="preserve">vertical </w:t>
      </w:r>
      <w:r>
        <w:rPr>
          <w:rFonts w:ascii="Times New Roman" w:hAnsi="Times New Roman" w:cs="Times New Roman"/>
          <w:sz w:val="24"/>
          <w:szCs w:val="24"/>
        </w:rPr>
        <w:t xml:space="preserve">platinum </w:t>
      </w:r>
      <w:r w:rsidRPr="00441AA3">
        <w:rPr>
          <w:rFonts w:ascii="Times New Roman" w:hAnsi="Times New Roman" w:cs="Times New Roman"/>
          <w:sz w:val="24"/>
          <w:szCs w:val="24"/>
        </w:rPr>
        <w:t>anode</w:t>
      </w:r>
      <w:r>
        <w:rPr>
          <w:rFonts w:ascii="Times New Roman" w:hAnsi="Times New Roman" w:cs="Times New Roman"/>
          <w:sz w:val="24"/>
          <w:szCs w:val="24"/>
        </w:rPr>
        <w:t xml:space="preserve">. The vertical anode was </w:t>
      </w:r>
      <w:r w:rsidRPr="00441AA3">
        <w:rPr>
          <w:rFonts w:ascii="Times New Roman" w:hAnsi="Times New Roman" w:cs="Times New Roman"/>
          <w:sz w:val="24"/>
          <w:szCs w:val="24"/>
        </w:rPr>
        <w:t>put</w:t>
      </w:r>
      <w:r w:rsidR="002C39B2">
        <w:rPr>
          <w:rFonts w:ascii="Times New Roman" w:hAnsi="Times New Roman" w:cs="Times New Roman"/>
          <w:sz w:val="24"/>
          <w:szCs w:val="24"/>
        </w:rPr>
        <w:t xml:space="preserve"> </w:t>
      </w:r>
      <w:r w:rsidRPr="00441AA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the center of the</w:t>
      </w:r>
      <w:r w:rsidR="00FA6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circular cathode such that it touched the surface </w:t>
      </w:r>
      <w:r w:rsidRPr="00441AA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41AA3">
        <w:rPr>
          <w:rFonts w:ascii="Times New Roman" w:hAnsi="Times New Roman" w:cs="Times New Roman"/>
          <w:sz w:val="24"/>
          <w:szCs w:val="24"/>
        </w:rPr>
        <w:t>so</w:t>
      </w:r>
      <w:r w:rsidR="00EF6D20">
        <w:rPr>
          <w:rFonts w:ascii="Times New Roman" w:hAnsi="Times New Roman" w:cs="Times New Roman"/>
          <w:sz w:val="24"/>
          <w:szCs w:val="24"/>
        </w:rPr>
        <w:t xml:space="preserve">lution taken in the Petri dish. </w:t>
      </w:r>
      <w:r w:rsidRPr="00441AA3">
        <w:rPr>
          <w:rFonts w:ascii="Times New Roman" w:hAnsi="Times New Roman" w:cs="Times New Roman"/>
          <w:sz w:val="24"/>
          <w:szCs w:val="24"/>
        </w:rPr>
        <w:t>These electrodes were attached to a potentiostat (Scientific India).</w:t>
      </w:r>
      <w:r w:rsidR="00EF6D20">
        <w:rPr>
          <w:rFonts w:ascii="Times New Roman" w:hAnsi="Times New Roman" w:cs="Times New Roman"/>
          <w:sz w:val="24"/>
          <w:szCs w:val="24"/>
        </w:rPr>
        <w:t xml:space="preserve"> </w:t>
      </w:r>
      <w:r w:rsidR="00EF6D20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</w:t>
      </w:r>
      <w:r w:rsidR="00023006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2C39B2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constant </w:t>
      </w:r>
      <w:r w:rsidR="00023006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potential of </w:t>
      </w:r>
      <w:r w:rsidR="00EF6D20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6 V</w:t>
      </w:r>
      <w:r w:rsidR="00023006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(field intensity = 2.4 V/cm) </w:t>
      </w:r>
      <w:r w:rsidR="00EF6D20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was applied</w:t>
      </w:r>
      <w:r w:rsidR="002C39B2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the electrodes</w:t>
      </w:r>
      <w:r w:rsidR="00EF6D20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C39B2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polymerization started at the tip of vertical </w:t>
      </w:r>
      <w:r w:rsidR="00FA621F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anode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electrode.</w:t>
      </w:r>
      <w:r w:rsidR="002C39B2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Electropolymerization was carried out at moderate potential to prevent the oxidative decomposition of the solvent, electrolyte and the polymer. </w:t>
      </w:r>
    </w:p>
    <w:p w:rsidR="000C54CF" w:rsidRDefault="00EF6D20" w:rsidP="000C54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3275" cy="1784372"/>
            <wp:effectExtent l="19050" t="0" r="287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328" cy="178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9B2" w:rsidRDefault="002C39B2" w:rsidP="000C54C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S1: Schematic representation of experimental setup of electropolymerization</w:t>
      </w:r>
    </w:p>
    <w:p w:rsidR="00326168" w:rsidRPr="00543770" w:rsidRDefault="00326168" w:rsidP="00326168">
      <w:pPr>
        <w:tabs>
          <w:tab w:val="left" w:pos="540"/>
        </w:tabs>
        <w:spacing w:after="0" w:line="48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543770">
        <w:rPr>
          <w:rFonts w:ascii="Arial" w:hAnsi="Arial" w:cs="Arial"/>
          <w:b/>
          <w:i/>
          <w:sz w:val="24"/>
          <w:szCs w:val="24"/>
        </w:rPr>
        <w:lastRenderedPageBreak/>
        <w:t>Adsorption experiments</w:t>
      </w:r>
    </w:p>
    <w:p w:rsidR="00B10FDE" w:rsidRPr="00305822" w:rsidRDefault="00FB6F95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ifferent amount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electrochemically synthesized polymers were added to 10 mL of aqueous solution of MB in a small conical flask fitted with a stopper stirred vigorously on a magnetic stirrer for 60 minutes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perform the adsorption experiments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. The adsorbent was then separated from the solution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centrifuging the solution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bsorbance of the supernatant liquid was measured at 664 nm using a microprocessor UV-vis. double beam spectrophotometer [model LI-2802]. An optimum adsorbent dosage was determined by using adsorption capacity (Q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) vs adsorbent dosage plot. MB solutions of different concentration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x 10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-4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- 3 x 10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M) were prepared for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experiments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bsorbance of MB solutions was measured at 664 nm. A calibration curve was obtained by plotting absorbance as a function of MB concentration. Optimum adsorbent dosage of polymers was added to 10 mL of MB solution of each concentration in a small conical flask fitted with a stopper. The flask was stirred vigorously for 60 minutes. The adsorbent was separated from the solution. 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bsorbance of the supernatant liquids was measured.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The e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xperiment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was also performed at different contact time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. The effect of pH on Q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e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studied at [MB] = 1.5 x 10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at room temperature and in pH range 2-10. pH was measured 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with a digital pH meter (Remi). The experiments were carried out at different temperatures viz. 30, 40, 50, and 60 ºC in an incubator t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study the effect of temperature on adsorption. </w:t>
      </w:r>
      <w:r w:rsidR="00B10FDE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The a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dsorption capacity was measured with 1.5 gL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adsorbent in 1.5 x 10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-3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MB solution at each temperature. The contact time was 60 minutes in each case. </w:t>
      </w:r>
    </w:p>
    <w:p w:rsidR="00B10FDE" w:rsidRPr="00305822" w:rsidRDefault="00B10FDE" w:rsidP="00B10FDE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A d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esorption study was carried out with 1.5 gL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adsorbent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added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to10 mL of aqueous solution of MB. The mixture was shaken for 1 h. The initial dye concentration was 5 x 10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-4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The MB-adsorbed polymer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="00D45B77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separated and added into 10 mL of methanol and stirred for 30 min, separated again, and added into 10 mL of methanol. The process was repeated for 5 times.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adsorbent was collected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centrifugation technique </w:t>
      </w:r>
      <w:r w:rsidR="00326168"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>and reused for adsorption. The supernatant solutions were analyzed by UV-vis spectrophotometer.</w:t>
      </w:r>
      <w:r w:rsidRPr="00305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Adsorption and desorption were successively carried out three times for adsorbent used in this study.  </w:t>
      </w:r>
    </w:p>
    <w:p w:rsidR="00B10FDE" w:rsidRPr="0071290E" w:rsidRDefault="00B10FDE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4C46" w:rsidRPr="000426F5" w:rsidRDefault="00614C46" w:rsidP="00614C46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426F5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426F5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Pr="000426F5">
        <w:rPr>
          <w:rFonts w:ascii="Times New Roman" w:hAnsi="Times New Roman" w:cs="Times New Roman"/>
          <w:sz w:val="24"/>
          <w:szCs w:val="24"/>
        </w:rPr>
        <w:t>Kinetic models and equations used</w:t>
      </w:r>
    </w:p>
    <w:p w:rsidR="00614C46" w:rsidRPr="000426F5" w:rsidRDefault="00614C46" w:rsidP="00614C46">
      <w:pPr>
        <w:autoSpaceDE w:val="0"/>
        <w:autoSpaceDN w:val="0"/>
        <w:adjustRightInd w:val="0"/>
        <w:spacing w:after="0"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jc w:val="center"/>
        <w:tblLayout w:type="fixed"/>
        <w:tblLook w:val="04A0"/>
      </w:tblPr>
      <w:tblGrid>
        <w:gridCol w:w="1944"/>
        <w:gridCol w:w="3323"/>
        <w:gridCol w:w="1243"/>
        <w:gridCol w:w="119"/>
        <w:gridCol w:w="1243"/>
        <w:gridCol w:w="48"/>
      </w:tblGrid>
      <w:tr w:rsidR="00614C46" w:rsidRPr="000426F5" w:rsidTr="00A91D71">
        <w:trPr>
          <w:gridAfter w:val="1"/>
          <w:wAfter w:w="48" w:type="dxa"/>
          <w:jc w:val="center"/>
        </w:trPr>
        <w:tc>
          <w:tcPr>
            <w:tcW w:w="19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Kinetic model</w:t>
            </w:r>
          </w:p>
        </w:tc>
        <w:tc>
          <w:tcPr>
            <w:tcW w:w="33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</w:tc>
        <w:tc>
          <w:tcPr>
            <w:tcW w:w="124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Equation number</w:t>
            </w:r>
          </w:p>
        </w:tc>
        <w:tc>
          <w:tcPr>
            <w:tcW w:w="136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14C46" w:rsidRPr="000426F5" w:rsidTr="00A91D71">
        <w:trPr>
          <w:jc w:val="center"/>
        </w:trPr>
        <w:tc>
          <w:tcPr>
            <w:tcW w:w="19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Pseudo- first- order</w:t>
            </w:r>
          </w:p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>log (Q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>-Q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>) = log Q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e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2.303</m:t>
                  </m:r>
                </m:den>
              </m:f>
            </m:oMath>
          </w:p>
        </w:tc>
        <w:tc>
          <w:tcPr>
            <w:tcW w:w="13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C46" w:rsidRPr="000426F5" w:rsidTr="00A91D71">
        <w:trPr>
          <w:jc w:val="center"/>
        </w:trPr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Pseudo-second-order</w:t>
            </w:r>
          </w:p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433DA1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t</m:t>
                </m:r>
              </m:oMath>
            </m:oMathPara>
          </w:p>
        </w:tc>
        <w:tc>
          <w:tcPr>
            <w:tcW w:w="13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4C46" w:rsidRPr="000426F5" w:rsidTr="00A91D71">
        <w:trPr>
          <w:jc w:val="center"/>
        </w:trPr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Elovich equation</w:t>
            </w:r>
          </w:p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t</w:t>
            </w:r>
            <w:r w:rsidRPr="000426F5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den>
              </m:f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t +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β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(αβ)</m:t>
                  </m:r>
                </m:e>
              </m:func>
            </m:oMath>
          </w:p>
        </w:tc>
        <w:tc>
          <w:tcPr>
            <w:tcW w:w="13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4C46" w:rsidRPr="000426F5" w:rsidTr="00A91D71">
        <w:trPr>
          <w:jc w:val="center"/>
        </w:trPr>
        <w:tc>
          <w:tcPr>
            <w:tcW w:w="19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46" w:rsidRPr="000426F5" w:rsidRDefault="00614C46" w:rsidP="00614C46">
      <w:pPr>
        <w:tabs>
          <w:tab w:val="left" w:pos="6045"/>
        </w:tabs>
        <w:ind w:left="810" w:right="720"/>
        <w:jc w:val="both"/>
        <w:rPr>
          <w:rFonts w:ascii="Times New Roman" w:hAnsi="Times New Roman" w:cs="Times New Roman"/>
          <w:sz w:val="24"/>
          <w:szCs w:val="24"/>
        </w:rPr>
      </w:pPr>
      <w:r w:rsidRPr="000426F5">
        <w:rPr>
          <w:rFonts w:ascii="Times New Roman" w:hAnsi="Times New Roman" w:cs="Times New Roman"/>
          <w:sz w:val="24"/>
          <w:szCs w:val="24"/>
        </w:rPr>
        <w:t>where Q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Pr="000426F5">
        <w:rPr>
          <w:rFonts w:ascii="Times New Roman" w:hAnsi="Times New Roman" w:cs="Times New Roman"/>
          <w:sz w:val="24"/>
          <w:szCs w:val="24"/>
        </w:rPr>
        <w:t xml:space="preserve"> and Q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e</w:t>
      </w:r>
      <w:r w:rsidRPr="000426F5">
        <w:rPr>
          <w:rFonts w:ascii="Times New Roman" w:hAnsi="Times New Roman" w:cs="Times New Roman"/>
          <w:sz w:val="24"/>
          <w:szCs w:val="24"/>
        </w:rPr>
        <w:t xml:space="preserve"> (mgg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are the amount of MB adsorbed at any time and at equilibrium, respectively, k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426F5">
        <w:rPr>
          <w:rFonts w:ascii="Times New Roman" w:hAnsi="Times New Roman" w:cs="Times New Roman"/>
          <w:sz w:val="24"/>
          <w:szCs w:val="24"/>
        </w:rPr>
        <w:t xml:space="preserve"> (min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represents the pseudo-first-order model rate constant, k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426F5">
        <w:rPr>
          <w:rFonts w:ascii="Times New Roman" w:hAnsi="Times New Roman" w:cs="Times New Roman"/>
          <w:sz w:val="24"/>
          <w:szCs w:val="24"/>
        </w:rPr>
        <w:t xml:space="preserve"> (g mg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 xml:space="preserve"> min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is the pseudo-second-order rate constant, α is the initial adsorption rate (mgg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min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and β is the adsorption constant (gmg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W w:w="7920" w:type="dxa"/>
        <w:tblInd w:w="828" w:type="dxa"/>
        <w:tblBorders>
          <w:top w:val="single" w:sz="4" w:space="0" w:color="000000" w:themeColor="text1"/>
        </w:tblBorders>
        <w:tblLook w:val="0000"/>
      </w:tblPr>
      <w:tblGrid>
        <w:gridCol w:w="7920"/>
      </w:tblGrid>
      <w:tr w:rsidR="00614C46" w:rsidRPr="007F0127" w:rsidTr="00EB4B4B">
        <w:trPr>
          <w:trHeight w:val="100"/>
        </w:trPr>
        <w:tc>
          <w:tcPr>
            <w:tcW w:w="7920" w:type="dxa"/>
          </w:tcPr>
          <w:p w:rsidR="00614C46" w:rsidRPr="007F0127" w:rsidRDefault="00614C46" w:rsidP="00EB4B4B">
            <w:pPr>
              <w:tabs>
                <w:tab w:val="left" w:pos="6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46" w:rsidRDefault="00614C46" w:rsidP="00614C46">
      <w:pPr>
        <w:ind w:right="720"/>
      </w:pPr>
    </w:p>
    <w:p w:rsidR="00614C46" w:rsidRDefault="00614C46" w:rsidP="00614C46">
      <w:pPr>
        <w:ind w:right="720"/>
      </w:pPr>
    </w:p>
    <w:p w:rsidR="00614C46" w:rsidRDefault="00614C46" w:rsidP="00614C46">
      <w:pPr>
        <w:ind w:right="720"/>
      </w:pPr>
    </w:p>
    <w:p w:rsidR="00614C46" w:rsidRDefault="00614C46" w:rsidP="00614C46">
      <w:pPr>
        <w:ind w:right="720"/>
      </w:pPr>
    </w:p>
    <w:p w:rsidR="00614C46" w:rsidRDefault="00614C46" w:rsidP="00614C46">
      <w:pPr>
        <w:ind w:right="720"/>
      </w:pPr>
    </w:p>
    <w:p w:rsidR="00614C46" w:rsidRDefault="00614C46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C46" w:rsidRDefault="00614C46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C46" w:rsidRDefault="00614C46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C46" w:rsidRDefault="00614C46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C46" w:rsidRPr="000426F5" w:rsidRDefault="00614C46" w:rsidP="00614C46">
      <w:pPr>
        <w:tabs>
          <w:tab w:val="left" w:pos="604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0426F5">
        <w:rPr>
          <w:rFonts w:ascii="Times New Roman" w:hAnsi="Times New Roman" w:cs="Times New Roman"/>
          <w:b/>
          <w:sz w:val="24"/>
          <w:szCs w:val="24"/>
        </w:rPr>
        <w:t>:</w:t>
      </w:r>
      <w:r w:rsidRPr="000426F5">
        <w:rPr>
          <w:rFonts w:ascii="Times New Roman" w:hAnsi="Times New Roman" w:cs="Times New Roman"/>
          <w:sz w:val="24"/>
          <w:szCs w:val="24"/>
        </w:rPr>
        <w:t xml:space="preserve"> Equations used for the calculation of </w:t>
      </w:r>
      <w:r>
        <w:rPr>
          <w:rFonts w:ascii="Times New Roman" w:hAnsi="Times New Roman" w:cs="Times New Roman"/>
          <w:sz w:val="24"/>
          <w:szCs w:val="24"/>
        </w:rPr>
        <w:t>isotherm parameters (equations 5-</w:t>
      </w:r>
      <w:r w:rsidR="0086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26F5">
        <w:rPr>
          <w:rFonts w:ascii="Times New Roman" w:hAnsi="Times New Roman" w:cs="Times New Roman"/>
          <w:sz w:val="24"/>
          <w:szCs w:val="24"/>
        </w:rPr>
        <w:t>) and thermo</w:t>
      </w:r>
      <w:r>
        <w:rPr>
          <w:rFonts w:ascii="Times New Roman" w:hAnsi="Times New Roman" w:cs="Times New Roman"/>
          <w:sz w:val="24"/>
          <w:szCs w:val="24"/>
        </w:rPr>
        <w:t>dynamic parameters (equations 7-9</w:t>
      </w:r>
      <w:r w:rsidRPr="000426F5">
        <w:rPr>
          <w:rFonts w:ascii="Times New Roman" w:hAnsi="Times New Roman" w:cs="Times New Roman"/>
          <w:sz w:val="24"/>
          <w:szCs w:val="24"/>
        </w:rPr>
        <w:t>).</w:t>
      </w:r>
    </w:p>
    <w:p w:rsidR="00614C46" w:rsidRPr="007F0127" w:rsidRDefault="00614C46" w:rsidP="00614C46"/>
    <w:tbl>
      <w:tblPr>
        <w:tblStyle w:val="TableGrid"/>
        <w:tblW w:w="5971" w:type="dxa"/>
        <w:jc w:val="center"/>
        <w:tblLayout w:type="fixed"/>
        <w:tblLook w:val="04A0"/>
      </w:tblPr>
      <w:tblGrid>
        <w:gridCol w:w="3319"/>
        <w:gridCol w:w="1242"/>
        <w:gridCol w:w="119"/>
        <w:gridCol w:w="1291"/>
      </w:tblGrid>
      <w:tr w:rsidR="00614C46" w:rsidRPr="000426F5" w:rsidTr="00EB4B4B">
        <w:trPr>
          <w:trHeight w:val="651"/>
          <w:jc w:val="center"/>
        </w:trPr>
        <w:tc>
          <w:tcPr>
            <w:tcW w:w="33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Equation</w:t>
            </w:r>
          </w:p>
        </w:tc>
        <w:tc>
          <w:tcPr>
            <w:tcW w:w="12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Equation number</w:t>
            </w:r>
          </w:p>
        </w:tc>
        <w:tc>
          <w:tcPr>
            <w:tcW w:w="14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6F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</w:tc>
      </w:tr>
      <w:tr w:rsidR="00614C46" w:rsidRPr="000426F5" w:rsidTr="00EB4B4B">
        <w:trPr>
          <w:trHeight w:val="884"/>
          <w:jc w:val="center"/>
        </w:trPr>
        <w:tc>
          <w:tcPr>
            <w:tcW w:w="33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433DA1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max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36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614C46" w:rsidRPr="000426F5" w:rsidTr="00EB4B4B">
        <w:trPr>
          <w:trHeight w:val="853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433DA1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= 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e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1, 3, 4</w:t>
            </w:r>
          </w:p>
        </w:tc>
      </w:tr>
      <w:tr w:rsidR="00614C46" w:rsidRPr="000426F5" w:rsidTr="00EB4B4B">
        <w:trPr>
          <w:trHeight w:val="574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 -RT ln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614C46" w:rsidRPr="000426F5" w:rsidTr="00EB4B4B">
        <w:trPr>
          <w:trHeight w:val="326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433DA1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  <w:vertAlign w:val="subscript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/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e</m:t>
                    </m:r>
                  </m:sub>
                </m:sSub>
              </m:oMath>
            </m:oMathPara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614C46" w:rsidRPr="000426F5" w:rsidTr="00EB4B4B">
        <w:trPr>
          <w:trHeight w:val="295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C46" w:rsidRPr="000426F5" w:rsidTr="00EB4B4B">
        <w:trPr>
          <w:trHeight w:val="589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ln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= -∆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/RT+  ∆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o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 xml:space="preserve">/R </m:t>
                </m:r>
              </m:oMath>
            </m:oMathPara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614C46" w:rsidRPr="000426F5" w:rsidTr="00EB4B4B">
        <w:trPr>
          <w:trHeight w:val="295"/>
          <w:jc w:val="center"/>
        </w:trPr>
        <w:tc>
          <w:tcPr>
            <w:tcW w:w="33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4C46" w:rsidRPr="000426F5" w:rsidRDefault="00614C46" w:rsidP="00EB4B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C46" w:rsidRPr="000426F5" w:rsidRDefault="00614C46" w:rsidP="00614C46">
      <w:pPr>
        <w:tabs>
          <w:tab w:val="left" w:pos="1935"/>
        </w:tabs>
        <w:ind w:left="1710" w:right="1620"/>
        <w:jc w:val="both"/>
        <w:rPr>
          <w:rFonts w:ascii="Times New Roman" w:hAnsi="Times New Roman" w:cs="Times New Roman"/>
          <w:sz w:val="24"/>
          <w:szCs w:val="24"/>
        </w:rPr>
      </w:pPr>
      <w:r w:rsidRPr="000426F5">
        <w:rPr>
          <w:rFonts w:ascii="Times New Roman" w:hAnsi="Times New Roman" w:cs="Times New Roman"/>
          <w:sz w:val="24"/>
          <w:szCs w:val="24"/>
        </w:rPr>
        <w:t>where K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0426F5">
        <w:rPr>
          <w:rFonts w:ascii="Times New Roman" w:hAnsi="Times New Roman" w:cs="Times New Roman"/>
          <w:sz w:val="24"/>
          <w:szCs w:val="24"/>
        </w:rPr>
        <w:t xml:space="preserve"> (Lmg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is the Langmuir constant, which is related to adsorption. Q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0426F5">
        <w:rPr>
          <w:rFonts w:ascii="Times New Roman" w:hAnsi="Times New Roman" w:cs="Times New Roman"/>
          <w:sz w:val="24"/>
          <w:szCs w:val="24"/>
        </w:rPr>
        <w:t>(mgg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>) is maximum adsorption capacity corresponding to complete monolayer coverage. K</w:t>
      </w:r>
      <w:r w:rsidRPr="000426F5">
        <w:rPr>
          <w:rFonts w:ascii="Times New Roman" w:hAnsi="Times New Roman" w:cs="Times New Roman"/>
          <w:sz w:val="24"/>
          <w:szCs w:val="24"/>
          <w:vertAlign w:val="subscript"/>
        </w:rPr>
        <w:t xml:space="preserve">F </w:t>
      </w:r>
      <w:r w:rsidRPr="000426F5">
        <w:rPr>
          <w:rFonts w:ascii="Times New Roman" w:hAnsi="Times New Roman" w:cs="Times New Roman"/>
          <w:sz w:val="24"/>
          <w:szCs w:val="24"/>
        </w:rPr>
        <w:t>(mg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1-1/n</w:t>
      </w:r>
      <w:r w:rsidRPr="000426F5">
        <w:rPr>
          <w:rFonts w:ascii="Times New Roman" w:hAnsi="Times New Roman" w:cs="Times New Roman"/>
          <w:sz w:val="24"/>
          <w:szCs w:val="24"/>
        </w:rPr>
        <w:t>L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1/n</w:t>
      </w:r>
      <w:r w:rsidRPr="000426F5">
        <w:rPr>
          <w:rFonts w:ascii="Times New Roman" w:hAnsi="Times New Roman" w:cs="Times New Roman"/>
          <w:sz w:val="24"/>
          <w:szCs w:val="24"/>
        </w:rPr>
        <w:t>g</w:t>
      </w:r>
      <w:r w:rsidRPr="000426F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0426F5">
        <w:rPr>
          <w:rFonts w:ascii="Times New Roman" w:hAnsi="Times New Roman" w:cs="Times New Roman"/>
          <w:sz w:val="24"/>
          <w:szCs w:val="24"/>
        </w:rPr>
        <w:t xml:space="preserve">) is related to the adsorption capacity of the adsorbent and 1/n is a constant that is related to the adsorption intensity, R is gas constant and T (K) is temperature. </w:t>
      </w:r>
    </w:p>
    <w:tbl>
      <w:tblPr>
        <w:tblW w:w="0" w:type="auto"/>
        <w:tblInd w:w="1818" w:type="dxa"/>
        <w:tblBorders>
          <w:top w:val="single" w:sz="4" w:space="0" w:color="000000" w:themeColor="text1"/>
        </w:tblBorders>
        <w:tblLook w:val="0000"/>
      </w:tblPr>
      <w:tblGrid>
        <w:gridCol w:w="6030"/>
      </w:tblGrid>
      <w:tr w:rsidR="00614C46" w:rsidRPr="007F0127" w:rsidTr="00EB4B4B">
        <w:trPr>
          <w:trHeight w:val="129"/>
        </w:trPr>
        <w:tc>
          <w:tcPr>
            <w:tcW w:w="6030" w:type="dxa"/>
          </w:tcPr>
          <w:p w:rsidR="00614C46" w:rsidRPr="007F0127" w:rsidRDefault="00614C46" w:rsidP="00EB4B4B"/>
        </w:tc>
      </w:tr>
    </w:tbl>
    <w:p w:rsidR="00614C46" w:rsidRPr="007F0127" w:rsidRDefault="00614C46" w:rsidP="00614C46"/>
    <w:p w:rsidR="00614C46" w:rsidRDefault="00614C46" w:rsidP="00614C46"/>
    <w:p w:rsidR="00614C46" w:rsidRDefault="00614C46" w:rsidP="00614C46"/>
    <w:p w:rsidR="00614C46" w:rsidRDefault="00614C46" w:rsidP="00614C46"/>
    <w:p w:rsidR="00614C46" w:rsidRDefault="00614C46" w:rsidP="00614C46"/>
    <w:p w:rsidR="004A0AA3" w:rsidRPr="00614C46" w:rsidRDefault="004A0AA3" w:rsidP="00326168">
      <w:pPr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C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D45B77" w:rsidRPr="00E969FB" w:rsidRDefault="001B5A63" w:rsidP="00D45B77">
      <w:pPr>
        <w:numPr>
          <w:ilvl w:val="0"/>
          <w:numId w:val="1"/>
        </w:numPr>
        <w:tabs>
          <w:tab w:val="left" w:pos="1080"/>
        </w:tabs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Bai,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Li,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Z.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Zhang,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Y.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Lu,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Zhou,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Gao,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Zhang,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S.</w:t>
      </w:r>
      <w:r w:rsidRPr="001B5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Synthesis of water-dispersible graphene-modified magnetic polypyrrole nanocomposite and its ability to efficiently adsorb methylene blue from aqueous solution. </w:t>
      </w:r>
      <w:r w:rsidR="00D45B77" w:rsidRPr="001B5A6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Chem. Eng. J.</w:t>
      </w:r>
      <w:r w:rsidR="00D45B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45B77" w:rsidRPr="00E969FB">
        <w:rPr>
          <w:rFonts w:ascii="Times New Roman" w:hAnsi="Times New Roman" w:cs="Times New Roman"/>
          <w:color w:val="000000" w:themeColor="text1"/>
          <w:sz w:val="24"/>
          <w:szCs w:val="24"/>
        </w:rPr>
        <w:t>757.</w:t>
      </w:r>
    </w:p>
    <w:p w:rsidR="006D2EEC" w:rsidRPr="0074739B" w:rsidRDefault="00BB4BF5" w:rsidP="006D2EE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9B">
        <w:rPr>
          <w:rFonts w:ascii="Times New Roman" w:hAnsi="Times New Roman" w:cs="Times New Roman"/>
          <w:sz w:val="24"/>
          <w:szCs w:val="24"/>
        </w:rPr>
        <w:t>Wang,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B4BF5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Zhang,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4739B">
        <w:rPr>
          <w:rFonts w:ascii="Times New Roman" w:hAnsi="Times New Roman" w:cs="Times New Roman"/>
          <w:sz w:val="24"/>
          <w:szCs w:val="24"/>
        </w:rPr>
        <w:t>Wang,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A.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Pr="00FF06FE">
        <w:rPr>
          <w:rFonts w:ascii="Times New Roman" w:hAnsi="Times New Roman" w:cs="Times New Roman"/>
          <w:sz w:val="24"/>
          <w:szCs w:val="24"/>
        </w:rPr>
        <w:t>(2011)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46D3">
        <w:rPr>
          <w:rFonts w:ascii="Times New Roman" w:hAnsi="Times New Roman" w:cs="Times New Roman"/>
          <w:sz w:val="24"/>
          <w:szCs w:val="24"/>
        </w:rPr>
        <w:t xml:space="preserve"> </w:t>
      </w:r>
      <w:r w:rsidR="006D2EEC" w:rsidRPr="0074739B">
        <w:rPr>
          <w:rFonts w:ascii="Times New Roman" w:hAnsi="Times New Roman" w:cs="Times New Roman"/>
          <w:sz w:val="24"/>
          <w:szCs w:val="24"/>
        </w:rPr>
        <w:t>Fast removal of methylene blue from aqueous solution by adsorption onto</w:t>
      </w:r>
      <w:r w:rsidR="006D2EEC">
        <w:rPr>
          <w:rFonts w:ascii="Times New Roman" w:hAnsi="Times New Roman" w:cs="Times New Roman"/>
          <w:sz w:val="24"/>
          <w:szCs w:val="24"/>
        </w:rPr>
        <w:t xml:space="preserve"> chitosan-g-poly (acrylic acid)/</w:t>
      </w:r>
      <w:r w:rsidR="006D2EEC" w:rsidRPr="0074739B">
        <w:rPr>
          <w:rFonts w:ascii="Times New Roman" w:hAnsi="Times New Roman" w:cs="Times New Roman"/>
          <w:sz w:val="24"/>
          <w:szCs w:val="24"/>
        </w:rPr>
        <w:t xml:space="preserve">attapulgite composite. </w:t>
      </w:r>
      <w:r w:rsidR="006D2EEC" w:rsidRPr="00FF06FE">
        <w:rPr>
          <w:rFonts w:ascii="Times New Roman" w:hAnsi="Times New Roman" w:cs="Times New Roman"/>
          <w:i/>
          <w:sz w:val="24"/>
          <w:szCs w:val="24"/>
        </w:rPr>
        <w:t>Desalination</w:t>
      </w:r>
      <w:r w:rsidR="006D2EEC" w:rsidRPr="0074739B">
        <w:rPr>
          <w:rFonts w:ascii="Times New Roman" w:hAnsi="Times New Roman" w:cs="Times New Roman"/>
          <w:sz w:val="24"/>
          <w:szCs w:val="24"/>
        </w:rPr>
        <w:t xml:space="preserve"> 266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2EEC" w:rsidRPr="0074739B">
        <w:rPr>
          <w:rFonts w:ascii="Times New Roman" w:hAnsi="Times New Roman" w:cs="Times New Roman"/>
          <w:sz w:val="24"/>
          <w:szCs w:val="24"/>
        </w:rPr>
        <w:t>33.</w:t>
      </w:r>
    </w:p>
    <w:p w:rsidR="006D2EEC" w:rsidRPr="0074739B" w:rsidRDefault="007C6A5F" w:rsidP="006D2EE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39B">
        <w:rPr>
          <w:rFonts w:ascii="Times New Roman" w:hAnsi="Times New Roman" w:cs="Times New Roman"/>
          <w:sz w:val="24"/>
          <w:szCs w:val="24"/>
        </w:rPr>
        <w:t>Peng,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6A5F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Zhang,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W.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6A5F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Gai,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6A5F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Jiang,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6A5F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Wang,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6A5F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Zhao,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L.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Pr="003B7B49"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EC" w:rsidRPr="0074739B">
        <w:rPr>
          <w:rFonts w:ascii="Times New Roman" w:hAnsi="Times New Roman" w:cs="Times New Roman"/>
          <w:sz w:val="24"/>
          <w:szCs w:val="24"/>
        </w:rPr>
        <w:t>Dedoped Fe</w:t>
      </w:r>
      <w:r w:rsidR="006D2EEC" w:rsidRPr="007473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D2EEC" w:rsidRPr="0074739B">
        <w:rPr>
          <w:rFonts w:ascii="Times New Roman" w:hAnsi="Times New Roman" w:cs="Times New Roman"/>
          <w:sz w:val="24"/>
          <w:szCs w:val="24"/>
        </w:rPr>
        <w:t>O</w:t>
      </w:r>
      <w:r w:rsidR="006D2EEC" w:rsidRPr="0074739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6D2EEC" w:rsidRPr="0074739B">
        <w:rPr>
          <w:rFonts w:ascii="Times New Roman" w:hAnsi="Times New Roman" w:cs="Times New Roman"/>
          <w:sz w:val="24"/>
          <w:szCs w:val="24"/>
        </w:rPr>
        <w:t>/ PPy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="006D2EEC" w:rsidRPr="0074739B">
        <w:rPr>
          <w:rFonts w:ascii="Times New Roman" w:hAnsi="Times New Roman" w:cs="Times New Roman"/>
          <w:sz w:val="24"/>
          <w:szCs w:val="24"/>
        </w:rPr>
        <w:t>nanocomposite with high anti-interfering ability for effective separation of Ag (I) from mi</w:t>
      </w:r>
      <w:r w:rsidR="006D2EEC">
        <w:rPr>
          <w:rFonts w:ascii="Times New Roman" w:hAnsi="Times New Roman" w:cs="Times New Roman"/>
          <w:sz w:val="24"/>
          <w:szCs w:val="24"/>
        </w:rPr>
        <w:t xml:space="preserve">xed metal-ion solution. </w:t>
      </w:r>
      <w:r w:rsidR="006D2EEC" w:rsidRPr="003B7B49">
        <w:rPr>
          <w:rFonts w:ascii="Times New Roman" w:hAnsi="Times New Roman" w:cs="Times New Roman"/>
          <w:i/>
          <w:sz w:val="24"/>
          <w:szCs w:val="24"/>
        </w:rPr>
        <w:t>Chem. Eng. J.</w:t>
      </w:r>
      <w:r w:rsidR="006D2EEC">
        <w:rPr>
          <w:rFonts w:ascii="Times New Roman" w:hAnsi="Times New Roman" w:cs="Times New Roman"/>
          <w:sz w:val="24"/>
          <w:szCs w:val="24"/>
        </w:rPr>
        <w:t xml:space="preserve"> 280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2EEC" w:rsidRPr="0074739B">
        <w:rPr>
          <w:rFonts w:ascii="Times New Roman" w:hAnsi="Times New Roman" w:cs="Times New Roman"/>
          <w:sz w:val="24"/>
          <w:szCs w:val="24"/>
        </w:rPr>
        <w:t>197.</w:t>
      </w:r>
    </w:p>
    <w:p w:rsidR="006D2EEC" w:rsidRPr="0074739B" w:rsidRDefault="007D513D" w:rsidP="006D2EE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39B">
        <w:rPr>
          <w:rFonts w:ascii="Times New Roman" w:hAnsi="Times New Roman" w:cs="Times New Roman"/>
          <w:sz w:val="24"/>
          <w:szCs w:val="24"/>
        </w:rPr>
        <w:t>Shanehsaz,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Seidi,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513D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Ghorbani,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28E0" w:rsidRPr="0074739B">
        <w:rPr>
          <w:rFonts w:ascii="Times New Roman" w:hAnsi="Times New Roman" w:cs="Times New Roman"/>
          <w:sz w:val="24"/>
          <w:szCs w:val="24"/>
        </w:rPr>
        <w:t>Y.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D513D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Shoja,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S. M. R.</w:t>
      </w:r>
      <w:r>
        <w:rPr>
          <w:rFonts w:ascii="Times New Roman" w:hAnsi="Times New Roman" w:cs="Times New Roman"/>
          <w:sz w:val="24"/>
          <w:szCs w:val="24"/>
        </w:rPr>
        <w:t>;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sz w:val="24"/>
          <w:szCs w:val="24"/>
        </w:rPr>
        <w:t>Rouhani,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8E0" w:rsidRPr="0074739B">
        <w:rPr>
          <w:rFonts w:ascii="Times New Roman" w:hAnsi="Times New Roman" w:cs="Times New Roman"/>
          <w:sz w:val="24"/>
          <w:szCs w:val="24"/>
        </w:rPr>
        <w:t>S.</w:t>
      </w:r>
      <w:r w:rsidR="00AB28E0">
        <w:rPr>
          <w:rFonts w:ascii="Times New Roman" w:hAnsi="Times New Roman" w:cs="Times New Roman"/>
          <w:sz w:val="24"/>
          <w:szCs w:val="24"/>
        </w:rPr>
        <w:t xml:space="preserve"> </w:t>
      </w:r>
      <w:r w:rsidRPr="003B7B49">
        <w:rPr>
          <w:rFonts w:ascii="Times New Roman" w:hAnsi="Times New Roman" w:cs="Times New Roman"/>
          <w:sz w:val="24"/>
          <w:szCs w:val="24"/>
        </w:rPr>
        <w:t>(2015)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EEC" w:rsidRPr="0074739B">
        <w:rPr>
          <w:rFonts w:ascii="Times New Roman" w:hAnsi="Times New Roman" w:cs="Times New Roman"/>
          <w:sz w:val="24"/>
          <w:szCs w:val="24"/>
        </w:rPr>
        <w:t xml:space="preserve">Polypyrrole-coated magnetic nanoparticles as an efficient adsorbent for RB19 synthetic textile dye: Removal and kinetic study. </w:t>
      </w:r>
      <w:r w:rsidR="006D2EEC" w:rsidRPr="003B7B49">
        <w:rPr>
          <w:rFonts w:ascii="Times New Roman" w:hAnsi="Times New Roman" w:cs="Times New Roman"/>
          <w:i/>
          <w:sz w:val="24"/>
          <w:szCs w:val="24"/>
        </w:rPr>
        <w:t>Spectrochimica</w:t>
      </w:r>
      <w:r w:rsidR="00C346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EEC" w:rsidRPr="003B7B49">
        <w:rPr>
          <w:rFonts w:ascii="Times New Roman" w:hAnsi="Times New Roman" w:cs="Times New Roman"/>
          <w:i/>
          <w:sz w:val="24"/>
          <w:szCs w:val="24"/>
        </w:rPr>
        <w:t>Acta Part A: Molecular and Biomolecular Spectroscopy</w:t>
      </w:r>
      <w:r w:rsidR="006D2EEC">
        <w:rPr>
          <w:rFonts w:ascii="Times New Roman" w:hAnsi="Times New Roman" w:cs="Times New Roman"/>
          <w:sz w:val="24"/>
          <w:szCs w:val="24"/>
        </w:rPr>
        <w:t xml:space="preserve"> 149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2EEC" w:rsidRPr="0074739B">
        <w:rPr>
          <w:rFonts w:ascii="Times New Roman" w:hAnsi="Times New Roman" w:cs="Times New Roman"/>
          <w:sz w:val="24"/>
          <w:szCs w:val="24"/>
        </w:rPr>
        <w:t>481.</w:t>
      </w:r>
    </w:p>
    <w:p w:rsidR="006D2EEC" w:rsidRPr="0074739B" w:rsidRDefault="007D513D" w:rsidP="006D2EEC">
      <w:pPr>
        <w:numPr>
          <w:ilvl w:val="0"/>
          <w:numId w:val="1"/>
        </w:numPr>
        <w:spacing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Bhatt,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>A.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Sakaria,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 w:rsidRPr="003F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>P. 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Vasudevan,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Pawar,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>R. 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Sudheesh,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>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Bajaj,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>H. 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D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Mody,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8C3"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H. M.</w:t>
      </w:r>
      <w:r w:rsidR="003F48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14852">
        <w:rPr>
          <w:rFonts w:ascii="Times New Roman" w:hAnsi="Times New Roman" w:cs="Times New Roman"/>
          <w:color w:val="000000" w:themeColor="text1"/>
          <w:sz w:val="24"/>
          <w:szCs w:val="24"/>
        </w:rPr>
        <w:t>(2012)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2EEC"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Adsorption of an anionic dye from aqueous medium by organoclays: equilibrium modeling, kinetic and thermodynamic exploration. </w:t>
      </w:r>
      <w:r w:rsidR="006D2EEC" w:rsidRPr="00B148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RSC Adv</w:t>
      </w:r>
      <w:r w:rsidR="006D2EEC">
        <w:rPr>
          <w:rFonts w:ascii="Times New Roman" w:hAnsi="Times New Roman" w:cs="Times New Roman"/>
          <w:color w:val="000000" w:themeColor="text1"/>
          <w:sz w:val="24"/>
          <w:szCs w:val="24"/>
        </w:rPr>
        <w:t>.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D2EEC" w:rsidRPr="0074739B">
        <w:rPr>
          <w:rFonts w:ascii="Times New Roman" w:hAnsi="Times New Roman" w:cs="Times New Roman"/>
          <w:color w:val="000000" w:themeColor="text1"/>
          <w:sz w:val="24"/>
          <w:szCs w:val="24"/>
        </w:rPr>
        <w:t>8663.</w:t>
      </w:r>
    </w:p>
    <w:p w:rsidR="004A0AA3" w:rsidRPr="004A0AA3" w:rsidRDefault="004A0AA3" w:rsidP="006D2EEC">
      <w:pPr>
        <w:pStyle w:val="ListParagraph"/>
        <w:tabs>
          <w:tab w:val="left" w:pos="540"/>
        </w:tabs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7E4" w:rsidRDefault="007677E4"/>
    <w:p w:rsidR="00644AFF" w:rsidRDefault="00644AFF"/>
    <w:p w:rsidR="00644AFF" w:rsidRDefault="00644AFF"/>
    <w:p w:rsidR="00644AFF" w:rsidRPr="00025315" w:rsidRDefault="00644AFF" w:rsidP="000253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4AFF" w:rsidRPr="00025315" w:rsidSect="004D33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6C6" w:rsidRDefault="00E776C6" w:rsidP="004556AD">
      <w:pPr>
        <w:spacing w:after="0" w:line="240" w:lineRule="auto"/>
      </w:pPr>
      <w:r>
        <w:separator/>
      </w:r>
    </w:p>
  </w:endnote>
  <w:endnote w:type="continuationSeparator" w:id="1">
    <w:p w:rsidR="00E776C6" w:rsidRDefault="00E776C6" w:rsidP="0045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7993"/>
      <w:docPartObj>
        <w:docPartGallery w:val="Page Numbers (Bottom of Page)"/>
        <w:docPartUnique/>
      </w:docPartObj>
    </w:sdtPr>
    <w:sdtContent>
      <w:p w:rsidR="004556AD" w:rsidRDefault="00433DA1">
        <w:pPr>
          <w:pStyle w:val="Footer"/>
          <w:jc w:val="center"/>
        </w:pPr>
        <w:fldSimple w:instr=" PAGE   \* MERGEFORMAT ">
          <w:r w:rsidR="00305822">
            <w:rPr>
              <w:noProof/>
            </w:rPr>
            <w:t>5</w:t>
          </w:r>
        </w:fldSimple>
      </w:p>
    </w:sdtContent>
  </w:sdt>
  <w:p w:rsidR="004556AD" w:rsidRDefault="004556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6C6" w:rsidRDefault="00E776C6" w:rsidP="004556AD">
      <w:pPr>
        <w:spacing w:after="0" w:line="240" w:lineRule="auto"/>
      </w:pPr>
      <w:r>
        <w:separator/>
      </w:r>
    </w:p>
  </w:footnote>
  <w:footnote w:type="continuationSeparator" w:id="1">
    <w:p w:rsidR="00E776C6" w:rsidRDefault="00E776C6" w:rsidP="0045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10E12"/>
    <w:multiLevelType w:val="hybridMultilevel"/>
    <w:tmpl w:val="290E47F8"/>
    <w:lvl w:ilvl="0" w:tplc="70668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7D5F"/>
    <w:multiLevelType w:val="hybridMultilevel"/>
    <w:tmpl w:val="89B69E9C"/>
    <w:lvl w:ilvl="0" w:tplc="2CF07E2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DcyNDUxNzeyNDc1MTNR0lEKTi0uzszPAymwqAUAmRiEJywAAAA="/>
  </w:docVars>
  <w:rsids>
    <w:rsidRoot w:val="006468CF"/>
    <w:rsid w:val="00023006"/>
    <w:rsid w:val="00025315"/>
    <w:rsid w:val="000C54CF"/>
    <w:rsid w:val="000D62FA"/>
    <w:rsid w:val="001A3679"/>
    <w:rsid w:val="001B5A63"/>
    <w:rsid w:val="001C66EF"/>
    <w:rsid w:val="002B3BE9"/>
    <w:rsid w:val="002C39B2"/>
    <w:rsid w:val="002E6990"/>
    <w:rsid w:val="00305822"/>
    <w:rsid w:val="00326168"/>
    <w:rsid w:val="003F48C3"/>
    <w:rsid w:val="00433DA1"/>
    <w:rsid w:val="004519B8"/>
    <w:rsid w:val="004556AD"/>
    <w:rsid w:val="004A0AA3"/>
    <w:rsid w:val="004D337E"/>
    <w:rsid w:val="00553304"/>
    <w:rsid w:val="0055762C"/>
    <w:rsid w:val="00614C46"/>
    <w:rsid w:val="00632A12"/>
    <w:rsid w:val="00644AFF"/>
    <w:rsid w:val="006468CF"/>
    <w:rsid w:val="00674369"/>
    <w:rsid w:val="006956E3"/>
    <w:rsid w:val="006D2EEC"/>
    <w:rsid w:val="006D4804"/>
    <w:rsid w:val="006F0DDC"/>
    <w:rsid w:val="0071290E"/>
    <w:rsid w:val="007677E4"/>
    <w:rsid w:val="007C6A5F"/>
    <w:rsid w:val="007D513D"/>
    <w:rsid w:val="0086485D"/>
    <w:rsid w:val="00906588"/>
    <w:rsid w:val="009D3C6D"/>
    <w:rsid w:val="00A84D0E"/>
    <w:rsid w:val="00A91D71"/>
    <w:rsid w:val="00AB28E0"/>
    <w:rsid w:val="00AC7A7D"/>
    <w:rsid w:val="00AE1598"/>
    <w:rsid w:val="00B10FDE"/>
    <w:rsid w:val="00B916D9"/>
    <w:rsid w:val="00BB4BF5"/>
    <w:rsid w:val="00C041F2"/>
    <w:rsid w:val="00C346D3"/>
    <w:rsid w:val="00C44759"/>
    <w:rsid w:val="00D06031"/>
    <w:rsid w:val="00D45B77"/>
    <w:rsid w:val="00DC7B66"/>
    <w:rsid w:val="00DE13F3"/>
    <w:rsid w:val="00E776C6"/>
    <w:rsid w:val="00EB4866"/>
    <w:rsid w:val="00EB5EA6"/>
    <w:rsid w:val="00EF6D20"/>
    <w:rsid w:val="00F4715D"/>
    <w:rsid w:val="00F95D24"/>
    <w:rsid w:val="00FA621F"/>
    <w:rsid w:val="00FB6F95"/>
    <w:rsid w:val="00FE433C"/>
    <w:rsid w:val="00FF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AA3"/>
    <w:pPr>
      <w:ind w:left="720"/>
      <w:contextualSpacing/>
    </w:pPr>
  </w:style>
  <w:style w:type="table" w:styleId="TableGrid">
    <w:name w:val="Table Grid"/>
    <w:basedOn w:val="TableNormal"/>
    <w:uiPriority w:val="59"/>
    <w:rsid w:val="00614C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6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5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6A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ganp</dc:creator>
  <cp:keywords/>
  <dc:description/>
  <cp:lastModifiedBy>Lab420</cp:lastModifiedBy>
  <cp:revision>38</cp:revision>
  <cp:lastPrinted>2018-06-03T05:40:00Z</cp:lastPrinted>
  <dcterms:created xsi:type="dcterms:W3CDTF">2018-06-02T18:29:00Z</dcterms:created>
  <dcterms:modified xsi:type="dcterms:W3CDTF">2019-11-25T04:47:00Z</dcterms:modified>
</cp:coreProperties>
</file>