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3C" w:rsidRPr="00F60253" w:rsidRDefault="00F8474D" w:rsidP="00F60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0253">
        <w:rPr>
          <w:rFonts w:ascii="Times New Roman" w:hAnsi="Times New Roman" w:cs="Times New Roman"/>
          <w:b/>
          <w:sz w:val="24"/>
          <w:szCs w:val="24"/>
        </w:rPr>
        <w:t>SUPPORTING INFORMATION</w:t>
      </w:r>
    </w:p>
    <w:p w:rsidR="001B4133" w:rsidRPr="00F60253" w:rsidRDefault="001B4133" w:rsidP="00F60253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253">
        <w:rPr>
          <w:rFonts w:ascii="Times New Roman" w:hAnsi="Times New Roman" w:cs="Times New Roman"/>
          <w:sz w:val="24"/>
          <w:szCs w:val="24"/>
        </w:rPr>
        <w:t>Preparation of glycine conjugated MTX (MTX-gly)</w:t>
      </w:r>
    </w:p>
    <w:p w:rsidR="001B4133" w:rsidRPr="00F60253" w:rsidRDefault="001B4133" w:rsidP="00F60253">
      <w:pPr>
        <w:spacing w:line="360" w:lineRule="auto"/>
        <w:ind w:left="-142" w:right="-188" w:firstLine="14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60253">
        <w:rPr>
          <w:rFonts w:ascii="Times New Roman" w:hAnsi="Times New Roman" w:cs="Times New Roman"/>
          <w:bCs/>
          <w:iCs/>
          <w:sz w:val="24"/>
          <w:szCs w:val="24"/>
        </w:rPr>
        <w:t>The glycine (20mg) was dispersed in 40ml buffer solution of pH-6.0. At same time, 20 mL of MTX solution (10</w:t>
      </w:r>
      <w:r w:rsidRPr="00F6025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-4</w:t>
      </w:r>
      <w:r w:rsidRPr="00F60253">
        <w:rPr>
          <w:rFonts w:ascii="Times New Roman" w:hAnsi="Times New Roman" w:cs="Times New Roman"/>
          <w:bCs/>
          <w:iCs/>
          <w:sz w:val="24"/>
          <w:szCs w:val="24"/>
        </w:rPr>
        <w:t xml:space="preserve">M) was activated by </w:t>
      </w:r>
      <w:r w:rsidR="00A04277" w:rsidRPr="00F60253">
        <w:rPr>
          <w:rFonts w:ascii="Times New Roman" w:hAnsi="Times New Roman" w:cs="Times New Roman"/>
          <w:bCs/>
          <w:iCs/>
          <w:sz w:val="24"/>
          <w:szCs w:val="24"/>
        </w:rPr>
        <w:t xml:space="preserve">adding </w:t>
      </w:r>
      <w:r w:rsidRPr="00F60253">
        <w:rPr>
          <w:rFonts w:ascii="Times New Roman" w:hAnsi="Times New Roman" w:cs="Times New Roman"/>
          <w:bCs/>
          <w:iCs/>
          <w:sz w:val="24"/>
          <w:szCs w:val="24"/>
        </w:rPr>
        <w:t>50.0mg of EDC at pH-6.0</w:t>
      </w:r>
      <w:r w:rsidR="00A04277" w:rsidRPr="00F60253">
        <w:rPr>
          <w:rFonts w:ascii="Times New Roman" w:hAnsi="Times New Roman" w:cs="Times New Roman"/>
          <w:bCs/>
          <w:iCs/>
          <w:sz w:val="24"/>
          <w:szCs w:val="24"/>
        </w:rPr>
        <w:t xml:space="preserve"> and the solution was kept stirring for 24h</w:t>
      </w:r>
      <w:r w:rsidRPr="00F60253">
        <w:rPr>
          <w:rFonts w:ascii="Times New Roman" w:hAnsi="Times New Roman" w:cs="Times New Roman"/>
          <w:bCs/>
          <w:iCs/>
          <w:sz w:val="24"/>
          <w:szCs w:val="24"/>
        </w:rPr>
        <w:t>. Then the activated MTX solution was added drop wise to the above glycine solution with constant stirring</w:t>
      </w:r>
      <w:r w:rsidR="00A04277" w:rsidRPr="00F6025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602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04277" w:rsidRPr="00F60253">
        <w:rPr>
          <w:rFonts w:ascii="Times New Roman" w:hAnsi="Times New Roman" w:cs="Times New Roman"/>
          <w:bCs/>
          <w:iCs/>
          <w:sz w:val="24"/>
          <w:szCs w:val="24"/>
        </w:rPr>
        <w:t>Then stirred</w:t>
      </w:r>
      <w:r w:rsidRPr="00F60253">
        <w:rPr>
          <w:rFonts w:ascii="Times New Roman" w:hAnsi="Times New Roman" w:cs="Times New Roman"/>
          <w:bCs/>
          <w:iCs/>
          <w:sz w:val="24"/>
          <w:szCs w:val="24"/>
        </w:rPr>
        <w:t xml:space="preserve"> continuous</w:t>
      </w:r>
      <w:r w:rsidR="00A04277" w:rsidRPr="00F60253">
        <w:rPr>
          <w:rFonts w:ascii="Times New Roman" w:hAnsi="Times New Roman" w:cs="Times New Roman"/>
          <w:bCs/>
          <w:iCs/>
          <w:sz w:val="24"/>
          <w:szCs w:val="24"/>
        </w:rPr>
        <w:t>ly</w:t>
      </w:r>
      <w:r w:rsidRPr="00F60253">
        <w:rPr>
          <w:rFonts w:ascii="Times New Roman" w:hAnsi="Times New Roman" w:cs="Times New Roman"/>
          <w:bCs/>
          <w:iCs/>
          <w:sz w:val="24"/>
          <w:szCs w:val="24"/>
        </w:rPr>
        <w:t xml:space="preserve"> for 3h at room temperature</w:t>
      </w:r>
      <w:r w:rsidR="00A04277" w:rsidRPr="00F60253">
        <w:rPr>
          <w:rFonts w:ascii="Times New Roman" w:hAnsi="Times New Roman" w:cs="Times New Roman"/>
          <w:bCs/>
          <w:iCs/>
          <w:sz w:val="24"/>
          <w:szCs w:val="24"/>
        </w:rPr>
        <w:t xml:space="preserve"> and the solution was kept for the next step.</w:t>
      </w:r>
    </w:p>
    <w:p w:rsidR="00866325" w:rsidRPr="00F60253" w:rsidRDefault="00AA41AD" w:rsidP="00F60253">
      <w:pPr>
        <w:spacing w:line="360" w:lineRule="auto"/>
        <w:ind w:left="-142" w:right="-188" w:firstLine="14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60253">
        <w:rPr>
          <w:rFonts w:ascii="Times New Roman" w:hAnsi="Times New Roman" w:cs="Times New Roman"/>
          <w:sz w:val="24"/>
          <w:szCs w:val="24"/>
        </w:rPr>
        <w:object w:dxaOrig="9471" w:dyaOrig="3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165pt" o:ole="">
            <v:imagedata r:id="rId5" o:title=""/>
          </v:shape>
          <o:OLEObject Type="Embed" ProgID="ACD.ChemSketch.20" ShapeID="_x0000_i1025" DrawAspect="Content" ObjectID="_1638969622" r:id="rId6"/>
        </w:object>
      </w:r>
    </w:p>
    <w:p w:rsidR="001B4133" w:rsidRPr="00F60253" w:rsidRDefault="00D02186" w:rsidP="00F60253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253">
        <w:rPr>
          <w:rFonts w:ascii="Times New Roman" w:hAnsi="Times New Roman" w:cs="Times New Roman"/>
          <w:b/>
          <w:sz w:val="24"/>
          <w:szCs w:val="24"/>
        </w:rPr>
        <w:t>Scheme S1</w:t>
      </w:r>
      <w:r w:rsidRPr="00F60253">
        <w:rPr>
          <w:rFonts w:ascii="Times New Roman" w:hAnsi="Times New Roman" w:cs="Times New Roman"/>
          <w:sz w:val="24"/>
          <w:szCs w:val="24"/>
        </w:rPr>
        <w:t xml:space="preserve"> Preparation of glycine conjugated MTX</w:t>
      </w:r>
    </w:p>
    <w:p w:rsidR="005E58E5" w:rsidRPr="00F60253" w:rsidRDefault="005E58E5" w:rsidP="00F60253">
      <w:pPr>
        <w:jc w:val="center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F60253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Table S1. Calculations of TGA mass loss and composition.</w:t>
      </w:r>
    </w:p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84"/>
        <w:gridCol w:w="6490"/>
      </w:tblGrid>
      <w:tr w:rsidR="005E58E5" w:rsidRPr="00F60253" w:rsidTr="005E58E5">
        <w:trPr>
          <w:jc w:val="center"/>
        </w:trPr>
        <w:tc>
          <w:tcPr>
            <w:tcW w:w="2284" w:type="dxa"/>
          </w:tcPr>
          <w:p w:rsidR="005E58E5" w:rsidRPr="00F60253" w:rsidRDefault="005E58E5" w:rsidP="00F60253">
            <w:pPr>
              <w:jc w:val="center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F6025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Composite</w:t>
            </w:r>
          </w:p>
        </w:tc>
        <w:tc>
          <w:tcPr>
            <w:tcW w:w="6490" w:type="dxa"/>
          </w:tcPr>
          <w:p w:rsidR="005E58E5" w:rsidRPr="00F60253" w:rsidRDefault="005E58E5" w:rsidP="00F60253">
            <w:pPr>
              <w:jc w:val="center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</w:pPr>
            <w:r w:rsidRPr="00F60253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eastAsia="zh-CN"/>
              </w:rPr>
              <w:t>Calculations</w:t>
            </w:r>
          </w:p>
        </w:tc>
      </w:tr>
      <w:tr w:rsidR="005E58E5" w:rsidRPr="00F60253" w:rsidTr="005E58E5">
        <w:trPr>
          <w:jc w:val="center"/>
        </w:trPr>
        <w:tc>
          <w:tcPr>
            <w:tcW w:w="2284" w:type="dxa"/>
          </w:tcPr>
          <w:p w:rsidR="005E58E5" w:rsidRPr="00F60253" w:rsidRDefault="005E58E5" w:rsidP="00F60253">
            <w:pPr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F60253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GO</w:t>
            </w:r>
          </w:p>
        </w:tc>
        <w:tc>
          <w:tcPr>
            <w:tcW w:w="6490" w:type="dxa"/>
          </w:tcPr>
          <w:p w:rsidR="005E58E5" w:rsidRPr="00F60253" w:rsidRDefault="005E58E5" w:rsidP="00F60253">
            <w:pPr>
              <w:pStyle w:val="ListParagraph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Mass remaining at 900 °C = 32%</w:t>
            </w:r>
          </w:p>
        </w:tc>
      </w:tr>
      <w:tr w:rsidR="005E58E5" w:rsidRPr="00F60253" w:rsidTr="005E58E5">
        <w:trPr>
          <w:jc w:val="center"/>
        </w:trPr>
        <w:tc>
          <w:tcPr>
            <w:tcW w:w="2284" w:type="dxa"/>
          </w:tcPr>
          <w:p w:rsidR="005E58E5" w:rsidRPr="00F60253" w:rsidRDefault="005E58E5" w:rsidP="00F60253">
            <w:pPr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F60253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GO-NH</w:t>
            </w:r>
            <w:r w:rsidRPr="00F60253">
              <w:rPr>
                <w:rFonts w:ascii="Times New Roman" w:eastAsia="SimSun" w:hAnsi="Times New Roman" w:cs="Times New Roman"/>
                <w:iCs/>
                <w:sz w:val="24"/>
                <w:szCs w:val="24"/>
                <w:vertAlign w:val="subscript"/>
                <w:lang w:eastAsia="zh-CN"/>
              </w:rPr>
              <w:t>2</w:t>
            </w:r>
          </w:p>
        </w:tc>
        <w:tc>
          <w:tcPr>
            <w:tcW w:w="6490" w:type="dxa"/>
          </w:tcPr>
          <w:p w:rsidR="005E58E5" w:rsidRPr="00F60253" w:rsidRDefault="005E58E5" w:rsidP="00F60253">
            <w:pPr>
              <w:pStyle w:val="ListParagraph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Mass remaining at 900 °C = 20.8%. All of this is GO.</w:t>
            </w:r>
          </w:p>
          <w:p w:rsidR="005E58E5" w:rsidRPr="00F60253" w:rsidRDefault="005E58E5" w:rsidP="00F60253">
            <w:pPr>
              <w:pStyle w:val="ListParagraph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Therefore, content of GO = 100 × 20.8/32 = 65 % w/w.</w:t>
            </w:r>
          </w:p>
          <w:p w:rsidR="005E58E5" w:rsidRPr="00F60253" w:rsidRDefault="005E58E5" w:rsidP="00F60253">
            <w:pPr>
              <w:pStyle w:val="ListParagraph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By difference, content of </w:t>
            </w:r>
            <w:r w:rsidR="008D3D9D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EDA unit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= 100 – 65 =35 % w/w</w:t>
            </w:r>
          </w:p>
        </w:tc>
      </w:tr>
      <w:tr w:rsidR="005E58E5" w:rsidRPr="00F60253" w:rsidTr="005E58E5">
        <w:trPr>
          <w:jc w:val="center"/>
        </w:trPr>
        <w:tc>
          <w:tcPr>
            <w:tcW w:w="2284" w:type="dxa"/>
          </w:tcPr>
          <w:p w:rsidR="005E58E5" w:rsidRPr="00F60253" w:rsidRDefault="005E58E5" w:rsidP="00F60253">
            <w:pPr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F60253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MTX- GO-NH</w:t>
            </w:r>
            <w:r w:rsidRPr="00F60253">
              <w:rPr>
                <w:rFonts w:ascii="Times New Roman" w:eastAsia="SimSun" w:hAnsi="Times New Roman" w:cs="Times New Roman"/>
                <w:iCs/>
                <w:sz w:val="24"/>
                <w:szCs w:val="24"/>
                <w:vertAlign w:val="subscript"/>
                <w:lang w:eastAsia="zh-CN"/>
              </w:rPr>
              <w:t>2</w:t>
            </w:r>
          </w:p>
        </w:tc>
        <w:tc>
          <w:tcPr>
            <w:tcW w:w="6490" w:type="dxa"/>
          </w:tcPr>
          <w:p w:rsidR="005E58E5" w:rsidRPr="00F60253" w:rsidRDefault="008D3D9D" w:rsidP="00F60253">
            <w:pPr>
              <w:pStyle w:val="ListParagraph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Mass remaining at 900 °C = 16</w:t>
            </w:r>
            <w:r w:rsidR="005E58E5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%. All of this is GO.</w:t>
            </w:r>
          </w:p>
          <w:p w:rsidR="005E58E5" w:rsidRPr="00F60253" w:rsidRDefault="005E58E5" w:rsidP="00F60253">
            <w:pPr>
              <w:pStyle w:val="ListParagraph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Therefore, content of GO = 100 × 1</w:t>
            </w:r>
            <w:r w:rsidR="008D3D9D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6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/</w:t>
            </w:r>
            <w:r w:rsidR="008D3D9D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3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 = 5</w:t>
            </w:r>
            <w:r w:rsidR="008D3D9D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0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% w/w</w:t>
            </w:r>
          </w:p>
          <w:p w:rsidR="005E58E5" w:rsidRPr="00F60253" w:rsidRDefault="005E58E5" w:rsidP="00F60253">
            <w:pPr>
              <w:pStyle w:val="ListParagraph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The ratio of GO:</w:t>
            </w:r>
            <w:r w:rsidR="008D3D9D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NH</w:t>
            </w:r>
            <w:r w:rsidR="008D3D9D" w:rsidRPr="00F60253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eastAsia="zh-CN"/>
              </w:rPr>
              <w:t>2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must be the same as in </w:t>
            </w:r>
            <w:r w:rsidR="008D3D9D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GO-NH</w:t>
            </w:r>
            <w:r w:rsidR="008D3D9D" w:rsidRPr="00F60253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eastAsia="zh-CN"/>
              </w:rPr>
              <w:t>2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, and thus content of </w:t>
            </w:r>
            <w:r w:rsidR="008D3D9D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EDA unit = 35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/</w:t>
            </w:r>
            <w:r w:rsidR="008D3D9D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6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5 × 5</w:t>
            </w:r>
            <w:r w:rsidR="008D3D9D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0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= </w:t>
            </w:r>
            <w:r w:rsidR="008D3D9D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26.9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% w/w</w:t>
            </w:r>
          </w:p>
          <w:p w:rsidR="005E58E5" w:rsidRPr="00F60253" w:rsidRDefault="005E58E5" w:rsidP="00F60253">
            <w:pPr>
              <w:pStyle w:val="ListParagraph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And by difference, content of </w:t>
            </w:r>
            <w:r w:rsidR="008D3D9D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gly-MTX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= 100 – 5</w:t>
            </w:r>
            <w:r w:rsidR="008D3D9D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0 – 26.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9 = </w:t>
            </w:r>
            <w:r w:rsidR="008D3D9D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23.1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% w/w</w:t>
            </w:r>
          </w:p>
        </w:tc>
      </w:tr>
      <w:tr w:rsidR="005E58E5" w:rsidRPr="00F60253" w:rsidTr="005E58E5">
        <w:trPr>
          <w:jc w:val="center"/>
        </w:trPr>
        <w:tc>
          <w:tcPr>
            <w:tcW w:w="2284" w:type="dxa"/>
          </w:tcPr>
          <w:p w:rsidR="005E58E5" w:rsidRPr="00F60253" w:rsidRDefault="005E58E5" w:rsidP="00645EEA">
            <w:pPr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</w:pPr>
            <w:r w:rsidRPr="00F60253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 xml:space="preserve">MTX- </w:t>
            </w:r>
            <w:proofErr w:type="spellStart"/>
            <w:r w:rsidRPr="00F60253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GO@</w:t>
            </w:r>
            <w:r w:rsidR="00645EEA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Gel</w:t>
            </w:r>
            <w:r w:rsidRPr="00F60253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zh-CN"/>
              </w:rPr>
              <w:t>-HA</w:t>
            </w:r>
            <w:proofErr w:type="spellEnd"/>
          </w:p>
        </w:tc>
        <w:tc>
          <w:tcPr>
            <w:tcW w:w="6490" w:type="dxa"/>
          </w:tcPr>
          <w:p w:rsidR="005E58E5" w:rsidRPr="00F60253" w:rsidRDefault="005E58E5" w:rsidP="00F60253">
            <w:pPr>
              <w:pStyle w:val="ListParagraph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Mass remaining at 900 °C = 1</w:t>
            </w:r>
            <w:r w:rsidR="008D3D9D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%. All of this is GO.</w:t>
            </w:r>
          </w:p>
          <w:p w:rsidR="005E58E5" w:rsidRPr="00F60253" w:rsidRDefault="005E58E5" w:rsidP="00F60253">
            <w:pPr>
              <w:pStyle w:val="ListParagraph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Content of GO = 100 × 1</w:t>
            </w:r>
            <w:r w:rsidR="008D3D9D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/</w:t>
            </w:r>
            <w:r w:rsidR="008D3D9D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3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 = 3</w:t>
            </w:r>
            <w:r w:rsidR="008D3D9D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4.3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8 % w/w</w:t>
            </w:r>
          </w:p>
          <w:p w:rsidR="005E58E5" w:rsidRPr="00F60253" w:rsidRDefault="005E58E5" w:rsidP="00F60253">
            <w:pPr>
              <w:pStyle w:val="ListParagraph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The ratio of </w:t>
            </w:r>
            <w:r w:rsidR="000F6317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GO:MTX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must be the same as in </w:t>
            </w:r>
            <w:r w:rsidR="000F6317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MTX- GO-NH</w:t>
            </w:r>
            <w:r w:rsidR="000F6317" w:rsidRPr="00F60253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eastAsia="zh-CN"/>
              </w:rPr>
              <w:t>2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, and  thus content of </w:t>
            </w:r>
            <w:r w:rsidR="000F6317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MTX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= </w:t>
            </w:r>
            <w:r w:rsidR="000F6317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23.1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/5</w:t>
            </w:r>
            <w:r w:rsidR="000F6317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0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×</w:t>
            </w:r>
            <w:r w:rsidR="000F6317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34.3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= </w:t>
            </w:r>
            <w:r w:rsidR="000F6317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15.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8 % w/w</w:t>
            </w:r>
          </w:p>
          <w:p w:rsidR="005E58E5" w:rsidRPr="00F60253" w:rsidRDefault="005E58E5" w:rsidP="00F60253">
            <w:pPr>
              <w:pStyle w:val="ListParagraph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And by diffe</w:t>
            </w:r>
            <w:r w:rsidR="00645EEA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rence, the content of Gel</w:t>
            </w:r>
            <w:r w:rsidR="000F6317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-HA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= 100 – 3</w:t>
            </w:r>
            <w:r w:rsidR="000F6317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4.3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– </w:t>
            </w:r>
            <w:r w:rsidR="000F6317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15.8 = 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4</w:t>
            </w:r>
            <w:r w:rsidR="000F6317"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9.9</w:t>
            </w:r>
            <w:r w:rsidRPr="00F60253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% w/w</w:t>
            </w:r>
          </w:p>
        </w:tc>
      </w:tr>
    </w:tbl>
    <w:p w:rsidR="00AC032E" w:rsidRPr="00F60253" w:rsidRDefault="00645EEA" w:rsidP="00F60253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0253">
        <w:rPr>
          <w:rFonts w:ascii="Times New Roman" w:hAnsi="Times New Roman" w:cs="Times New Roman"/>
          <w:sz w:val="24"/>
          <w:szCs w:val="24"/>
        </w:rPr>
        <w:object w:dxaOrig="6336" w:dyaOrig="4896">
          <v:shape id="_x0000_i1026" type="#_x0000_t75" style="width:264pt;height:204pt" o:ole="">
            <v:imagedata r:id="rId7" o:title=""/>
          </v:shape>
          <o:OLEObject Type="Embed" ProgID="Origin50.Graph" ShapeID="_x0000_i1026" DrawAspect="Content" ObjectID="_1638969623" r:id="rId8"/>
        </w:object>
      </w:r>
    </w:p>
    <w:p w:rsidR="007E5302" w:rsidRDefault="007E5302" w:rsidP="00F60253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0253">
        <w:rPr>
          <w:rFonts w:ascii="Times New Roman" w:hAnsi="Times New Roman" w:cs="Times New Roman"/>
          <w:sz w:val="24"/>
          <w:szCs w:val="24"/>
        </w:rPr>
        <w:t>Figure S</w:t>
      </w:r>
      <w:r w:rsidR="00F60253" w:rsidRPr="00F60253">
        <w:rPr>
          <w:rFonts w:ascii="Times New Roman" w:hAnsi="Times New Roman" w:cs="Times New Roman"/>
          <w:sz w:val="24"/>
          <w:szCs w:val="24"/>
        </w:rPr>
        <w:t>1</w:t>
      </w:r>
      <w:r w:rsidRPr="00F60253">
        <w:rPr>
          <w:rFonts w:ascii="Times New Roman" w:hAnsi="Times New Roman" w:cs="Times New Roman"/>
          <w:sz w:val="24"/>
          <w:szCs w:val="24"/>
        </w:rPr>
        <w:t>. Cell viability of Hela cell lines on different samples</w:t>
      </w:r>
    </w:p>
    <w:p w:rsidR="005E5A92" w:rsidRPr="004E504B" w:rsidRDefault="005E5A92" w:rsidP="005E5A92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504B">
        <w:rPr>
          <w:rFonts w:ascii="Times New Roman" w:hAnsi="Times New Roman" w:cs="Times New Roman"/>
          <w:sz w:val="24"/>
          <w:szCs w:val="24"/>
        </w:rPr>
        <w:t>.</w:t>
      </w:r>
    </w:p>
    <w:p w:rsidR="005E5A92" w:rsidRPr="004E504B" w:rsidRDefault="005E5A92" w:rsidP="005E5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5A92" w:rsidRPr="00F60253" w:rsidRDefault="005E5A92" w:rsidP="00F60253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5E5A92" w:rsidRPr="00F60253" w:rsidSect="00051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833"/>
    <w:multiLevelType w:val="multilevel"/>
    <w:tmpl w:val="031A38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4D"/>
    <w:rsid w:val="00051A3C"/>
    <w:rsid w:val="000F6317"/>
    <w:rsid w:val="001A1D31"/>
    <w:rsid w:val="001B4133"/>
    <w:rsid w:val="00252115"/>
    <w:rsid w:val="00292869"/>
    <w:rsid w:val="003062C9"/>
    <w:rsid w:val="003A1963"/>
    <w:rsid w:val="00501F9B"/>
    <w:rsid w:val="005419BD"/>
    <w:rsid w:val="005E58E5"/>
    <w:rsid w:val="005E5A92"/>
    <w:rsid w:val="00645EEA"/>
    <w:rsid w:val="006548E6"/>
    <w:rsid w:val="007E5302"/>
    <w:rsid w:val="00866325"/>
    <w:rsid w:val="008D3D9D"/>
    <w:rsid w:val="008E5AB2"/>
    <w:rsid w:val="00953865"/>
    <w:rsid w:val="00A04277"/>
    <w:rsid w:val="00A316CB"/>
    <w:rsid w:val="00AA41AD"/>
    <w:rsid w:val="00AC032E"/>
    <w:rsid w:val="00BB0910"/>
    <w:rsid w:val="00BF1A2F"/>
    <w:rsid w:val="00C845BE"/>
    <w:rsid w:val="00D02186"/>
    <w:rsid w:val="00D75778"/>
    <w:rsid w:val="00EA2EE2"/>
    <w:rsid w:val="00F04206"/>
    <w:rsid w:val="00F60253"/>
    <w:rsid w:val="00F8474D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ABEB5-FE80-4B68-8A34-9685C607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unhideWhenUsed/>
    <w:rsid w:val="005E58E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pacing w:after="160" w:line="259" w:lineRule="auto"/>
      <w:ind w:left="720"/>
      <w:contextualSpacing/>
      <w:jc w:val="both"/>
    </w:pPr>
    <w:rPr>
      <w:rFonts w:ascii="Calibri" w:eastAsia="SimSun" w:hAnsi="Calibri" w:cs="Malgun Gothic"/>
      <w:kern w:val="2"/>
      <w:sz w:val="21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Geethanjali D</cp:lastModifiedBy>
  <cp:revision>2</cp:revision>
  <dcterms:created xsi:type="dcterms:W3CDTF">2019-12-27T11:04:00Z</dcterms:created>
  <dcterms:modified xsi:type="dcterms:W3CDTF">2019-12-27T11:04:00Z</dcterms:modified>
</cp:coreProperties>
</file>