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AA10" w14:textId="5CC36F72" w:rsidR="00097BCE" w:rsidRPr="0070680C" w:rsidRDefault="00097BCE" w:rsidP="00CC75D8">
      <w:pPr>
        <w:rPr>
          <w:lang w:val="en-GB"/>
        </w:rPr>
      </w:pPr>
      <w:bookmarkStart w:id="0" w:name="_GoBack"/>
      <w:bookmarkEnd w:id="0"/>
      <w:r w:rsidRPr="0070680C">
        <w:rPr>
          <w:lang w:val="en-GB"/>
        </w:rPr>
        <w:t>Supplementary Table 1. Characteristics of the 43 clinical studies included in the analysis</w:t>
      </w:r>
    </w:p>
    <w:p w14:paraId="5D63E642" w14:textId="77777777" w:rsidR="0070680C" w:rsidRDefault="0070680C" w:rsidP="00CC75D8">
      <w:pPr>
        <w:rPr>
          <w:lang w:val="en-GB"/>
        </w:rPr>
      </w:pPr>
    </w:p>
    <w:p w14:paraId="05D54C14" w14:textId="77777777" w:rsidR="0070680C" w:rsidRPr="0070680C" w:rsidRDefault="0070680C" w:rsidP="00CC75D8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682"/>
        <w:gridCol w:w="1980"/>
        <w:gridCol w:w="1398"/>
        <w:gridCol w:w="923"/>
        <w:gridCol w:w="923"/>
        <w:gridCol w:w="1094"/>
        <w:gridCol w:w="1508"/>
        <w:gridCol w:w="2162"/>
      </w:tblGrid>
      <w:tr w:rsidR="0070680C" w:rsidRPr="0070680C" w14:paraId="3BDC952D" w14:textId="77777777" w:rsidTr="00E77471">
        <w:trPr>
          <w:trHeight w:val="864"/>
          <w:tblHeader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CC8AD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Study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78A0A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Label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877737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Study conducted in special population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96807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Study design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A367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Number of patients enrolled in the study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8045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Number of patients exposed to SMO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EA5A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  <w:t>Duration of the exposition to SMO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A9B62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  <w:t>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BE981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  <w:t>Number of adverse events reported</w:t>
            </w:r>
          </w:p>
        </w:tc>
      </w:tr>
      <w:tr w:rsidR="007E7948" w:rsidRPr="0070680C" w14:paraId="70D2DFC0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063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Abanades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2EA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L/M/H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79C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66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randomized, crossover,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7B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46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AAC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 x 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98C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40; 50; 60; 72 mg/kg unique 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9C8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 (Vomiting)</w:t>
            </w:r>
          </w:p>
        </w:tc>
      </w:tr>
      <w:tr w:rsidR="007E7948" w:rsidRPr="0070680C" w14:paraId="0BB7F7A9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A7D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Addolorato et al., 1996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36C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634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250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Open,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multicentric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C1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CB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901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79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0B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64 (Vertigo)</w:t>
            </w:r>
          </w:p>
        </w:tc>
      </w:tr>
      <w:tr w:rsidR="007E7948" w:rsidRPr="0070680C" w14:paraId="609C7B81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1C2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Addolorato et al., 1998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BE4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18C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80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8D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154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68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154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7F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16 weeks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F0C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50 mg/kg/day in three or six intakes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69B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1EB8248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E86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Addolorato et al., 1999a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B2A3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101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23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Randomized,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59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BD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804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10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768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4AB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 ( Drowsiness/Vertigo)</w:t>
            </w:r>
          </w:p>
        </w:tc>
      </w:tr>
      <w:tr w:rsidR="007E7948" w:rsidRPr="0070680C" w14:paraId="2AFB34DC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C20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Addolorato et al., 1999b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18B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D3E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DF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Longitudinal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583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1F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C8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200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73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FDD220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B624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Addolorato et al., 1999c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2ADD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4B6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C86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Case report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D50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B99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072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543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20 mg diazepam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A58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6A7AF4D7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025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Avanzi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1996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8C35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B54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CF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Longitudinal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40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756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20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B8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B6C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553E72D5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263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Barker et al., 2017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11F" w14:textId="794D25F6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BBB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(breastfeeding women)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AF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Case report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DE8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808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68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NA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E97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to 9g per night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40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33C316A5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7F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Borgen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2003 – Food study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9E3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5D0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F6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Randomized, open-label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D19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FE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6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5D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4.5g unique 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CF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86 (Not specified)</w:t>
            </w:r>
          </w:p>
        </w:tc>
      </w:tr>
      <w:tr w:rsidR="007E7948" w:rsidRPr="0070680C" w14:paraId="2E7CF996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E86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Borgen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2003 - Gender study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891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5D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06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Randomized, open-label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52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03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DD1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589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4.5g unique 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97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10 (Not specified)</w:t>
            </w:r>
          </w:p>
        </w:tc>
      </w:tr>
      <w:tr w:rsidR="007E7948" w:rsidRPr="0070680C" w14:paraId="33CDC10D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C18B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100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5CF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D2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1B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68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15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64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02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(Vertigo)</w:t>
            </w:r>
          </w:p>
        </w:tc>
      </w:tr>
      <w:tr w:rsidR="007E7948" w:rsidRPr="0070680C" w14:paraId="293A9CBC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1B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CE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551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516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A6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C5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7F8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A9B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C01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(Vertigo)</w:t>
            </w:r>
          </w:p>
        </w:tc>
      </w:tr>
      <w:tr w:rsidR="007E7948" w:rsidRPr="0070680C" w14:paraId="2AFCA2E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DD5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Caputo et al., 2009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D70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28F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75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54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FC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73C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891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113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magenta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3B8EA856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B87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66E" w14:textId="1FB651DF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VH DRL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br/>
              <w:t xml:space="preserve">+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polydrugs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addiction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226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users)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39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25E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9D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03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14E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52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magenta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(Vertigo)</w:t>
            </w:r>
          </w:p>
        </w:tc>
      </w:tr>
      <w:tr w:rsidR="007E7948" w:rsidRPr="0070680C" w14:paraId="63C3CB64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15F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A51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023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78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FA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95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5F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weeks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B90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D40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magenta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63EBF75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EE8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137A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br/>
              <w:t>+ psychiatric comorbidities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306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(patients with psychiatric comorbidities)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7D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1A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05B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2D7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weeks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A1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717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magenta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(Vertigo)</w:t>
            </w:r>
          </w:p>
        </w:tc>
      </w:tr>
      <w:tr w:rsidR="007E7948" w:rsidRPr="0070680C" w14:paraId="58363AFC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001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4EA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4D4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7F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9D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E02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CA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weeks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BE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2AA2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(Vertigo)</w:t>
            </w:r>
          </w:p>
        </w:tc>
      </w:tr>
      <w:tr w:rsidR="007E7948" w:rsidRPr="0070680C" w14:paraId="651AE55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4D1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Caputo et al., 2014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5A7" w14:textId="306F8EA3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br/>
              <w:t>+ psychiatric comorbidities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A55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(patients with psychiatric comorbidities)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A8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F0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DDE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616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weeks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D8B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C55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7E7948" w:rsidRPr="0070680C" w14:paraId="36B978EA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208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Ceccanti et al., 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4E34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C69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39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94C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2C3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57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10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B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C31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EC32BA6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2E4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Ceccanti et al., 1996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4C0E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638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6A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564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412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3AF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10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2DD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3A3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EECE64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1F4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Cibin &amp; Zavan, 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E87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C266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DE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55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B2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0E3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3.7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E73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41 mL/day (~720 mg/day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23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3 (Dizziness,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Cephelea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,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Mialgia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)</w:t>
            </w:r>
          </w:p>
        </w:tc>
      </w:tr>
      <w:tr w:rsidR="007E7948" w:rsidRPr="0070680C" w14:paraId="0331F9CC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466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 xml:space="preserve">Di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>bello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 xml:space="preserve"> et al., 1995 DB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6BE9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98D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01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8C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03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34A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1E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D1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Diziness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)</w:t>
            </w:r>
          </w:p>
        </w:tc>
      </w:tr>
      <w:tr w:rsidR="007E7948" w:rsidRPr="0070680C" w14:paraId="5DC04A61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D22" w14:textId="77777777" w:rsidR="0070680C" w:rsidRPr="00BF5234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it-IT" w:eastAsia="fr-FR"/>
              </w:rPr>
            </w:pPr>
            <w:r w:rsidRPr="00BF5234">
              <w:rPr>
                <w:rFonts w:eastAsia="Times New Roman"/>
                <w:color w:val="000000" w:themeColor="text1"/>
                <w:sz w:val="22"/>
                <w:szCs w:val="22"/>
                <w:lang w:val="it-IT" w:eastAsia="fr-FR"/>
              </w:rPr>
              <w:t>Di bello et al., 1995 Open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99C6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F1E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FB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43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AD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565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499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50-150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78A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(Diarrhoea)</w:t>
            </w:r>
          </w:p>
        </w:tc>
      </w:tr>
      <w:tr w:rsidR="007E7948" w:rsidRPr="0070680C" w14:paraId="738FF85B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AA8" w14:textId="77777777" w:rsidR="0070680C" w:rsidRPr="00BF5234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it-IT" w:eastAsia="fr-FR"/>
              </w:rPr>
            </w:pPr>
            <w:r w:rsidRPr="00BF5234">
              <w:rPr>
                <w:rFonts w:eastAsia="Times New Roman"/>
                <w:color w:val="000000" w:themeColor="text1"/>
                <w:sz w:val="22"/>
                <w:szCs w:val="22"/>
                <w:lang w:val="it-IT" w:eastAsia="fr-FR"/>
              </w:rPr>
              <w:t>Di bello et al., 1995 Open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CB1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AE1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F6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A4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D9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3A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DE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50-100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BC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20 (Not specified)</w:t>
            </w:r>
          </w:p>
        </w:tc>
      </w:tr>
      <w:tr w:rsidR="007E7948" w:rsidRPr="0070680C" w14:paraId="575BF095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DF5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Elsing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466E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CF7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CD0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8A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02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31E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26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30 mg/kg iv + 15 mg/kg iv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7C2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(Deep sedation + unconsciousness, Respiratory distress)</w:t>
            </w:r>
          </w:p>
        </w:tc>
      </w:tr>
      <w:tr w:rsidR="007E7948" w:rsidRPr="0070680C" w14:paraId="6233CECD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6D1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Ferrara et al.,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1992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AA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FA8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A6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BEB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EB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54A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DD3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>b.i.d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08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>4 (Drowsiness)</w:t>
            </w:r>
          </w:p>
        </w:tc>
      </w:tr>
      <w:tr w:rsidR="007E7948" w:rsidRPr="0070680C" w14:paraId="3F77DCB0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8CB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Ferrara et al., 1996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A47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83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(patients with hepatic impairment)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19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0D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7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D14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0A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25 mg/kg/day unique 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4BB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8 (Drowsiness +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Diziness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 + Nausea)</w:t>
            </w:r>
          </w:p>
        </w:tc>
      </w:tr>
      <w:tr w:rsidR="007E7948" w:rsidRPr="0070680C" w14:paraId="75D4E18D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5A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Gallimberti et al., 1989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0C5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32B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4C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0B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318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DED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B82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03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 (Dizziness)</w:t>
            </w:r>
          </w:p>
        </w:tc>
      </w:tr>
      <w:tr w:rsidR="007E7948" w:rsidRPr="0070680C" w14:paraId="7A45947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3F0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Gallimberti et al., 1992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F7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A0A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03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18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8D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AC6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84A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BC5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6 (4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Vertigo+Dizziness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, 2 Headache)</w:t>
            </w:r>
          </w:p>
        </w:tc>
      </w:tr>
      <w:tr w:rsidR="007E7948" w:rsidRPr="0070680C" w14:paraId="50644240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BC1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Gallimberti et al., 2000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8C25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49E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9F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7D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195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C95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138**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1E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NA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30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Up to 300 mg/kg/day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DF9C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215 (113 Vertigo, 41 Vomiting, 24 Diarrhoea 23 Nausea, 10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Bradypnea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, 2 Psychotic reaction, 2 Convulsive reaction)</w:t>
            </w:r>
          </w:p>
        </w:tc>
      </w:tr>
      <w:tr w:rsidR="007E7948" w:rsidRPr="0070680C" w14:paraId="0D51E47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6DDD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Gashlin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7E3E" w14:textId="4BE0C58F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EAE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breasfeeding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woman)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28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Case report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1E2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A8D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34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ED5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8 g per night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267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4393DD99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4A6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Korninger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6B9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8FE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F5C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964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299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45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299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98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1AA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F1E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8 (3 Nausea, 2 Dizziness, 1 Diarrhoea, 1 Unrest, 1 Feeling of heat</w:t>
            </w:r>
          </w:p>
        </w:tc>
      </w:tr>
      <w:tr w:rsidR="007E7948" w:rsidRPr="0070680C" w14:paraId="491C942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E2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Manzato et al., 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2C5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8E3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ECF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FD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E3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46C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Up to 90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D5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7-17.5g/day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F3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33203569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D90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Maremmani et al., 2001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B9E2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F48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E2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4A0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8C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EB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B1A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25-100 mg/kg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B6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02A5C11B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9A5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Mattila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1978 – Study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AA3E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C43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A6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cross-over, diazepam and placebo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6C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6F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2B5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7C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 g unique dose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0E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3B5764FD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C91B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Mattila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1978 – Study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F4D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9A2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D56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Double-blind, cross-over, diazepam and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placebo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35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6A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640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 x 2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668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1g/2g/1g + alcohol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0E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48A309BF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23E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lastRenderedPageBreak/>
              <w:t>Moncini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 xml:space="preserve"> et al., 2000 Double-Blind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051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DB5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8EB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A1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8A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F9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17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3FD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(Dizziness)</w:t>
            </w:r>
          </w:p>
        </w:tc>
      </w:tr>
      <w:tr w:rsidR="007E7948" w:rsidRPr="0070680C" w14:paraId="0C7819D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F8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Moncini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2000 Open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217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A7D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AF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0DB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F0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DA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493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50-150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668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(Diarrhoea)</w:t>
            </w:r>
          </w:p>
        </w:tc>
      </w:tr>
      <w:tr w:rsidR="007E7948" w:rsidRPr="0070680C" w14:paraId="1DC80097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992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Moncini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2000 Open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D4B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656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4BB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1B1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3D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3B4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A6A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50-100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336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20 (Not specified)</w:t>
            </w:r>
          </w:p>
        </w:tc>
      </w:tr>
      <w:tr w:rsidR="007E7948" w:rsidRPr="0070680C" w14:paraId="57D59CD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23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Montesano et al., 1997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962C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EFA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39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CCC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225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503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3-6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98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0.88-3.5g/day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38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74E0DD4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487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Mosti &amp;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Zurla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, 1995 – Arm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DC0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3F5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D33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53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3C3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F32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9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06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1.75g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BDD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671DEAEC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621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Mosti &amp;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Zurla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, 1995 – Arm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64D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3A9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6A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3A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13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F61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9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B8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1.75g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q.i.d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66B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3D9F2A3B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B85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Mosti &amp;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Zurla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, 1995 – Arm 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37D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A8C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65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72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58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D72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D17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4.2g/day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9B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A6C6C63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7B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Nava et al., 2006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EA0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89A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CB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Open, 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60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553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24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5F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96B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(Not specified)</w:t>
            </w:r>
          </w:p>
        </w:tc>
      </w:tr>
      <w:tr w:rsidR="007E7948" w:rsidRPr="0070680C" w14:paraId="2EDA3F67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D63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Nava et al., 2007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0403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D8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46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Open,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3E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89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0D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21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FE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q.i.d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B1F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71A27EA6" w14:textId="77777777" w:rsidTr="00E77471">
        <w:trPr>
          <w:trHeight w:val="288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F10C3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Nava et al., 2017 – AWS</w:t>
            </w:r>
          </w:p>
          <w:p w14:paraId="0DF2C11D" w14:textId="77777777" w:rsidR="0070680C" w:rsidRPr="0070680C" w:rsidRDefault="0070680C" w:rsidP="00E77471">
            <w:pPr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38D2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AE7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E2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7B7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820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60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41.3 days (± 28.4)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DA2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77.1mg/kg/day (± 14.5)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F9FE6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64 (Not specified)</w:t>
            </w:r>
          </w:p>
        </w:tc>
      </w:tr>
      <w:tr w:rsidR="007E7948" w:rsidRPr="0070680C" w14:paraId="64A52A5F" w14:textId="77777777" w:rsidTr="00E77471">
        <w:trPr>
          <w:trHeight w:val="288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AB75" w14:textId="77777777" w:rsidR="0070680C" w:rsidRPr="0070680C" w:rsidRDefault="0070680C" w:rsidP="00E77471">
            <w:pPr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5270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  <w:p w14:paraId="1B166F9A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+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polydrugs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addiction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3A6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users)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BA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A6F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E64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205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F8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41.3 days (± 28.4)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33E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77.1mg/kg/day (± 14.5)</w:t>
            </w:r>
          </w:p>
        </w:tc>
        <w:tc>
          <w:tcPr>
            <w:tcW w:w="7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048C9" w14:textId="77777777" w:rsidR="0070680C" w:rsidRPr="0070680C" w:rsidRDefault="0070680C" w:rsidP="00E7747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7E7948" w:rsidRPr="0070680C" w14:paraId="45D372F9" w14:textId="77777777" w:rsidTr="00E77471">
        <w:trPr>
          <w:trHeight w:val="288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952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0D77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  <w:p w14:paraId="33CF5D6E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+ psychiatric comorbidities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1E9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(patients with psychiatric comorbidities)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08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D72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0D2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131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28B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41.3 days (± 28.4)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10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77.1mg/kg/day (± 14.5)</w:t>
            </w:r>
          </w:p>
        </w:tc>
        <w:tc>
          <w:tcPr>
            <w:tcW w:w="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9F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7E7948" w:rsidRPr="0070680C" w14:paraId="09B4EFA4" w14:textId="77777777" w:rsidTr="00E77471">
        <w:trPr>
          <w:trHeight w:val="288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902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Nava et al., 2017 –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MoA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E06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589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5E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F7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AF8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B2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218.4 (± 283.3)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4D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76.1 mg/kg/day </w:t>
            </w: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>(± 26.4)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C95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>None</w:t>
            </w:r>
          </w:p>
        </w:tc>
      </w:tr>
      <w:tr w:rsidR="007E7948" w:rsidRPr="0070680C" w14:paraId="107BE51C" w14:textId="77777777" w:rsidTr="00E77471">
        <w:trPr>
          <w:trHeight w:val="288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22AB" w14:textId="77777777" w:rsidR="0070680C" w:rsidRPr="0070680C" w:rsidRDefault="0070680C" w:rsidP="00E77471">
            <w:pPr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EDE4" w14:textId="77777777" w:rsidR="0070680C" w:rsidRPr="0070680C" w:rsidRDefault="0070680C" w:rsidP="00E77471">
            <w:pPr>
              <w:suppressAutoHyphens w:val="0"/>
              <w:autoSpaceDN/>
              <w:ind w:left="-305"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VH DRL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br/>
              <w:t xml:space="preserve">+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polydrugs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addiction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E95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polydrug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users)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951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F7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A6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88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1CB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218.4 (± 283.3)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39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76.1 mg/kg/day (± 26.4)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F22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0C407077" w14:textId="77777777" w:rsidTr="00E77471">
        <w:trPr>
          <w:trHeight w:val="288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3B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514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br/>
              <w:t>+ psychiatric comorbidities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EC9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Yes (patients with psychiatric comorbidities)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6C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Retrospective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6C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D1A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ED5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218.4 (± 283.3)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48D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76.1 mg/kg/day (± 26.4)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91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2D89B36B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3C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>Nimmerrichter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 xml:space="preserve"> et al., 2002 – 50 mg/kg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B649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EBC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D2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Double-blind,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clomethiazole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01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0EB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8C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7E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50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q.i.d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005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22 (17 Vertigo, 1 Nausea, 4 Diarrhoea)</w:t>
            </w:r>
          </w:p>
        </w:tc>
      </w:tr>
      <w:tr w:rsidR="007E7948" w:rsidRPr="0070680C" w14:paraId="6E0FAFA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0FD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>Nimmerrichter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fr-FR" w:eastAsia="fr-FR"/>
              </w:rPr>
              <w:t xml:space="preserve"> et al., 2002 – 100 mg/kg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778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EAD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93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Double-blind,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clomethiazole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controlled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68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98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6D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43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90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100 mg/kg/day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q.i.d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D8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37 (32 Vertigo, 1 Seizure, 2 Nausea, 2 Diarrhoea)</w:t>
            </w:r>
          </w:p>
        </w:tc>
      </w:tr>
      <w:tr w:rsidR="007E7948" w:rsidRPr="0070680C" w14:paraId="46EF339E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2F9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Oliveto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2010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4AB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917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92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Double-blind, crossover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2B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41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21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8 x 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F9B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0; 0.32; 0.56; 0.75; 1.0; 1.8; 2.4; 3.2g/70kg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595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73396136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144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Palatini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1993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AFC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D3F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E4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Crossover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93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1B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37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3 x 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BDE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12.5 ; 25 and 50 mg/kg in one intake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316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19 (Dizziness: 3 with 12.5mg/kg; 8 with 25 mg/kg and 8 with 50 mg/kg)</w:t>
            </w:r>
          </w:p>
        </w:tc>
      </w:tr>
      <w:tr w:rsidR="007E7948" w:rsidRPr="0070680C" w14:paraId="015458C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86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Stella et al., 2008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C7D4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EA7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73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27F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48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668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0*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27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6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00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CFD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NA</w:t>
            </w:r>
          </w:p>
        </w:tc>
      </w:tr>
      <w:tr w:rsidR="007E7948" w:rsidRPr="0070680C" w14:paraId="3AB721FF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D8A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Strepparola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06A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VH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EA3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7B0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Open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09D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A87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20B4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Up to 9 months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740F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0EA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7D3C39DB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05FC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Thai et al., 2006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5FEC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HV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D69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AC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Randomized, double-blind, 4-arm crossover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44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E33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9E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x 1 day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397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50 mg/kg in one intake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D45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2 (1 Vomiting, 1 Hypotension)</w:t>
            </w:r>
          </w:p>
        </w:tc>
      </w:tr>
      <w:tr w:rsidR="007E7948" w:rsidRPr="0070680C" w14:paraId="2E01C933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843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Vendramin and </w:t>
            </w: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Bertuola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, 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3601" w14:textId="77777777" w:rsidR="0070680C" w:rsidRPr="0070680C" w:rsidRDefault="0070680C" w:rsidP="00E77471">
            <w:pPr>
              <w:ind w:left="-305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78A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35A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EC7C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FD08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E74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B0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NR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DF2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None</w:t>
            </w:r>
          </w:p>
        </w:tc>
      </w:tr>
      <w:tr w:rsidR="007E7948" w:rsidRPr="0070680C" w14:paraId="784F4F42" w14:textId="77777777" w:rsidTr="00E77471">
        <w:trPr>
          <w:trHeight w:val="28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A6B" w14:textId="77777777" w:rsidR="0070680C" w:rsidRPr="0070680C" w:rsidRDefault="0070680C" w:rsidP="00E77471">
            <w:pPr>
              <w:suppressAutoHyphens w:val="0"/>
              <w:autoSpaceDN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proofErr w:type="spellStart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Zolesi</w:t>
            </w:r>
            <w:proofErr w:type="spellEnd"/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 et al.,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1995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9E2" w14:textId="77777777" w:rsidR="0070680C" w:rsidRPr="0070680C" w:rsidRDefault="0070680C" w:rsidP="00E77471">
            <w:pPr>
              <w:ind w:left="-305"/>
              <w:jc w:val="center"/>
              <w:rPr>
                <w:color w:val="000000" w:themeColor="text1"/>
                <w:lang w:val="en-GB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Unknown DRL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5A16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 xml:space="preserve">Yes (6 patients with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craving for heroin)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8EB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 xml:space="preserve">Open/Case </w:t>
            </w: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report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A91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lastRenderedPageBreak/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2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 w:themeColor="text1"/>
                <w:sz w:val="22"/>
                <w:szCs w:val="22"/>
                <w:lang w:val="en-GB" w:eastAsia="fr-FR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48FE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 xml:space="preserve">Up to 175 </w:t>
            </w: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>days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06B9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 xml:space="preserve">2.63 – </w:t>
            </w: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 xml:space="preserve">10.5g/day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t.i.d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C7DD" w14:textId="77777777" w:rsidR="0070680C" w:rsidRPr="0070680C" w:rsidRDefault="0070680C" w:rsidP="00E77471">
            <w:pPr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 xml:space="preserve">21 (13 Vertigo, 7 </w:t>
            </w:r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lastRenderedPageBreak/>
              <w:t xml:space="preserve">Drowsiness, 1 </w:t>
            </w:r>
            <w:proofErr w:type="spellStart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Hyperammonaemia</w:t>
            </w:r>
            <w:proofErr w:type="spellEnd"/>
            <w:r w:rsidRPr="0070680C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)</w:t>
            </w:r>
          </w:p>
        </w:tc>
      </w:tr>
    </w:tbl>
    <w:p w14:paraId="1A304ED4" w14:textId="50A50AEC" w:rsidR="0070680C" w:rsidRPr="0070680C" w:rsidRDefault="0070680C" w:rsidP="00CC75D8">
      <w:pPr>
        <w:rPr>
          <w:sz w:val="20"/>
          <w:lang w:val="en-GB"/>
        </w:rPr>
      </w:pPr>
      <w:r w:rsidRPr="0070680C">
        <w:rPr>
          <w:sz w:val="20"/>
          <w:lang w:val="en-GB"/>
        </w:rPr>
        <w:lastRenderedPageBreak/>
        <w:t>DRL: Drinking Risk Level; L: Low; M: Medium; H: High; VH: Very High</w:t>
      </w:r>
    </w:p>
    <w:p w14:paraId="66A0D9F2" w14:textId="43D60D6D" w:rsidR="0070680C" w:rsidRPr="0070680C" w:rsidRDefault="0070680C" w:rsidP="00CC75D8">
      <w:pPr>
        <w:rPr>
          <w:sz w:val="20"/>
          <w:lang w:val="en-GB"/>
        </w:rPr>
      </w:pPr>
      <w:r w:rsidRPr="0070680C">
        <w:rPr>
          <w:sz w:val="20"/>
          <w:lang w:val="en-GB"/>
        </w:rPr>
        <w:t>HV: healthy volunteers</w:t>
      </w:r>
    </w:p>
    <w:p w14:paraId="08248052" w14:textId="77777777" w:rsidR="0070680C" w:rsidRDefault="00D8135C" w:rsidP="00CC75D8">
      <w:pPr>
        <w:rPr>
          <w:sz w:val="20"/>
          <w:lang w:val="en-GB"/>
        </w:rPr>
      </w:pPr>
      <w:r w:rsidRPr="0070680C">
        <w:rPr>
          <w:sz w:val="20"/>
          <w:lang w:val="en-GB"/>
        </w:rPr>
        <w:t xml:space="preserve">AWS: Alcohol Withdrawal Syndrome; </w:t>
      </w:r>
      <w:proofErr w:type="spellStart"/>
      <w:r w:rsidR="0070680C">
        <w:rPr>
          <w:sz w:val="20"/>
          <w:lang w:val="en-GB"/>
        </w:rPr>
        <w:t>MoA</w:t>
      </w:r>
      <w:proofErr w:type="spellEnd"/>
      <w:r w:rsidR="0070680C">
        <w:rPr>
          <w:sz w:val="20"/>
          <w:lang w:val="en-GB"/>
        </w:rPr>
        <w:t>: Maintenance of Abstinence;</w:t>
      </w:r>
    </w:p>
    <w:p w14:paraId="14DC2F65" w14:textId="0907D040" w:rsidR="0070680C" w:rsidRDefault="0070680C" w:rsidP="00CC75D8">
      <w:pPr>
        <w:rPr>
          <w:sz w:val="20"/>
          <w:lang w:val="en-GB"/>
        </w:rPr>
      </w:pPr>
      <w:proofErr w:type="spellStart"/>
      <w:r>
        <w:rPr>
          <w:sz w:val="20"/>
          <w:lang w:val="en-GB"/>
        </w:rPr>
        <w:t>b.i.d</w:t>
      </w:r>
      <w:proofErr w:type="spellEnd"/>
      <w:r>
        <w:rPr>
          <w:sz w:val="20"/>
          <w:lang w:val="en-GB"/>
        </w:rPr>
        <w:t xml:space="preserve">.: </w:t>
      </w:r>
      <w:r w:rsidR="00D8135C" w:rsidRPr="0070680C">
        <w:rPr>
          <w:sz w:val="20"/>
          <w:lang w:val="en-GB"/>
        </w:rPr>
        <w:t xml:space="preserve">twice a day; </w:t>
      </w:r>
      <w:proofErr w:type="spellStart"/>
      <w:r w:rsidR="00D8135C" w:rsidRPr="0070680C">
        <w:rPr>
          <w:sz w:val="20"/>
          <w:lang w:val="en-GB"/>
        </w:rPr>
        <w:t>t.i.d</w:t>
      </w:r>
      <w:proofErr w:type="spellEnd"/>
      <w:r w:rsidR="00D8135C" w:rsidRPr="0070680C">
        <w:rPr>
          <w:sz w:val="20"/>
          <w:lang w:val="en-GB"/>
        </w:rPr>
        <w:t xml:space="preserve">.: three times a day; </w:t>
      </w:r>
      <w:proofErr w:type="spellStart"/>
      <w:r w:rsidR="00D8135C" w:rsidRPr="0070680C">
        <w:rPr>
          <w:sz w:val="20"/>
          <w:lang w:val="en-GB"/>
        </w:rPr>
        <w:t>q.i.d</w:t>
      </w:r>
      <w:proofErr w:type="spellEnd"/>
      <w:r w:rsidR="00D8135C" w:rsidRPr="0070680C">
        <w:rPr>
          <w:sz w:val="20"/>
          <w:lang w:val="en-GB"/>
        </w:rPr>
        <w:t>.: four times a day;</w:t>
      </w:r>
    </w:p>
    <w:p w14:paraId="1A96C4A9" w14:textId="5E12FC92" w:rsidR="00CC75D8" w:rsidRPr="0070680C" w:rsidRDefault="00D8135C" w:rsidP="00CC75D8">
      <w:pPr>
        <w:rPr>
          <w:sz w:val="20"/>
          <w:lang w:val="en-GB"/>
        </w:rPr>
      </w:pPr>
      <w:r w:rsidRPr="0070680C">
        <w:rPr>
          <w:sz w:val="20"/>
          <w:lang w:val="en-GB"/>
        </w:rPr>
        <w:t>NR: Not reported; NA: Not assessable</w:t>
      </w:r>
    </w:p>
    <w:p w14:paraId="25034643" w14:textId="1E29F1D2" w:rsidR="00CC75D8" w:rsidRPr="0070680C" w:rsidRDefault="00682903" w:rsidP="00682903">
      <w:pPr>
        <w:rPr>
          <w:sz w:val="20"/>
          <w:lang w:val="en-GB"/>
        </w:rPr>
      </w:pPr>
      <w:r w:rsidRPr="0070680C">
        <w:rPr>
          <w:color w:val="000000" w:themeColor="text1"/>
          <w:sz w:val="20"/>
        </w:rPr>
        <w:t xml:space="preserve">Combined data from </w:t>
      </w:r>
      <w:r w:rsidRPr="0070680C">
        <w:rPr>
          <w:rFonts w:eastAsia="Calibri"/>
          <w:color w:val="000000" w:themeColor="text1"/>
          <w:sz w:val="20"/>
        </w:rPr>
        <w:t>[</w:t>
      </w:r>
      <w:r w:rsidR="002119F1" w:rsidRPr="0070680C">
        <w:rPr>
          <w:color w:val="000000" w:themeColor="text1"/>
          <w:sz w:val="20"/>
        </w:rPr>
        <w:t>21 - 53, 55 - 62, 64, 65</w:t>
      </w:r>
      <w:r w:rsidRPr="0070680C">
        <w:rPr>
          <w:rFonts w:eastAsia="Calibri"/>
          <w:color w:val="000000" w:themeColor="text1"/>
          <w:sz w:val="20"/>
        </w:rPr>
        <w:t>]</w:t>
      </w:r>
    </w:p>
    <w:p w14:paraId="09AB3B08" w14:textId="77777777" w:rsidR="001D5D39" w:rsidRPr="0070680C" w:rsidRDefault="001D5D39">
      <w:pPr>
        <w:rPr>
          <w:lang w:val="en-GB"/>
        </w:rPr>
      </w:pPr>
    </w:p>
    <w:sectPr w:rsidR="001D5D39" w:rsidRPr="0070680C" w:rsidSect="008438FE">
      <w:pgSz w:w="16838" w:h="11906" w:orient="landscape"/>
      <w:pgMar w:top="5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CE64" w14:textId="77777777" w:rsidR="00F80999" w:rsidRDefault="00F80999" w:rsidP="008438FE">
      <w:r>
        <w:separator/>
      </w:r>
    </w:p>
  </w:endnote>
  <w:endnote w:type="continuationSeparator" w:id="0">
    <w:p w14:paraId="1D5421B2" w14:textId="77777777" w:rsidR="00F80999" w:rsidRDefault="00F80999" w:rsidP="008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225E2" w14:textId="77777777" w:rsidR="00F80999" w:rsidRDefault="00F80999" w:rsidP="008438FE">
      <w:r>
        <w:separator/>
      </w:r>
    </w:p>
  </w:footnote>
  <w:footnote w:type="continuationSeparator" w:id="0">
    <w:p w14:paraId="4F23511F" w14:textId="77777777" w:rsidR="00F80999" w:rsidRDefault="00F80999" w:rsidP="0084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8"/>
    <w:rsid w:val="00051509"/>
    <w:rsid w:val="000776BD"/>
    <w:rsid w:val="00097BCE"/>
    <w:rsid w:val="000D43B0"/>
    <w:rsid w:val="000F1EF3"/>
    <w:rsid w:val="000F25F5"/>
    <w:rsid w:val="00106FBC"/>
    <w:rsid w:val="0012335A"/>
    <w:rsid w:val="001D523B"/>
    <w:rsid w:val="001D5D39"/>
    <w:rsid w:val="002119F1"/>
    <w:rsid w:val="00260F2E"/>
    <w:rsid w:val="002A38E9"/>
    <w:rsid w:val="002A6DFA"/>
    <w:rsid w:val="002D1295"/>
    <w:rsid w:val="002F552E"/>
    <w:rsid w:val="00307C54"/>
    <w:rsid w:val="0040633A"/>
    <w:rsid w:val="004B7884"/>
    <w:rsid w:val="004E174F"/>
    <w:rsid w:val="005C1327"/>
    <w:rsid w:val="005F420A"/>
    <w:rsid w:val="0060126D"/>
    <w:rsid w:val="00607552"/>
    <w:rsid w:val="006165BF"/>
    <w:rsid w:val="00626B29"/>
    <w:rsid w:val="00682903"/>
    <w:rsid w:val="006E285A"/>
    <w:rsid w:val="0070680C"/>
    <w:rsid w:val="00717F4C"/>
    <w:rsid w:val="007D6ACE"/>
    <w:rsid w:val="007E7948"/>
    <w:rsid w:val="007F3525"/>
    <w:rsid w:val="008438FE"/>
    <w:rsid w:val="0087007E"/>
    <w:rsid w:val="00875178"/>
    <w:rsid w:val="008F6FE0"/>
    <w:rsid w:val="009030A7"/>
    <w:rsid w:val="009174DA"/>
    <w:rsid w:val="0095376F"/>
    <w:rsid w:val="009A1BC3"/>
    <w:rsid w:val="00A05A77"/>
    <w:rsid w:val="00A14774"/>
    <w:rsid w:val="00A36DC1"/>
    <w:rsid w:val="00A57409"/>
    <w:rsid w:val="00A823B1"/>
    <w:rsid w:val="00A845A8"/>
    <w:rsid w:val="00AA78AA"/>
    <w:rsid w:val="00AD101B"/>
    <w:rsid w:val="00B00BB6"/>
    <w:rsid w:val="00B916A9"/>
    <w:rsid w:val="00BF5234"/>
    <w:rsid w:val="00C06100"/>
    <w:rsid w:val="00C37FE2"/>
    <w:rsid w:val="00CA08F2"/>
    <w:rsid w:val="00CC75D8"/>
    <w:rsid w:val="00D14996"/>
    <w:rsid w:val="00D2526E"/>
    <w:rsid w:val="00D26C91"/>
    <w:rsid w:val="00D46C72"/>
    <w:rsid w:val="00D772ED"/>
    <w:rsid w:val="00D8135C"/>
    <w:rsid w:val="00DB42CC"/>
    <w:rsid w:val="00E0339E"/>
    <w:rsid w:val="00E13A9F"/>
    <w:rsid w:val="00E65C1D"/>
    <w:rsid w:val="00E84B69"/>
    <w:rsid w:val="00E84D13"/>
    <w:rsid w:val="00EA084A"/>
    <w:rsid w:val="00EE2F87"/>
    <w:rsid w:val="00F34345"/>
    <w:rsid w:val="00F72BCA"/>
    <w:rsid w:val="00F80999"/>
    <w:rsid w:val="00FC34AC"/>
    <w:rsid w:val="00FE645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5D8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FE2"/>
    <w:pPr>
      <w:keepNext/>
      <w:keepLines/>
      <w:suppressAutoHyphens w:val="0"/>
      <w:autoSpaceDN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equestion">
    <w:name w:val="N° de question"/>
    <w:basedOn w:val="Titolo3"/>
    <w:link w:val="NdequestionCar"/>
    <w:qFormat/>
    <w:rsid w:val="00C37FE2"/>
    <w:pPr>
      <w:keepNext w:val="0"/>
      <w:keepLines w:val="0"/>
      <w:spacing w:before="0" w:line="276" w:lineRule="auto"/>
      <w:ind w:left="1276" w:hanging="1276"/>
      <w:jc w:val="both"/>
    </w:pPr>
    <w:rPr>
      <w:rFonts w:ascii="Times New Roman" w:eastAsia="Calibri" w:hAnsi="Times New Roman" w:cs="Times New Roman"/>
      <w:color w:val="FFFFFF" w:themeColor="background1"/>
      <w:sz w:val="12"/>
      <w:szCs w:val="12"/>
      <w:lang w:val="en-US"/>
    </w:rPr>
  </w:style>
  <w:style w:type="character" w:customStyle="1" w:styleId="NdequestionCar">
    <w:name w:val="N° de question Car"/>
    <w:basedOn w:val="Titolo3Carattere"/>
    <w:link w:val="Ndequestion"/>
    <w:rsid w:val="00C37FE2"/>
    <w:rPr>
      <w:rFonts w:ascii="Times New Roman" w:eastAsia="Calibri" w:hAnsi="Times New Roman" w:cs="Times New Roman"/>
      <w:color w:val="FFFFFF" w:themeColor="background1"/>
      <w:sz w:val="12"/>
      <w:szCs w:val="1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75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03"/>
    <w:rPr>
      <w:rFonts w:ascii="Segoe UI" w:eastAsia="MS Mincho" w:hAnsi="Segoe UI" w:cs="Segoe UI"/>
      <w:sz w:val="18"/>
      <w:szCs w:val="18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438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F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438F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F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5D8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FE2"/>
    <w:pPr>
      <w:keepNext/>
      <w:keepLines/>
      <w:suppressAutoHyphens w:val="0"/>
      <w:autoSpaceDN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equestion">
    <w:name w:val="N° de question"/>
    <w:basedOn w:val="Titolo3"/>
    <w:link w:val="NdequestionCar"/>
    <w:qFormat/>
    <w:rsid w:val="00C37FE2"/>
    <w:pPr>
      <w:keepNext w:val="0"/>
      <w:keepLines w:val="0"/>
      <w:spacing w:before="0" w:line="276" w:lineRule="auto"/>
      <w:ind w:left="1276" w:hanging="1276"/>
      <w:jc w:val="both"/>
    </w:pPr>
    <w:rPr>
      <w:rFonts w:ascii="Times New Roman" w:eastAsia="Calibri" w:hAnsi="Times New Roman" w:cs="Times New Roman"/>
      <w:color w:val="FFFFFF" w:themeColor="background1"/>
      <w:sz w:val="12"/>
      <w:szCs w:val="12"/>
      <w:lang w:val="en-US"/>
    </w:rPr>
  </w:style>
  <w:style w:type="character" w:customStyle="1" w:styleId="NdequestionCar">
    <w:name w:val="N° de question Car"/>
    <w:basedOn w:val="Titolo3Carattere"/>
    <w:link w:val="Ndequestion"/>
    <w:rsid w:val="00C37FE2"/>
    <w:rPr>
      <w:rFonts w:ascii="Times New Roman" w:eastAsia="Calibri" w:hAnsi="Times New Roman" w:cs="Times New Roman"/>
      <w:color w:val="FFFFFF" w:themeColor="background1"/>
      <w:sz w:val="12"/>
      <w:szCs w:val="1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75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03"/>
    <w:rPr>
      <w:rFonts w:ascii="Segoe UI" w:eastAsia="MS Mincho" w:hAnsi="Segoe UI" w:cs="Segoe UI"/>
      <w:sz w:val="18"/>
      <w:szCs w:val="18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438F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8F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438F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8F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RAFFAILLAC DESFOSSE Quentin</dc:creator>
  <cp:lastModifiedBy>Giovanni Addolorato, MD</cp:lastModifiedBy>
  <cp:revision>2</cp:revision>
  <cp:lastPrinted>2019-06-26T14:00:00Z</cp:lastPrinted>
  <dcterms:created xsi:type="dcterms:W3CDTF">2019-07-30T07:41:00Z</dcterms:created>
  <dcterms:modified xsi:type="dcterms:W3CDTF">2019-07-30T07:41:00Z</dcterms:modified>
</cp:coreProperties>
</file>