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1C" w:rsidRDefault="002C5899">
      <w:pPr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SUPPLEMMENTARY FIGURES</w:t>
      </w:r>
      <w:r w:rsidR="00386D4D">
        <w:rPr>
          <w:rFonts w:ascii="Helvetica" w:hAnsi="Helvetica"/>
          <w:b/>
          <w:lang w:val="en-US"/>
        </w:rPr>
        <w:t>:</w:t>
      </w:r>
    </w:p>
    <w:p w:rsidR="00386D4D" w:rsidRPr="00386D4D" w:rsidRDefault="00386D4D">
      <w:pPr>
        <w:rPr>
          <w:rFonts w:ascii="Helvetica" w:hAnsi="Helvetica"/>
          <w:b/>
          <w:lang w:val="en-US"/>
        </w:rPr>
      </w:pPr>
    </w:p>
    <w:p w:rsidR="00386D4D" w:rsidRDefault="00C74C99" w:rsidP="00386D4D">
      <w:pPr>
        <w:spacing w:line="276" w:lineRule="auto"/>
        <w:jc w:val="both"/>
        <w:rPr>
          <w:rFonts w:ascii="Helvetica" w:hAnsi="Helvetica" w:cs="Times New Roman"/>
          <w:b/>
          <w:bCs/>
          <w:lang w:val="en-GB"/>
        </w:rPr>
      </w:pPr>
      <w:r>
        <w:rPr>
          <w:rFonts w:ascii="Helvetica" w:hAnsi="Helvetica" w:cs="Times New Roman"/>
          <w:b/>
          <w:bCs/>
          <w:noProof/>
          <w:lang w:val="en-GB"/>
        </w:rPr>
        <w:drawing>
          <wp:inline distT="0" distB="0" distL="0" distR="0">
            <wp:extent cx="2324100" cy="2959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e-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99" w:rsidRDefault="00C74C99" w:rsidP="00386D4D">
      <w:pPr>
        <w:spacing w:line="276" w:lineRule="auto"/>
        <w:jc w:val="both"/>
        <w:rPr>
          <w:rFonts w:ascii="Helvetica" w:hAnsi="Helvetica" w:cs="Times New Roman"/>
          <w:b/>
          <w:bCs/>
          <w:lang w:val="en-GB"/>
        </w:rPr>
      </w:pPr>
    </w:p>
    <w:p w:rsidR="00386D4D" w:rsidRDefault="00386D4D" w:rsidP="00386D4D">
      <w:pPr>
        <w:spacing w:line="276" w:lineRule="auto"/>
        <w:jc w:val="both"/>
        <w:rPr>
          <w:rFonts w:ascii="Helvetica" w:hAnsi="Helvetica" w:cs="Times New Roman"/>
          <w:lang w:val="en-GB"/>
        </w:rPr>
      </w:pPr>
      <w:r>
        <w:rPr>
          <w:rFonts w:ascii="Helvetica" w:hAnsi="Helvetica" w:cs="Times New Roman"/>
          <w:b/>
          <w:bCs/>
          <w:lang w:val="en-GB"/>
        </w:rPr>
        <w:t>Figure e-</w:t>
      </w:r>
      <w:r w:rsidRPr="00B337CC">
        <w:rPr>
          <w:rFonts w:ascii="Helvetica" w:hAnsi="Helvetica" w:cs="Times New Roman"/>
          <w:b/>
          <w:bCs/>
          <w:lang w:val="en-GB"/>
        </w:rPr>
        <w:t xml:space="preserve">1. </w:t>
      </w:r>
      <w:r w:rsidRPr="00B337CC">
        <w:rPr>
          <w:rFonts w:ascii="Helvetica" w:hAnsi="Helvetica" w:cs="Times New Roman"/>
          <w:lang w:val="en-GB"/>
        </w:rPr>
        <w:t>Neurofilament Light Chain (</w:t>
      </w:r>
      <w:proofErr w:type="spellStart"/>
      <w:r w:rsidRPr="00B337CC">
        <w:rPr>
          <w:rFonts w:ascii="Helvetica" w:hAnsi="Helvetica" w:cs="Times New Roman"/>
          <w:lang w:val="en-GB"/>
        </w:rPr>
        <w:t>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) plasma levels are elevated in symptomatic </w:t>
      </w:r>
      <w:r>
        <w:rPr>
          <w:rFonts w:ascii="Helvetica" w:hAnsi="Helvetica" w:cs="Times New Roman"/>
          <w:lang w:val="en-GB"/>
        </w:rPr>
        <w:t>ATTR-V30M</w:t>
      </w:r>
      <w:r w:rsidRPr="00B337CC">
        <w:rPr>
          <w:rFonts w:ascii="Helvetica" w:hAnsi="Helvetica" w:cs="Times New Roman"/>
          <w:lang w:val="en-GB"/>
        </w:rPr>
        <w:t xml:space="preserve"> patients from cohort #2. </w:t>
      </w:r>
      <w:proofErr w:type="spellStart"/>
      <w:r w:rsidRPr="00B337CC">
        <w:rPr>
          <w:rFonts w:ascii="Helvetica" w:hAnsi="Helvetica" w:cs="Times New Roman"/>
          <w:lang w:val="en-GB"/>
        </w:rPr>
        <w:t>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levels exhibited a significant linear trend with disease progression assessed with PND score: F </w:t>
      </w:r>
      <w:r w:rsidRPr="00B337CC">
        <w:rPr>
          <w:rFonts w:ascii="Helvetica" w:hAnsi="Helvetica" w:cs="Times New Roman"/>
          <w:vertAlign w:val="subscript"/>
          <w:lang w:val="en-GB"/>
        </w:rPr>
        <w:t xml:space="preserve">2,15 </w:t>
      </w:r>
      <w:r w:rsidRPr="00B337CC">
        <w:rPr>
          <w:rFonts w:ascii="Helvetica" w:hAnsi="Helvetica" w:cs="Times New Roman"/>
          <w:lang w:val="en-GB"/>
        </w:rPr>
        <w:t xml:space="preserve">= 5.2 (p&lt;0.05). </w:t>
      </w:r>
      <w:proofErr w:type="spellStart"/>
      <w:r>
        <w:rPr>
          <w:rFonts w:ascii="Helvetica" w:hAnsi="Helvetica" w:cs="Times New Roman"/>
          <w:lang w:val="en-GB"/>
        </w:rPr>
        <w:t>PNfL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levels were significantly increased between early symptomatic patients (</w:t>
      </w:r>
      <w:r>
        <w:rPr>
          <w:rFonts w:ascii="Helvetica" w:hAnsi="Helvetica" w:cs="Times New Roman"/>
          <w:lang w:val="en-GB"/>
        </w:rPr>
        <w:t>PND I</w:t>
      </w:r>
      <w:r w:rsidRPr="00B337CC">
        <w:rPr>
          <w:rFonts w:ascii="Helvetica" w:hAnsi="Helvetica" w:cs="Times New Roman"/>
          <w:lang w:val="en-GB"/>
        </w:rPr>
        <w:t>) compared with more severely affected patients (</w:t>
      </w:r>
      <w:r>
        <w:rPr>
          <w:rFonts w:ascii="Helvetica" w:hAnsi="Helvetica" w:cs="Times New Roman"/>
          <w:lang w:val="en-GB"/>
        </w:rPr>
        <w:t>PND IV</w:t>
      </w:r>
      <w:r w:rsidRPr="00B337CC">
        <w:rPr>
          <w:rFonts w:ascii="Helvetica" w:hAnsi="Helvetica" w:cs="Times New Roman"/>
          <w:lang w:val="en-GB"/>
        </w:rPr>
        <w:t xml:space="preserve">). Bonferroni’s post hoc test for multiple comparisons were used to compare all </w:t>
      </w:r>
      <w:r>
        <w:rPr>
          <w:rFonts w:ascii="Helvetica" w:hAnsi="Helvetica" w:cs="Times New Roman"/>
          <w:lang w:val="en-GB"/>
        </w:rPr>
        <w:t>ATTR-V30M</w:t>
      </w:r>
      <w:r w:rsidRPr="00B337CC">
        <w:rPr>
          <w:rFonts w:ascii="Helvetica" w:hAnsi="Helvetica" w:cs="Times New Roman"/>
          <w:lang w:val="en-GB"/>
        </w:rPr>
        <w:t xml:space="preserve"> patient groups. </w:t>
      </w:r>
      <w:r>
        <w:rPr>
          <w:rFonts w:ascii="Helvetica" w:hAnsi="Helvetica" w:cs="Times New Roman"/>
          <w:lang w:val="en-GB"/>
        </w:rPr>
        <w:t>In PND</w:t>
      </w:r>
      <w:r w:rsidRPr="00B337CC">
        <w:rPr>
          <w:rFonts w:ascii="Helvetica" w:hAnsi="Helvetica" w:cs="Times New Roman"/>
          <w:lang w:val="en-GB"/>
        </w:rPr>
        <w:t xml:space="preserve"> </w:t>
      </w:r>
      <w:r>
        <w:rPr>
          <w:rFonts w:ascii="Helvetica" w:hAnsi="Helvetica" w:cs="Times New Roman"/>
          <w:lang w:val="en-GB"/>
        </w:rPr>
        <w:t xml:space="preserve">II-III full </w:t>
      </w:r>
      <w:r w:rsidR="00057DF6">
        <w:rPr>
          <w:rFonts w:ascii="Helvetica" w:hAnsi="Helvetica" w:cs="Times New Roman"/>
          <w:lang w:val="en-GB"/>
        </w:rPr>
        <w:t>diamond</w:t>
      </w:r>
      <w:r>
        <w:rPr>
          <w:rFonts w:ascii="Helvetica" w:hAnsi="Helvetica" w:cs="Times New Roman"/>
          <w:lang w:val="en-GB"/>
        </w:rPr>
        <w:t xml:space="preserve"> are patients with a PND score of III. </w:t>
      </w:r>
      <w:r w:rsidRPr="00B337CC">
        <w:rPr>
          <w:rFonts w:ascii="Helvetica" w:hAnsi="Helvetica" w:cs="Times New Roman"/>
          <w:lang w:val="en-GB"/>
        </w:rPr>
        <w:t>All data are represented as group means ± SD. *P &lt; 0.05.</w:t>
      </w:r>
    </w:p>
    <w:p w:rsidR="00386D4D" w:rsidRDefault="00386D4D" w:rsidP="00386D4D">
      <w:pPr>
        <w:spacing w:line="276" w:lineRule="auto"/>
        <w:jc w:val="both"/>
        <w:rPr>
          <w:rFonts w:ascii="Helvetica" w:hAnsi="Helvetica" w:cs="Times New Roman"/>
          <w:lang w:val="en-GB"/>
        </w:rPr>
      </w:pPr>
    </w:p>
    <w:p w:rsidR="00386D4D" w:rsidRDefault="00386D4D" w:rsidP="00386D4D">
      <w:pPr>
        <w:spacing w:line="276" w:lineRule="auto"/>
        <w:jc w:val="both"/>
        <w:rPr>
          <w:rFonts w:ascii="Helvetica" w:hAnsi="Helvetica" w:cs="Times New Roman"/>
          <w:lang w:val="en-GB"/>
        </w:rPr>
      </w:pPr>
    </w:p>
    <w:p w:rsidR="00386D4D" w:rsidRDefault="00386D4D" w:rsidP="00386D4D">
      <w:pPr>
        <w:spacing w:line="276" w:lineRule="auto"/>
        <w:jc w:val="both"/>
        <w:rPr>
          <w:rFonts w:ascii="Helvetica" w:hAnsi="Helvetica" w:cs="Times New Roman"/>
          <w:lang w:val="en-GB"/>
        </w:rPr>
      </w:pPr>
      <w:r w:rsidRPr="008358BF">
        <w:rPr>
          <w:rFonts w:ascii="Helvetica" w:hAnsi="Helvetica" w:cs="Times New Roman"/>
          <w:noProof/>
          <w:lang w:eastAsia="pt-PT"/>
        </w:rPr>
        <w:drawing>
          <wp:inline distT="0" distB="0" distL="0" distR="0" wp14:anchorId="4C58A355" wp14:editId="7F7EC8D8">
            <wp:extent cx="5396230" cy="2069465"/>
            <wp:effectExtent l="0" t="0" r="127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4D" w:rsidRPr="00B337CC" w:rsidRDefault="00386D4D" w:rsidP="00386D4D">
      <w:pPr>
        <w:spacing w:line="276" w:lineRule="auto"/>
        <w:jc w:val="both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b/>
          <w:bCs/>
          <w:lang w:val="en-GB"/>
        </w:rPr>
        <w:t>Figure e-</w:t>
      </w:r>
      <w:r w:rsidRPr="00B337CC">
        <w:rPr>
          <w:rFonts w:ascii="Helvetica" w:hAnsi="Helvetica" w:cs="Times New Roman"/>
          <w:b/>
          <w:bCs/>
          <w:lang w:val="en-GB"/>
        </w:rPr>
        <w:t>2.</w:t>
      </w:r>
      <w:r w:rsidRPr="00B337CC">
        <w:rPr>
          <w:rFonts w:ascii="Helvetica" w:hAnsi="Helvetica" w:cs="Times New Roman"/>
          <w:lang w:val="en-GB"/>
        </w:rPr>
        <w:t xml:space="preserve"> </w:t>
      </w:r>
      <w:proofErr w:type="spellStart"/>
      <w:r>
        <w:rPr>
          <w:rFonts w:ascii="Helvetica" w:hAnsi="Helvetica" w:cs="Times New Roman"/>
          <w:lang w:val="en-GB"/>
        </w:rPr>
        <w:t>PNfL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and disease severity </w:t>
      </w:r>
      <w:r>
        <w:rPr>
          <w:rFonts w:ascii="Helvetica" w:hAnsi="Helvetica" w:cs="Times New Roman"/>
          <w:lang w:val="en-GB"/>
        </w:rPr>
        <w:t>ATTR-V30M</w:t>
      </w:r>
      <w:r w:rsidRPr="00B337CC">
        <w:rPr>
          <w:rFonts w:ascii="Helvetica" w:hAnsi="Helvetica" w:cs="Times New Roman"/>
          <w:lang w:val="en-GB"/>
        </w:rPr>
        <w:t xml:space="preserve"> patients from cohort #2. (A) Disease severity as assessed by the PND score (I-IV) correlated positively and significantly with </w:t>
      </w:r>
      <w:proofErr w:type="spellStart"/>
      <w:r>
        <w:rPr>
          <w:rFonts w:ascii="Helvetica" w:hAnsi="Helvetica" w:cs="Times New Roman"/>
          <w:lang w:val="en-GB"/>
        </w:rPr>
        <w:t>pNfL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levels. (B) Disease duration and </w:t>
      </w:r>
      <w:proofErr w:type="spellStart"/>
      <w:r>
        <w:rPr>
          <w:rFonts w:ascii="Helvetica" w:hAnsi="Helvetica" w:cs="Times New Roman"/>
          <w:lang w:val="en-GB"/>
        </w:rPr>
        <w:t>pNfL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did not </w:t>
      </w:r>
      <w:r>
        <w:rPr>
          <w:rFonts w:ascii="Helvetica" w:hAnsi="Helvetica" w:cs="Times New Roman"/>
          <w:lang w:val="en-GB"/>
        </w:rPr>
        <w:t>show</w:t>
      </w:r>
      <w:r w:rsidRPr="00B337CC">
        <w:rPr>
          <w:rFonts w:ascii="Helvetica" w:hAnsi="Helvetica" w:cs="Times New Roman"/>
          <w:lang w:val="en-GB"/>
        </w:rPr>
        <w:t xml:space="preserve"> a significant positive correlation. </w:t>
      </w:r>
      <w:proofErr w:type="spellStart"/>
      <w:r w:rsidRPr="00B337CC">
        <w:rPr>
          <w:rFonts w:ascii="Helvetica" w:hAnsi="Helvetica" w:cs="Times New Roman"/>
          <w:lang w:val="en-GB"/>
        </w:rPr>
        <w:t>r</w:t>
      </w:r>
      <w:r w:rsidRPr="00B337CC">
        <w:rPr>
          <w:rFonts w:ascii="Helvetica" w:hAnsi="Helvetica" w:cs="Times New Roman"/>
          <w:vertAlign w:val="subscript"/>
          <w:lang w:val="en-GB"/>
        </w:rPr>
        <w:t>s</w:t>
      </w:r>
      <w:proofErr w:type="spellEnd"/>
      <w:r w:rsidRPr="00B337CC">
        <w:rPr>
          <w:rFonts w:ascii="Helvetica" w:hAnsi="Helvetica" w:cs="Times New Roman"/>
          <w:lang w:val="en-GB"/>
        </w:rPr>
        <w:t xml:space="preserve"> = Spearman correlation coefficient; Dashed lines represent the 95% CI.</w:t>
      </w:r>
    </w:p>
    <w:p w:rsidR="00386D4D" w:rsidRDefault="00386D4D" w:rsidP="00386D4D">
      <w:pPr>
        <w:rPr>
          <w:rFonts w:ascii="Helvetica" w:hAnsi="Helvetica" w:cs="Times New Roman"/>
          <w:lang w:val="en-US"/>
        </w:rPr>
      </w:pPr>
    </w:p>
    <w:p w:rsidR="00386D4D" w:rsidRDefault="00386D4D" w:rsidP="00386D4D">
      <w:pPr>
        <w:spacing w:line="276" w:lineRule="auto"/>
        <w:jc w:val="both"/>
        <w:rPr>
          <w:rFonts w:ascii="Helvetica" w:hAnsi="Helvetica" w:cs="Times New Roman"/>
          <w:b/>
          <w:bCs/>
          <w:lang w:val="en-GB"/>
        </w:rPr>
      </w:pPr>
      <w:r w:rsidRPr="008358BF">
        <w:rPr>
          <w:rFonts w:ascii="Helvetica" w:hAnsi="Helvetica" w:cs="Times New Roman"/>
          <w:b/>
          <w:bCs/>
          <w:noProof/>
          <w:lang w:eastAsia="pt-PT"/>
        </w:rPr>
        <w:drawing>
          <wp:inline distT="0" distB="0" distL="0" distR="0" wp14:anchorId="3DEC05EC" wp14:editId="22AC0787">
            <wp:extent cx="5396230" cy="1686560"/>
            <wp:effectExtent l="0" t="0" r="127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99" w:rsidRDefault="00C74C99" w:rsidP="00386D4D">
      <w:pPr>
        <w:spacing w:line="276" w:lineRule="auto"/>
        <w:jc w:val="both"/>
        <w:rPr>
          <w:rFonts w:ascii="Helvetica" w:hAnsi="Helvetica" w:cs="Times New Roman"/>
          <w:b/>
          <w:bCs/>
          <w:lang w:val="en-GB"/>
        </w:rPr>
      </w:pPr>
    </w:p>
    <w:p w:rsidR="00386D4D" w:rsidRPr="00B337CC" w:rsidRDefault="00386D4D" w:rsidP="00386D4D">
      <w:pPr>
        <w:spacing w:line="276" w:lineRule="auto"/>
        <w:jc w:val="both"/>
        <w:rPr>
          <w:rFonts w:ascii="Helvetica" w:hAnsi="Helvetica" w:cs="Times New Roman"/>
          <w:lang w:val="en-US"/>
        </w:rPr>
      </w:pPr>
      <w:r>
        <w:rPr>
          <w:rFonts w:ascii="Helvetica" w:hAnsi="Helvetica" w:cs="Times New Roman"/>
          <w:b/>
          <w:bCs/>
          <w:lang w:val="en-GB"/>
        </w:rPr>
        <w:t>Figure e-</w:t>
      </w:r>
      <w:r w:rsidRPr="00B337CC">
        <w:rPr>
          <w:rFonts w:ascii="Helvetica" w:hAnsi="Helvetica" w:cs="Times New Roman"/>
          <w:b/>
          <w:bCs/>
          <w:lang w:val="en-GB"/>
        </w:rPr>
        <w:t xml:space="preserve">3. </w:t>
      </w:r>
      <w:r w:rsidRPr="00B337CC">
        <w:rPr>
          <w:rFonts w:ascii="Helvetica" w:hAnsi="Helvetica" w:cs="Times New Roman"/>
          <w:lang w:val="en-GB"/>
        </w:rPr>
        <w:t xml:space="preserve">Receiver operating characteristics (ROCs) of </w:t>
      </w:r>
      <w:proofErr w:type="spellStart"/>
      <w:r w:rsidRPr="00B337CC">
        <w:rPr>
          <w:rFonts w:ascii="Helvetica" w:hAnsi="Helvetica" w:cs="Times New Roman"/>
          <w:lang w:val="en-GB"/>
        </w:rPr>
        <w:t>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levels for </w:t>
      </w:r>
      <w:r>
        <w:rPr>
          <w:rFonts w:ascii="Helvetica" w:hAnsi="Helvetica" w:cs="Times New Roman"/>
          <w:lang w:val="en-GB"/>
        </w:rPr>
        <w:t>ATTR-V30M</w:t>
      </w:r>
      <w:r w:rsidRPr="00B337CC">
        <w:rPr>
          <w:rFonts w:ascii="Helvetica" w:hAnsi="Helvetica" w:cs="Times New Roman"/>
          <w:lang w:val="en-GB"/>
        </w:rPr>
        <w:t xml:space="preserve"> patients from cohort #2</w:t>
      </w:r>
      <w:r>
        <w:rPr>
          <w:rFonts w:ascii="Helvetica" w:hAnsi="Helvetica" w:cs="Times New Roman"/>
          <w:lang w:val="en-GB"/>
        </w:rPr>
        <w:t xml:space="preserve"> </w:t>
      </w:r>
      <w:r w:rsidRPr="00B337CC">
        <w:rPr>
          <w:rFonts w:ascii="Helvetica" w:hAnsi="Helvetica" w:cs="Times New Roman"/>
          <w:lang w:val="en-GB"/>
        </w:rPr>
        <w:t xml:space="preserve">illustrating the sensitivity and the specificity </w:t>
      </w:r>
      <w:proofErr w:type="spellStart"/>
      <w:r>
        <w:rPr>
          <w:rFonts w:ascii="Helvetica" w:hAnsi="Helvetica" w:cs="Times New Roman"/>
          <w:lang w:val="en-GB"/>
        </w:rPr>
        <w:t>pNfL</w:t>
      </w:r>
      <w:proofErr w:type="spellEnd"/>
      <w:r w:rsidRPr="00B337CC">
        <w:rPr>
          <w:rFonts w:ascii="Helvetica" w:hAnsi="Helvetica" w:cs="Times New Roman"/>
          <w:lang w:val="en-GB"/>
        </w:rPr>
        <w:t xml:space="preserve"> in differentiating patients at different disease stages. (A) PND I versus PND II, III and IV. (B) PND I versus PND II and III. (C) PND II and III versus PND IV. AUC = area under the curve. </w:t>
      </w:r>
    </w:p>
    <w:p w:rsidR="00386D4D" w:rsidRPr="00386D4D" w:rsidRDefault="00386D4D">
      <w:pPr>
        <w:rPr>
          <w:lang w:val="en-US"/>
        </w:rPr>
      </w:pPr>
      <w:bookmarkStart w:id="0" w:name="_GoBack"/>
      <w:bookmarkEnd w:id="0"/>
    </w:p>
    <w:sectPr w:rsidR="00386D4D" w:rsidRPr="00386D4D" w:rsidSect="00AE7482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4D"/>
    <w:rsid w:val="00057DF6"/>
    <w:rsid w:val="002C5899"/>
    <w:rsid w:val="00353ACF"/>
    <w:rsid w:val="003739ED"/>
    <w:rsid w:val="00386D4D"/>
    <w:rsid w:val="00543E5C"/>
    <w:rsid w:val="00761296"/>
    <w:rsid w:val="007C5D4B"/>
    <w:rsid w:val="00896694"/>
    <w:rsid w:val="00A5179B"/>
    <w:rsid w:val="00AE7482"/>
    <w:rsid w:val="00C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7D8B"/>
  <w15:chartTrackingRefBased/>
  <w15:docId w15:val="{34EF5FA6-8A4F-B444-BF41-89C637E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990</Characters>
  <Application>Microsoft Office Word</Application>
  <DocSecurity>0</DocSecurity>
  <Lines>330</Lines>
  <Paragraphs>333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3</cp:revision>
  <dcterms:created xsi:type="dcterms:W3CDTF">2019-11-06T12:31:00Z</dcterms:created>
  <dcterms:modified xsi:type="dcterms:W3CDTF">2019-11-06T12:32:00Z</dcterms:modified>
</cp:coreProperties>
</file>