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BF" w:rsidRPr="00A272BF" w:rsidRDefault="00A272BF" w:rsidP="00A272BF">
      <w:pPr>
        <w:widowControl w:val="0"/>
        <w:adjustRightInd/>
        <w:snapToGrid/>
        <w:spacing w:after="0" w:line="480" w:lineRule="auto"/>
        <w:jc w:val="center"/>
        <w:rPr>
          <w:rFonts w:ascii="Times New Roman" w:eastAsia="AdvGulliv-R" w:hAnsi="Times New Roman" w:cs="Times New Roman"/>
          <w:b/>
          <w:kern w:val="2"/>
          <w:sz w:val="28"/>
          <w:szCs w:val="28"/>
        </w:rPr>
      </w:pPr>
      <w:r w:rsidRPr="00A272BF">
        <w:rPr>
          <w:rFonts w:ascii="Times New Roman" w:eastAsia="AdvGulliv-R" w:hAnsi="Times New Roman" w:cs="Times New Roman"/>
          <w:b/>
          <w:kern w:val="2"/>
          <w:sz w:val="28"/>
          <w:szCs w:val="28"/>
        </w:rPr>
        <w:t>Supplementary Material</w:t>
      </w:r>
    </w:p>
    <w:p w:rsidR="00A272BF" w:rsidRDefault="00A272BF" w:rsidP="00A272BF">
      <w:pPr>
        <w:adjustRightInd/>
        <w:snapToGrid/>
        <w:spacing w:after="0" w:line="480" w:lineRule="auto"/>
        <w:jc w:val="both"/>
        <w:rPr>
          <w:rFonts w:ascii="Times New Roman" w:eastAsiaTheme="minorEastAsia" w:hAnsi="Times New Roman" w:cs="Times New Roman"/>
          <w:b/>
          <w:kern w:val="2"/>
          <w:sz w:val="24"/>
          <w:szCs w:val="24"/>
        </w:rPr>
      </w:pPr>
      <w:bookmarkStart w:id="0" w:name="_GoBack"/>
      <w:bookmarkEnd w:id="0"/>
    </w:p>
    <w:p w:rsidR="00A272BF" w:rsidRPr="00A272BF" w:rsidRDefault="00A272BF" w:rsidP="00A272BF">
      <w:pPr>
        <w:adjustRightInd/>
        <w:snapToGrid/>
        <w:spacing w:after="0" w:line="480" w:lineRule="auto"/>
        <w:jc w:val="both"/>
        <w:rPr>
          <w:rFonts w:ascii="Times New Roman" w:eastAsiaTheme="minorEastAsia" w:hAnsi="Times New Roman" w:cs="Times New Roman"/>
          <w:b/>
          <w:kern w:val="2"/>
          <w:sz w:val="24"/>
          <w:szCs w:val="24"/>
        </w:rPr>
      </w:pPr>
      <w:r w:rsidRPr="00A272BF">
        <w:rPr>
          <w:rFonts w:ascii="Times New Roman" w:eastAsiaTheme="minorEastAsia" w:hAnsi="Times New Roman" w:cs="Times New Roman"/>
          <w:b/>
          <w:kern w:val="2"/>
          <w:sz w:val="24"/>
          <w:szCs w:val="24"/>
        </w:rPr>
        <w:t xml:space="preserve">Effects of co-pyrolysis of rice husk and sewage sludge on the </w:t>
      </w:r>
      <w:bookmarkStart w:id="1" w:name="_Hlk9193015"/>
      <w:bookmarkStart w:id="2" w:name="_Hlk9948953"/>
      <w:bookmarkStart w:id="3" w:name="_Hlk10055881"/>
      <w:r w:rsidRPr="00A272BF">
        <w:rPr>
          <w:rFonts w:ascii="Times New Roman" w:eastAsiaTheme="minorEastAsia" w:hAnsi="Times New Roman" w:cs="Times New Roman"/>
          <w:b/>
          <w:kern w:val="2"/>
          <w:sz w:val="24"/>
          <w:szCs w:val="24"/>
        </w:rPr>
        <w:t>bioavailability</w:t>
      </w:r>
      <w:bookmarkEnd w:id="1"/>
      <w:r w:rsidRPr="00A272BF">
        <w:rPr>
          <w:rFonts w:ascii="Times New Roman" w:eastAsiaTheme="minorEastAsia" w:hAnsi="Times New Roman" w:cs="Times New Roman"/>
          <w:b/>
          <w:kern w:val="2"/>
          <w:sz w:val="24"/>
          <w:szCs w:val="24"/>
        </w:rPr>
        <w:t xml:space="preserve"> and environmental risk</w:t>
      </w:r>
      <w:bookmarkEnd w:id="2"/>
      <w:r w:rsidRPr="00A272BF">
        <w:rPr>
          <w:rFonts w:ascii="Times New Roman" w:eastAsiaTheme="minorEastAsia" w:hAnsi="Times New Roman" w:cs="Times New Roman"/>
          <w:b/>
          <w:kern w:val="2"/>
          <w:sz w:val="24"/>
          <w:szCs w:val="24"/>
        </w:rPr>
        <w:t xml:space="preserve">s of </w:t>
      </w:r>
      <w:bookmarkStart w:id="4" w:name="_Hlk9436159"/>
      <w:r w:rsidRPr="00A272BF">
        <w:rPr>
          <w:rFonts w:ascii="Times New Roman" w:eastAsiaTheme="minorEastAsia" w:hAnsi="Times New Roman" w:cs="Times New Roman"/>
          <w:b/>
          <w:kern w:val="2"/>
          <w:sz w:val="24"/>
          <w:szCs w:val="24"/>
        </w:rPr>
        <w:t>Pb and Cd</w:t>
      </w:r>
      <w:bookmarkEnd w:id="4"/>
      <w:r w:rsidRPr="00A272BF">
        <w:rPr>
          <w:rFonts w:ascii="Times New Roman" w:eastAsiaTheme="minorEastAsia" w:hAnsi="Times New Roman" w:cs="Times New Roman"/>
          <w:b/>
          <w:kern w:val="2"/>
          <w:sz w:val="24"/>
          <w:szCs w:val="24"/>
        </w:rPr>
        <w:t xml:space="preserve"> </w:t>
      </w:r>
      <w:bookmarkEnd w:id="3"/>
    </w:p>
    <w:p w:rsidR="00A272BF" w:rsidRPr="00A272BF" w:rsidRDefault="00A272BF" w:rsidP="00A272BF">
      <w:pPr>
        <w:adjustRightInd/>
        <w:snapToGrid/>
        <w:spacing w:after="0" w:line="48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</w:p>
    <w:p w:rsidR="00A272BF" w:rsidRPr="00A272BF" w:rsidRDefault="00A272BF" w:rsidP="00A272BF">
      <w:pPr>
        <w:adjustRightInd/>
        <w:snapToGrid/>
        <w:spacing w:after="0" w:line="48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vertAlign w:val="superscript"/>
        </w:rPr>
      </w:pP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Yan-Qin Yang</w:t>
      </w:r>
      <w:r w:rsidRPr="00A272BF">
        <w:rPr>
          <w:rFonts w:ascii="Times New Roman" w:eastAsiaTheme="minorEastAsia" w:hAnsi="Times New Roman" w:cs="Times New Roman"/>
          <w:kern w:val="2"/>
          <w:sz w:val="24"/>
          <w:szCs w:val="24"/>
          <w:vertAlign w:val="superscript"/>
        </w:rPr>
        <w:t>1,2</w:t>
      </w: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, Min-Hua Cui</w:t>
      </w:r>
      <w:r w:rsidRPr="00A272BF">
        <w:rPr>
          <w:rFonts w:ascii="Times New Roman" w:eastAsiaTheme="minorEastAsia" w:hAnsi="Times New Roman" w:cs="Times New Roman"/>
          <w:kern w:val="2"/>
          <w:sz w:val="24"/>
          <w:szCs w:val="24"/>
          <w:vertAlign w:val="superscript"/>
        </w:rPr>
        <w:t xml:space="preserve">1, 3, </w:t>
      </w: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*, Jian-Chao Guo</w:t>
      </w:r>
      <w:r w:rsidRPr="00A272BF">
        <w:rPr>
          <w:rFonts w:ascii="Times New Roman" w:eastAsiaTheme="minorEastAsia" w:hAnsi="Times New Roman" w:cs="Times New Roman"/>
          <w:kern w:val="2"/>
          <w:sz w:val="24"/>
          <w:szCs w:val="24"/>
          <w:vertAlign w:val="superscript"/>
        </w:rPr>
        <w:t>2</w:t>
      </w: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, Jing-Jing Du</w:t>
      </w:r>
      <w:r w:rsidRPr="00A272BF">
        <w:rPr>
          <w:rFonts w:ascii="Times New Roman" w:eastAsiaTheme="minorEastAsia" w:hAnsi="Times New Roman" w:cs="Times New Roman"/>
          <w:kern w:val="2"/>
          <w:sz w:val="24"/>
          <w:szCs w:val="24"/>
          <w:vertAlign w:val="superscript"/>
        </w:rPr>
        <w:t>2</w:t>
      </w: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Zhi</w:t>
      </w:r>
      <w:proofErr w:type="spellEnd"/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-Yong Zheng</w:t>
      </w:r>
      <w:r w:rsidRPr="00A272BF">
        <w:rPr>
          <w:rFonts w:ascii="Times New Roman" w:eastAsiaTheme="minorEastAsia" w:hAnsi="Times New Roman" w:cs="Times New Roman"/>
          <w:kern w:val="2"/>
          <w:sz w:val="24"/>
          <w:szCs w:val="24"/>
          <w:vertAlign w:val="superscript"/>
        </w:rPr>
        <w:t>1</w:t>
      </w: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, He Liu</w:t>
      </w:r>
      <w:r w:rsidRPr="00A272BF">
        <w:rPr>
          <w:rFonts w:ascii="Times New Roman" w:eastAsiaTheme="minorEastAsia" w:hAnsi="Times New Roman" w:cs="Times New Roman"/>
          <w:kern w:val="2"/>
          <w:sz w:val="24"/>
          <w:szCs w:val="24"/>
          <w:vertAlign w:val="superscript"/>
        </w:rPr>
        <w:t xml:space="preserve">1, 3, </w:t>
      </w: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*</w:t>
      </w:r>
    </w:p>
    <w:p w:rsidR="00A272BF" w:rsidRPr="00A272BF" w:rsidRDefault="00A272BF" w:rsidP="00A272BF">
      <w:pPr>
        <w:adjustRightInd/>
        <w:snapToGrid/>
        <w:spacing w:after="0" w:line="48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</w:p>
    <w:p w:rsidR="00A272BF" w:rsidRPr="00A272BF" w:rsidRDefault="00A272BF" w:rsidP="00A272BF">
      <w:pPr>
        <w:widowControl w:val="0"/>
        <w:adjustRightInd/>
        <w:snapToGrid/>
        <w:spacing w:after="0" w:line="48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72BF">
        <w:rPr>
          <w:rFonts w:ascii="Times New Roman" w:eastAsia="宋体" w:hAnsi="Times New Roman" w:cs="Times New Roman"/>
          <w:kern w:val="2"/>
          <w:sz w:val="24"/>
          <w:szCs w:val="24"/>
        </w:rPr>
        <w:t xml:space="preserve">1. </w:t>
      </w:r>
      <w:r w:rsidRPr="00A272BF">
        <w:rPr>
          <w:rFonts w:ascii="Times New Roman" w:hAnsi="Times New Roman"/>
          <w:spacing w:val="-1"/>
          <w:sz w:val="24"/>
          <w:szCs w:val="21"/>
        </w:rPr>
        <w:t>Jiangsu</w:t>
      </w:r>
      <w:r w:rsidRPr="00A272BF">
        <w:rPr>
          <w:rFonts w:ascii="Times New Roman" w:hAnsi="Times New Roman"/>
          <w:spacing w:val="12"/>
          <w:sz w:val="24"/>
          <w:szCs w:val="21"/>
        </w:rPr>
        <w:t xml:space="preserve"> </w:t>
      </w:r>
      <w:r w:rsidRPr="00A272BF">
        <w:rPr>
          <w:rFonts w:ascii="Times New Roman" w:hAnsi="Times New Roman"/>
          <w:sz w:val="24"/>
          <w:szCs w:val="21"/>
        </w:rPr>
        <w:t>Key</w:t>
      </w:r>
      <w:r w:rsidRPr="00A272BF">
        <w:rPr>
          <w:rFonts w:ascii="Times New Roman" w:hAnsi="Times New Roman"/>
          <w:spacing w:val="9"/>
          <w:sz w:val="24"/>
          <w:szCs w:val="21"/>
        </w:rPr>
        <w:t xml:space="preserve"> </w:t>
      </w:r>
      <w:r w:rsidRPr="00A272BF">
        <w:rPr>
          <w:rFonts w:ascii="Times New Roman" w:hAnsi="Times New Roman"/>
          <w:spacing w:val="-1"/>
          <w:sz w:val="24"/>
          <w:szCs w:val="21"/>
        </w:rPr>
        <w:t>Laboratory</w:t>
      </w:r>
      <w:r w:rsidRPr="00A272BF">
        <w:rPr>
          <w:rFonts w:ascii="Times New Roman" w:hAnsi="Times New Roman"/>
          <w:spacing w:val="9"/>
          <w:sz w:val="24"/>
          <w:szCs w:val="21"/>
        </w:rPr>
        <w:t xml:space="preserve"> </w:t>
      </w:r>
      <w:r w:rsidRPr="00A272BF">
        <w:rPr>
          <w:rFonts w:ascii="Times New Roman" w:hAnsi="Times New Roman"/>
          <w:sz w:val="24"/>
          <w:szCs w:val="21"/>
        </w:rPr>
        <w:t>of</w:t>
      </w:r>
      <w:r w:rsidRPr="00A272BF">
        <w:rPr>
          <w:rFonts w:ascii="Times New Roman" w:hAnsi="Times New Roman"/>
          <w:spacing w:val="11"/>
          <w:sz w:val="24"/>
          <w:szCs w:val="21"/>
        </w:rPr>
        <w:t xml:space="preserve"> </w:t>
      </w:r>
      <w:r w:rsidRPr="00A272BF">
        <w:rPr>
          <w:rFonts w:ascii="Times New Roman" w:hAnsi="Times New Roman"/>
          <w:spacing w:val="-1"/>
          <w:sz w:val="24"/>
          <w:szCs w:val="21"/>
        </w:rPr>
        <w:t>Anaerobic</w:t>
      </w:r>
      <w:r w:rsidRPr="00A272BF">
        <w:rPr>
          <w:rFonts w:ascii="Times New Roman" w:hAnsi="Times New Roman"/>
          <w:spacing w:val="11"/>
          <w:sz w:val="24"/>
          <w:szCs w:val="21"/>
        </w:rPr>
        <w:t xml:space="preserve"> </w:t>
      </w:r>
      <w:r w:rsidRPr="00A272BF">
        <w:rPr>
          <w:rFonts w:ascii="Times New Roman" w:hAnsi="Times New Roman"/>
          <w:spacing w:val="-1"/>
          <w:sz w:val="24"/>
          <w:szCs w:val="21"/>
        </w:rPr>
        <w:t xml:space="preserve">Biotechnology, </w:t>
      </w: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school</w:t>
      </w:r>
      <w:r w:rsidRPr="00A272B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of Environment</w:t>
      </w: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al</w:t>
      </w:r>
      <w:r w:rsidRPr="00A272B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and Civil Engineering, Jiangnan University, Wuxi 214122, Jiangsu, China;</w:t>
      </w:r>
    </w:p>
    <w:p w:rsidR="00A272BF" w:rsidRPr="00A272BF" w:rsidRDefault="00A272BF" w:rsidP="00A272BF">
      <w:pPr>
        <w:widowControl w:val="0"/>
        <w:adjustRightInd/>
        <w:snapToGrid/>
        <w:spacing w:after="0" w:line="480" w:lineRule="auto"/>
        <w:jc w:val="both"/>
        <w:rPr>
          <w:rFonts w:ascii="Times New Roman" w:eastAsia="E-BX+ZKJDlJ-4" w:hAnsi="Times New Roman" w:cs="Times New Roman"/>
          <w:kern w:val="2"/>
          <w:sz w:val="24"/>
          <w:szCs w:val="24"/>
        </w:rPr>
      </w:pPr>
      <w:r w:rsidRPr="00A272BF">
        <w:rPr>
          <w:rFonts w:ascii="Times New Roman" w:eastAsia="E-BZ+ZKJDlJ-1" w:hAnsi="Times New Roman" w:cs="Times New Roman"/>
          <w:kern w:val="2"/>
          <w:sz w:val="24"/>
          <w:szCs w:val="24"/>
        </w:rPr>
        <w:t xml:space="preserve">2. </w:t>
      </w:r>
      <w:r w:rsidRPr="00A272BF">
        <w:rPr>
          <w:rFonts w:ascii="Times New Roman" w:eastAsia="E-BX+ZKJDlJ-4" w:hAnsi="Times New Roman" w:cs="Times New Roman"/>
          <w:kern w:val="2"/>
          <w:sz w:val="24"/>
          <w:szCs w:val="24"/>
        </w:rPr>
        <w:t>Zhengzhou University of Light Industry</w:t>
      </w:r>
      <w:r w:rsidRPr="00A272BF">
        <w:rPr>
          <w:rFonts w:ascii="Times New Roman" w:eastAsia="AdobeHeitiStd-Regular" w:hAnsi="Times New Roman" w:cs="Times New Roman"/>
          <w:kern w:val="2"/>
          <w:sz w:val="24"/>
          <w:szCs w:val="24"/>
        </w:rPr>
        <w:t xml:space="preserve">, Collaborative Innovation Center of Environmental Pollution Control and Ecological Restoration, </w:t>
      </w:r>
      <w:r w:rsidRPr="00A272BF">
        <w:rPr>
          <w:rFonts w:ascii="Times New Roman" w:eastAsia="E-BX+ZKJDlJ-4" w:hAnsi="Times New Roman" w:cs="Times New Roman"/>
          <w:kern w:val="2"/>
          <w:sz w:val="24"/>
          <w:szCs w:val="24"/>
        </w:rPr>
        <w:t xml:space="preserve">Zhengzhou </w:t>
      </w:r>
      <w:r w:rsidRPr="00A272BF">
        <w:rPr>
          <w:rFonts w:ascii="Times New Roman" w:eastAsia="E-BZ+ZKJDlJ-1" w:hAnsi="Times New Roman" w:cs="Times New Roman"/>
          <w:kern w:val="2"/>
          <w:sz w:val="24"/>
          <w:szCs w:val="24"/>
        </w:rPr>
        <w:t>450001</w:t>
      </w:r>
      <w:r w:rsidRPr="00A272BF">
        <w:rPr>
          <w:rFonts w:ascii="Times New Roman" w:eastAsia="AdobeHeitiStd-Regular" w:hAnsi="Times New Roman" w:cs="Times New Roman"/>
          <w:kern w:val="2"/>
          <w:sz w:val="24"/>
          <w:szCs w:val="24"/>
        </w:rPr>
        <w:t xml:space="preserve">, </w:t>
      </w:r>
      <w:r w:rsidRPr="00A272BF">
        <w:rPr>
          <w:rFonts w:ascii="Times New Roman" w:eastAsia="E-BX+ZKJDlJ-4" w:hAnsi="Times New Roman" w:cs="Times New Roman"/>
          <w:kern w:val="2"/>
          <w:sz w:val="24"/>
          <w:szCs w:val="24"/>
        </w:rPr>
        <w:t>China;</w:t>
      </w:r>
    </w:p>
    <w:p w:rsidR="00A272BF" w:rsidRPr="00A272BF" w:rsidRDefault="00A272BF" w:rsidP="00A272BF">
      <w:pPr>
        <w:widowControl w:val="0"/>
        <w:adjustRightInd/>
        <w:snapToGrid/>
        <w:spacing w:after="0" w:line="480" w:lineRule="auto"/>
        <w:jc w:val="both"/>
        <w:rPr>
          <w:rFonts w:ascii="Times New Roman" w:eastAsia="等线" w:hAnsi="Times New Roman" w:cs="Times New Roman"/>
          <w:bCs/>
          <w:sz w:val="24"/>
          <w:szCs w:val="21"/>
        </w:rPr>
      </w:pPr>
      <w:r w:rsidRPr="00A272BF">
        <w:rPr>
          <w:rFonts w:ascii="Times New Roman" w:eastAsia="E-BZ+ZKJDlJ-1" w:hAnsi="Times New Roman" w:cs="Times New Roman" w:hint="eastAsia"/>
          <w:kern w:val="2"/>
          <w:sz w:val="24"/>
          <w:szCs w:val="24"/>
        </w:rPr>
        <w:t>3</w:t>
      </w:r>
      <w:r w:rsidRPr="00A272BF">
        <w:rPr>
          <w:rFonts w:ascii="Times New Roman" w:eastAsia="E-BZ+ZKJDlJ-1" w:hAnsi="Times New Roman" w:cs="Times New Roman"/>
          <w:kern w:val="2"/>
          <w:sz w:val="24"/>
          <w:szCs w:val="24"/>
        </w:rPr>
        <w:t>.</w:t>
      </w:r>
      <w:r w:rsidRPr="00A272BF">
        <w:rPr>
          <w:rFonts w:ascii="Times New Roman" w:eastAsia="E-BX+ZKJDlJ-4" w:hAnsi="Times New Roman" w:cs="Times New Roman"/>
          <w:b/>
          <w:bCs/>
          <w:kern w:val="2"/>
          <w:sz w:val="24"/>
          <w:szCs w:val="24"/>
          <w:lang w:eastAsia="en-US"/>
        </w:rPr>
        <w:t xml:space="preserve"> </w:t>
      </w:r>
      <w:r w:rsidRPr="00A272BF">
        <w:rPr>
          <w:rFonts w:ascii="Times New Roman" w:eastAsia="等线" w:hAnsi="Times New Roman" w:cs="Times New Roman"/>
          <w:bCs/>
          <w:sz w:val="24"/>
          <w:szCs w:val="21"/>
        </w:rPr>
        <w:t xml:space="preserve">Jiangsu Collaborative Innovation Center of Water Treatment Technology and Material, Suzhou 215011, </w:t>
      </w:r>
      <w:r w:rsidRPr="00A272BF">
        <w:rPr>
          <w:rFonts w:ascii="Times New Roman" w:eastAsia="等线" w:hAnsi="Times New Roman" w:cs="Times New Roman"/>
          <w:bCs/>
          <w:sz w:val="24"/>
          <w:szCs w:val="21"/>
          <w:lang w:eastAsia="en-US"/>
        </w:rPr>
        <w:t>PR</w:t>
      </w:r>
      <w:r w:rsidRPr="00A272BF">
        <w:rPr>
          <w:rFonts w:ascii="Times New Roman" w:eastAsia="等线" w:hAnsi="Times New Roman" w:cs="Times New Roman"/>
          <w:bCs/>
          <w:sz w:val="24"/>
          <w:szCs w:val="21"/>
        </w:rPr>
        <w:t xml:space="preserve"> China.</w:t>
      </w:r>
    </w:p>
    <w:p w:rsidR="00A272BF" w:rsidRPr="00A272BF" w:rsidRDefault="00A272BF" w:rsidP="00A272BF">
      <w:pPr>
        <w:widowControl w:val="0"/>
        <w:adjustRightInd/>
        <w:snapToGrid/>
        <w:spacing w:after="0" w:line="480" w:lineRule="auto"/>
        <w:jc w:val="both"/>
        <w:rPr>
          <w:rFonts w:ascii="Times New Roman" w:eastAsia="E-BX+ZKJDlJ-4" w:hAnsi="Times New Roman" w:cs="Times New Roman"/>
          <w:kern w:val="2"/>
          <w:sz w:val="24"/>
          <w:szCs w:val="24"/>
        </w:rPr>
      </w:pPr>
    </w:p>
    <w:p w:rsidR="00A272BF" w:rsidRPr="00A272BF" w:rsidRDefault="00A272BF" w:rsidP="00A272BF">
      <w:pPr>
        <w:adjustRightInd/>
        <w:snapToGrid/>
        <w:spacing w:after="0" w:line="48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*Corresponding author:</w:t>
      </w:r>
    </w:p>
    <w:p w:rsidR="00A272BF" w:rsidRPr="00A272BF" w:rsidRDefault="00A272BF" w:rsidP="00A272BF">
      <w:pPr>
        <w:adjustRightInd/>
        <w:snapToGrid/>
        <w:spacing w:after="0" w:line="48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He Liu, Min-Hua Cui</w:t>
      </w:r>
    </w:p>
    <w:p w:rsidR="00A272BF" w:rsidRPr="00A272BF" w:rsidRDefault="00A272BF" w:rsidP="00A272BF">
      <w:pPr>
        <w:adjustRightInd/>
        <w:snapToGrid/>
        <w:spacing w:after="0" w:line="48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School of Environmental and Civil Engineering,</w:t>
      </w:r>
    </w:p>
    <w:p w:rsidR="00A272BF" w:rsidRPr="00A272BF" w:rsidRDefault="00A272BF" w:rsidP="00A272BF">
      <w:pPr>
        <w:adjustRightInd/>
        <w:snapToGrid/>
        <w:spacing w:after="0" w:line="48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Jiangnan University,</w:t>
      </w:r>
    </w:p>
    <w:p w:rsidR="00A272BF" w:rsidRPr="00A272BF" w:rsidRDefault="00A272BF" w:rsidP="00A272BF">
      <w:pPr>
        <w:adjustRightInd/>
        <w:snapToGrid/>
        <w:spacing w:after="0" w:line="48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People’s Republic of China</w:t>
      </w:r>
    </w:p>
    <w:p w:rsidR="00A272BF" w:rsidRPr="00A272BF" w:rsidRDefault="00A272BF" w:rsidP="00A272BF">
      <w:pPr>
        <w:adjustRightInd/>
        <w:snapToGrid/>
        <w:spacing w:after="0" w:line="48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</w:rPr>
      </w:pP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E-mail: </w:t>
      </w:r>
      <w:hyperlink r:id="rId4" w:history="1">
        <w:r w:rsidRPr="00A272BF">
          <w:rPr>
            <w:rFonts w:ascii="Times New Roman" w:eastAsiaTheme="minorEastAsia" w:hAnsi="Times New Roman" w:cs="Times New Roman"/>
            <w:kern w:val="2"/>
            <w:sz w:val="24"/>
            <w:szCs w:val="24"/>
          </w:rPr>
          <w:t>liuhe@jiangnan.edu.cn</w:t>
        </w:r>
      </w:hyperlink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(H. Liu); </w:t>
      </w:r>
      <w:r w:rsidRPr="00A272BF">
        <w:rPr>
          <w:rFonts w:ascii="Times New Roman" w:hAnsi="Times New Roman" w:cs="Times New Roman"/>
        </w:rPr>
        <w:t>c</w:t>
      </w: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uiminhua@jiangnan.edu.cn (M-H. Cui)</w:t>
      </w:r>
    </w:p>
    <w:p w:rsidR="00A272BF" w:rsidRPr="00A272BF" w:rsidRDefault="00A272BF" w:rsidP="00A272BF">
      <w:pPr>
        <w:adjustRightInd/>
        <w:snapToGrid/>
        <w:spacing w:line="480" w:lineRule="auto"/>
        <w:jc w:val="both"/>
        <w:rPr>
          <w:rFonts w:ascii="Times New Roman" w:eastAsiaTheme="minorEastAsia" w:hAnsi="Times New Roman" w:cs="Times New Roman"/>
          <w:b/>
          <w:kern w:val="2"/>
          <w:sz w:val="24"/>
          <w:szCs w:val="24"/>
        </w:rPr>
      </w:pPr>
      <w:r w:rsidRPr="00A272BF">
        <w:rPr>
          <w:rFonts w:ascii="Times New Roman" w:eastAsiaTheme="minorEastAsia" w:hAnsi="Times New Roman" w:cs="Times New Roman"/>
          <w:kern w:val="2"/>
          <w:sz w:val="24"/>
          <w:szCs w:val="24"/>
        </w:rPr>
        <w:t>Tel./fax: +86-510-85197250</w:t>
      </w:r>
    </w:p>
    <w:p w:rsidR="00A272BF" w:rsidRDefault="00A272BF" w:rsidP="00A272BF">
      <w:pPr>
        <w:widowControl w:val="0"/>
        <w:adjustRightInd/>
        <w:snapToGrid/>
        <w:spacing w:after="0" w:line="480" w:lineRule="auto"/>
        <w:jc w:val="both"/>
        <w:rPr>
          <w:rFonts w:ascii="Times New Roman" w:eastAsia="AdvGulliv-R" w:hAnsi="Times New Roman" w:cs="Times New Roman"/>
          <w:b/>
          <w:kern w:val="2"/>
          <w:sz w:val="21"/>
          <w:szCs w:val="21"/>
        </w:rPr>
      </w:pPr>
    </w:p>
    <w:p w:rsidR="00A272BF" w:rsidRPr="00A272BF" w:rsidRDefault="00A272BF" w:rsidP="00A272BF">
      <w:pPr>
        <w:widowControl w:val="0"/>
        <w:adjustRightInd/>
        <w:snapToGrid/>
        <w:spacing w:after="0" w:line="480" w:lineRule="auto"/>
        <w:jc w:val="both"/>
        <w:rPr>
          <w:rFonts w:ascii="Times New Roman" w:eastAsia="AdvGulliv-R" w:hAnsi="Times New Roman" w:cs="Times New Roman" w:hint="eastAsia"/>
          <w:b/>
          <w:kern w:val="2"/>
          <w:sz w:val="21"/>
          <w:szCs w:val="21"/>
        </w:rPr>
      </w:pPr>
    </w:p>
    <w:p w:rsidR="00A272BF" w:rsidRPr="00A272BF" w:rsidRDefault="00A272BF" w:rsidP="00A272BF">
      <w:pPr>
        <w:widowControl w:val="0"/>
        <w:adjustRightInd/>
        <w:snapToGrid/>
        <w:spacing w:after="0" w:line="480" w:lineRule="auto"/>
        <w:jc w:val="both"/>
        <w:rPr>
          <w:rFonts w:ascii="Times New Roman" w:eastAsia="AdvGulliv-R" w:hAnsi="Times New Roman" w:cs="Times New Roman"/>
          <w:b/>
          <w:kern w:val="2"/>
          <w:sz w:val="21"/>
          <w:szCs w:val="21"/>
        </w:rPr>
      </w:pPr>
      <w:r w:rsidRPr="00A272BF">
        <w:rPr>
          <w:rFonts w:ascii="Times New Roman" w:eastAsia="AdvGulliv-R" w:hAnsi="Times New Roman" w:cs="Times New Roman"/>
          <w:b/>
          <w:kern w:val="2"/>
          <w:sz w:val="21"/>
          <w:szCs w:val="21"/>
        </w:rPr>
        <w:t xml:space="preserve">Table S1 </w:t>
      </w:r>
    </w:p>
    <w:p w:rsidR="00A272BF" w:rsidRPr="00A272BF" w:rsidRDefault="00A272BF" w:rsidP="00A272BF">
      <w:pPr>
        <w:widowControl w:val="0"/>
        <w:adjustRightInd/>
        <w:snapToGrid/>
        <w:spacing w:after="0" w:line="480" w:lineRule="auto"/>
        <w:jc w:val="both"/>
        <w:rPr>
          <w:rFonts w:ascii="Times New Roman" w:eastAsia="AdvGulliv-R" w:hAnsi="Times New Roman" w:cs="Times New Roman"/>
          <w:kern w:val="2"/>
          <w:sz w:val="21"/>
          <w:szCs w:val="21"/>
        </w:rPr>
      </w:pPr>
      <w:r w:rsidRPr="00A272BF">
        <w:rPr>
          <w:rFonts w:ascii="Times New Roman" w:eastAsia="AdvGulliv-R" w:hAnsi="Times New Roman" w:cs="Times New Roman"/>
          <w:kern w:val="2"/>
          <w:sz w:val="21"/>
          <w:szCs w:val="21"/>
        </w:rPr>
        <w:t>The modified BCR three-step sequential extraction procedure.</w:t>
      </w:r>
    </w:p>
    <w:tbl>
      <w:tblPr>
        <w:tblW w:w="9206" w:type="dxa"/>
        <w:tblCellSpacing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693"/>
        <w:gridCol w:w="2693"/>
      </w:tblGrid>
      <w:tr w:rsidR="00A272BF" w:rsidRPr="00A272BF" w:rsidTr="00D43B8F">
        <w:trPr>
          <w:trHeight w:val="121"/>
          <w:tblCellSpacing w:w="0" w:type="dxa"/>
        </w:trPr>
        <w:tc>
          <w:tcPr>
            <w:tcW w:w="3820" w:type="dxa"/>
            <w:tcBorders>
              <w:top w:val="single" w:sz="12" w:space="0" w:color="auto"/>
              <w:left w:val="single" w:sz="6" w:space="0" w:color="FFFFFF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I" w:hAnsi="Times New Roman" w:cs="Times New Roman"/>
                <w:kern w:val="2"/>
                <w:sz w:val="21"/>
                <w:szCs w:val="21"/>
              </w:rPr>
            </w:pPr>
            <w:bookmarkStart w:id="5" w:name="_Hlk9187292"/>
            <w:r w:rsidRPr="00A272BF">
              <w:rPr>
                <w:rFonts w:ascii="Times New Roman" w:eastAsia="AdvGulliv-R" w:hAnsi="Times New Roman" w:cs="Times New Roman"/>
                <w:kern w:val="2"/>
                <w:sz w:val="21"/>
                <w:szCs w:val="21"/>
              </w:rPr>
              <w:t>Fraction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I" w:hAnsi="Times New Roman" w:cs="Times New Roman"/>
                <w:kern w:val="2"/>
                <w:sz w:val="21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21"/>
                <w:szCs w:val="21"/>
              </w:rPr>
              <w:t>Extraction reagents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I" w:hAnsi="Times New Roman" w:cs="Times New Roman"/>
                <w:kern w:val="2"/>
                <w:sz w:val="21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21"/>
                <w:szCs w:val="21"/>
              </w:rPr>
              <w:t>Extraction conditions</w:t>
            </w:r>
          </w:p>
        </w:tc>
      </w:tr>
      <w:tr w:rsidR="00A272BF" w:rsidRPr="00A272BF" w:rsidTr="00D43B8F">
        <w:trPr>
          <w:trHeight w:val="159"/>
          <w:tblCellSpacing w:w="0" w:type="dxa"/>
        </w:trPr>
        <w:tc>
          <w:tcPr>
            <w:tcW w:w="3820" w:type="dxa"/>
            <w:tcBorders>
              <w:top w:val="single" w:sz="4" w:space="0" w:color="000000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F1   Soluble and exchangeable metals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 xml:space="preserve">20 mL, 0.01 M </w:t>
            </w:r>
            <w:proofErr w:type="spellStart"/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HAc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Oscillating, 22 ± 5 C, 16 h</w:t>
            </w:r>
          </w:p>
        </w:tc>
      </w:tr>
      <w:tr w:rsidR="00A272BF" w:rsidRPr="00A272BF" w:rsidTr="00D43B8F">
        <w:trPr>
          <w:trHeight w:val="220"/>
          <w:tblCellSpacing w:w="0" w:type="dxa"/>
        </w:trPr>
        <w:tc>
          <w:tcPr>
            <w:tcW w:w="382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F2   Carbonates, oxides and reducible metals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20 mL, 0.50 M NH</w:t>
            </w: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  <w:vertAlign w:val="subscript"/>
              </w:rPr>
              <w:t>2</w:t>
            </w: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OH·HCl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Oscillating, 22 ± 5 C, 16 h</w:t>
            </w:r>
          </w:p>
        </w:tc>
      </w:tr>
      <w:tr w:rsidR="00A272BF" w:rsidRPr="00A272BF" w:rsidTr="00D43B8F">
        <w:trPr>
          <w:trHeight w:val="848"/>
          <w:tblCellSpacing w:w="0" w:type="dxa"/>
        </w:trPr>
        <w:tc>
          <w:tcPr>
            <w:tcW w:w="382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F3   Metals bound to organic  matter,</w:t>
            </w:r>
          </w:p>
          <w:p w:rsidR="00A272BF" w:rsidRPr="00A272BF" w:rsidRDefault="00A272BF" w:rsidP="00A272BF">
            <w:pPr>
              <w:adjustRightInd/>
              <w:spacing w:after="0" w:line="480" w:lineRule="auto"/>
              <w:ind w:firstLineChars="200" w:firstLine="360"/>
              <w:jc w:val="both"/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</w:pPr>
            <w:proofErr w:type="spellStart"/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oxidisable</w:t>
            </w:r>
            <w:proofErr w:type="spellEnd"/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 xml:space="preserve"> and </w:t>
            </w:r>
            <w:proofErr w:type="spellStart"/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sulphidic</w:t>
            </w:r>
            <w:proofErr w:type="spellEnd"/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 xml:space="preserve"> metals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First, 5 mL, 30%,(v/v) H</w:t>
            </w: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  <w:vertAlign w:val="subscript"/>
              </w:rPr>
              <w:t>2</w:t>
            </w: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O</w:t>
            </w: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  <w:vertAlign w:val="subscript"/>
              </w:rPr>
              <w:t>2</w:t>
            </w: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,</w:t>
            </w:r>
          </w:p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Next, 5 mL, 30% (v/v) , H</w:t>
            </w: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  <w:vertAlign w:val="subscript"/>
              </w:rPr>
              <w:t>2</w:t>
            </w: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O</w:t>
            </w: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  <w:vertAlign w:val="subscript"/>
              </w:rPr>
              <w:t>2</w:t>
            </w: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,</w:t>
            </w:r>
          </w:p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Last, 25 mL, 1.0 M, CH</w:t>
            </w: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  <w:vertAlign w:val="subscript"/>
              </w:rPr>
              <w:t>2</w:t>
            </w: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COONH</w:t>
            </w: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  <w:vertAlign w:val="subscrip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First, water bath, 85 ± 5 C,1 h,</w:t>
            </w:r>
          </w:p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Next, water bath, 85 ± 5 C,1 h,</w:t>
            </w:r>
          </w:p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Last, Oscillating, 22 ± 5 C, 16 h</w:t>
            </w:r>
          </w:p>
        </w:tc>
      </w:tr>
      <w:tr w:rsidR="00A272BF" w:rsidRPr="00A272BF" w:rsidTr="00D43B8F">
        <w:trPr>
          <w:trHeight w:val="20"/>
          <w:tblCellSpacing w:w="0" w:type="dxa"/>
        </w:trPr>
        <w:tc>
          <w:tcPr>
            <w:tcW w:w="3820" w:type="dxa"/>
            <w:tcBorders>
              <w:top w:val="nil"/>
              <w:left w:val="single" w:sz="6" w:space="0" w:color="FFFFFF"/>
              <w:bottom w:val="single" w:sz="12" w:space="0" w:color="auto"/>
              <w:right w:val="nil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A272BF" w:rsidRPr="00A272BF" w:rsidRDefault="00A272BF" w:rsidP="00A272BF">
            <w:pPr>
              <w:adjustRightInd/>
              <w:snapToGrid/>
              <w:spacing w:after="0" w:line="480" w:lineRule="auto"/>
              <w:jc w:val="both"/>
              <w:rPr>
                <w:rFonts w:ascii="Times New Roman" w:eastAsia="宋体" w:hAnsi="Times New Roman" w:cs="Times New Roman"/>
                <w:kern w:val="2"/>
                <w:sz w:val="18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F4   Residual metals such as silicates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6" w:space="0" w:color="FFFFFF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</w:pP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5 mL, HNO</w:t>
            </w:r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6" w:space="0" w:color="FFFFFF"/>
            </w:tcBorders>
            <w:shd w:val="clear" w:color="auto" w:fill="FFFFFF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A272BF" w:rsidRPr="00A272BF" w:rsidRDefault="00A272BF" w:rsidP="00A272BF">
            <w:pPr>
              <w:adjustRightInd/>
              <w:spacing w:after="0" w:line="480" w:lineRule="auto"/>
              <w:jc w:val="both"/>
              <w:rPr>
                <w:rFonts w:ascii="Times New Roman" w:eastAsia="黑体" w:hAnsi="Times New Roman" w:cs="Times New Roman"/>
                <w:color w:val="000000"/>
                <w:kern w:val="2"/>
                <w:sz w:val="18"/>
                <w:szCs w:val="21"/>
              </w:rPr>
            </w:pPr>
            <w:bookmarkStart w:id="6" w:name="_Hlk521052680"/>
            <w:r w:rsidRPr="00A272BF">
              <w:rPr>
                <w:rFonts w:ascii="Times New Roman" w:eastAsia="AdvGulliv-R" w:hAnsi="Times New Roman" w:cs="Times New Roman"/>
                <w:kern w:val="2"/>
                <w:sz w:val="18"/>
                <w:szCs w:val="21"/>
              </w:rPr>
              <w:t>Microwave digestion system</w:t>
            </w:r>
            <w:bookmarkEnd w:id="6"/>
          </w:p>
        </w:tc>
      </w:tr>
      <w:bookmarkEnd w:id="5"/>
    </w:tbl>
    <w:p w:rsidR="00A272BF" w:rsidRPr="00A272BF" w:rsidRDefault="00A272BF" w:rsidP="00A272BF">
      <w:pPr>
        <w:adjustRightInd/>
        <w:snapToGrid/>
        <w:spacing w:line="480" w:lineRule="auto"/>
        <w:jc w:val="both"/>
        <w:rPr>
          <w:rFonts w:ascii="Times New Roman" w:eastAsia="宋体" w:hAnsi="Times New Roman" w:cs="Times New Roman"/>
          <w:b/>
          <w:kern w:val="2"/>
          <w:sz w:val="21"/>
          <w:szCs w:val="24"/>
        </w:rPr>
      </w:pPr>
      <w:r w:rsidRPr="00A272BF">
        <w:rPr>
          <w:rFonts w:ascii="Times New Roman" w:eastAsia="宋体" w:hAnsi="Times New Roman" w:cs="Times New Roman"/>
          <w:b/>
          <w:kern w:val="2"/>
          <w:sz w:val="21"/>
          <w:szCs w:val="24"/>
        </w:rPr>
        <w:br w:type="page"/>
      </w:r>
      <w:bookmarkStart w:id="7" w:name="_Hlk23182918"/>
      <w:r w:rsidRPr="00A272BF">
        <w:rPr>
          <w:rFonts w:ascii="Times New Roman" w:eastAsia="宋体" w:hAnsi="Times New Roman" w:cs="Times New Roman"/>
          <w:b/>
          <w:kern w:val="2"/>
          <w:sz w:val="21"/>
          <w:szCs w:val="24"/>
        </w:rPr>
        <w:lastRenderedPageBreak/>
        <w:t xml:space="preserve">Table S2 </w:t>
      </w:r>
    </w:p>
    <w:p w:rsidR="00A272BF" w:rsidRPr="00A272BF" w:rsidRDefault="00A272BF" w:rsidP="00A272BF">
      <w:pPr>
        <w:widowControl w:val="0"/>
        <w:spacing w:after="0" w:line="480" w:lineRule="auto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A272BF">
        <w:rPr>
          <w:rFonts w:ascii="Times New Roman" w:eastAsia="宋体" w:hAnsi="Times New Roman" w:cs="Times New Roman"/>
          <w:color w:val="131413"/>
          <w:sz w:val="21"/>
          <w:szCs w:val="21"/>
        </w:rPr>
        <w:t xml:space="preserve">The </w:t>
      </w:r>
      <w:r w:rsidRPr="00A272BF">
        <w:rPr>
          <w:rFonts w:ascii="Times New Roman" w:eastAsia="AdvGulliv-R" w:hAnsi="Times New Roman" w:cs="Times New Roman"/>
          <w:kern w:val="2"/>
          <w:sz w:val="21"/>
          <w:szCs w:val="21"/>
        </w:rPr>
        <w:t>environmental</w:t>
      </w:r>
      <w:r w:rsidRPr="00A272BF">
        <w:rPr>
          <w:rFonts w:ascii="Times New Roman" w:eastAsia="宋体" w:hAnsi="Times New Roman" w:cs="Times New Roman"/>
          <w:color w:val="131413"/>
          <w:sz w:val="21"/>
          <w:szCs w:val="21"/>
        </w:rPr>
        <w:t xml:space="preserve"> risk </w:t>
      </w:r>
      <w:r w:rsidRPr="00A272BF">
        <w:rPr>
          <w:rFonts w:ascii="Times New Roman" w:eastAsia="宋体" w:hAnsi="Times New Roman" w:cs="Times New Roman"/>
          <w:kern w:val="2"/>
          <w:sz w:val="21"/>
          <w:szCs w:val="24"/>
        </w:rPr>
        <w:t xml:space="preserve">and  risk classification methods in term of the risk </w:t>
      </w:r>
      <w:r w:rsidRPr="00A272BF">
        <w:rPr>
          <w:rFonts w:ascii="Times New Roman" w:eastAsia="宋体" w:hAnsi="Times New Roman" w:cs="Times New Roman"/>
          <w:color w:val="131413"/>
          <w:sz w:val="21"/>
          <w:szCs w:val="21"/>
        </w:rPr>
        <w:t>assessment code</w:t>
      </w:r>
      <w:r w:rsidRPr="00A272BF">
        <w:rPr>
          <w:rFonts w:ascii="Times New Roman" w:eastAsia="宋体" w:hAnsi="Times New Roman" w:cs="Times New Roman"/>
          <w:kern w:val="2"/>
          <w:sz w:val="21"/>
          <w:szCs w:val="24"/>
        </w:rPr>
        <w:t xml:space="preserve"> (RAC)</w:t>
      </w:r>
    </w:p>
    <w:tbl>
      <w:tblPr>
        <w:tblStyle w:val="a5"/>
        <w:tblW w:w="864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828"/>
        <w:gridCol w:w="1984"/>
      </w:tblGrid>
      <w:tr w:rsidR="00A272BF" w:rsidRPr="00A272BF" w:rsidTr="00D43B8F"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eastAsia="AdvGulliv-R" w:hAnsi="Times New Roman"/>
                <w:kern w:val="2"/>
                <w:sz w:val="21"/>
                <w:szCs w:val="21"/>
              </w:rPr>
            </w:pPr>
            <w:r w:rsidRPr="00A272BF">
              <w:rPr>
                <w:rFonts w:ascii="Times New Roman" w:eastAsia="AdvGulliv-R" w:hAnsi="Times New Roman"/>
                <w:kern w:val="2"/>
                <w:sz w:val="21"/>
                <w:szCs w:val="21"/>
              </w:rPr>
              <w:t>The percentage of F1 fraction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hAnsi="Times New Roman"/>
                <w:b/>
                <w:kern w:val="2"/>
                <w:sz w:val="21"/>
                <w:szCs w:val="24"/>
              </w:rPr>
            </w:pPr>
            <w:bookmarkStart w:id="8" w:name="_Hlk22981354"/>
            <w:r w:rsidRPr="00A272BF">
              <w:rPr>
                <w:rFonts w:ascii="Times New Roman" w:eastAsia="AdvGulliv-R" w:hAnsi="Times New Roman"/>
                <w:kern w:val="2"/>
                <w:sz w:val="21"/>
                <w:szCs w:val="21"/>
              </w:rPr>
              <w:t>Environmental Risk</w:t>
            </w:r>
            <w:bookmarkEnd w:id="8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eastAsia="AdvGulliv-R" w:hAnsi="Times New Roman"/>
                <w:kern w:val="2"/>
                <w:sz w:val="21"/>
                <w:szCs w:val="21"/>
              </w:rPr>
            </w:pPr>
            <w:r w:rsidRPr="00A272BF">
              <w:rPr>
                <w:rFonts w:ascii="Times New Roman" w:eastAsia="AdvGulliv-R" w:hAnsi="Times New Roman"/>
                <w:kern w:val="2"/>
                <w:sz w:val="21"/>
                <w:szCs w:val="21"/>
              </w:rPr>
              <w:t>Risk classification</w:t>
            </w:r>
          </w:p>
        </w:tc>
      </w:tr>
      <w:tr w:rsidR="00A272BF" w:rsidRPr="00A272BF" w:rsidTr="00D43B8F"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  <w:bookmarkStart w:id="9" w:name="_Hlk22981406"/>
            <w:r w:rsidRPr="00A272BF">
              <w:rPr>
                <w:rFonts w:ascii="Times New Roman" w:eastAsia="AdvGulliv-R" w:hAnsi="Times New Roman"/>
                <w:kern w:val="2"/>
                <w:sz w:val="21"/>
                <w:szCs w:val="21"/>
              </w:rPr>
              <w:t>RAC</w:t>
            </w: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 xml:space="preserve"> &lt; 1 %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>safe to the environment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hAnsi="Times New Roman"/>
                <w:b/>
                <w:kern w:val="2"/>
                <w:sz w:val="21"/>
                <w:szCs w:val="24"/>
              </w:rPr>
            </w:pP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>no risk (NR)</w:t>
            </w:r>
          </w:p>
        </w:tc>
      </w:tr>
      <w:bookmarkEnd w:id="9"/>
      <w:tr w:rsidR="00A272BF" w:rsidRPr="00A272BF" w:rsidTr="00D43B8F">
        <w:tc>
          <w:tcPr>
            <w:tcW w:w="2835" w:type="dxa"/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 xml:space="preserve">1 % </w:t>
            </w:r>
            <w:r w:rsidRPr="00A272BF">
              <w:rPr>
                <w:rFonts w:ascii="Times New Roman" w:eastAsiaTheme="minorEastAsia" w:hAnsi="Times New Roman"/>
                <w:kern w:val="2"/>
                <w:sz w:val="21"/>
                <w:szCs w:val="24"/>
              </w:rPr>
              <w:t>≤</w:t>
            </w: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 xml:space="preserve"> </w:t>
            </w:r>
            <w:r w:rsidRPr="00A272BF">
              <w:rPr>
                <w:rFonts w:ascii="Times New Roman" w:eastAsia="AdvGulliv-R" w:hAnsi="Times New Roman"/>
                <w:kern w:val="2"/>
                <w:sz w:val="21"/>
                <w:szCs w:val="21"/>
              </w:rPr>
              <w:t xml:space="preserve">RAC </w:t>
            </w:r>
            <w:r w:rsidRPr="00A272BF">
              <w:rPr>
                <w:rFonts w:ascii="Times New Roman" w:hAnsi="Times New Roman"/>
                <w:kern w:val="2"/>
                <w:sz w:val="21"/>
                <w:szCs w:val="21"/>
              </w:rPr>
              <w:t xml:space="preserve">&lt; </w:t>
            </w: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>10 %</w:t>
            </w:r>
          </w:p>
        </w:tc>
        <w:tc>
          <w:tcPr>
            <w:tcW w:w="3828" w:type="dxa"/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>relatively safe to the environment</w:t>
            </w:r>
          </w:p>
        </w:tc>
        <w:tc>
          <w:tcPr>
            <w:tcW w:w="1984" w:type="dxa"/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hAnsi="Times New Roman"/>
                <w:b/>
                <w:kern w:val="2"/>
                <w:sz w:val="21"/>
                <w:szCs w:val="24"/>
              </w:rPr>
            </w:pP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>low risk (LR)</w:t>
            </w:r>
          </w:p>
        </w:tc>
      </w:tr>
      <w:tr w:rsidR="00A272BF" w:rsidRPr="00A272BF" w:rsidTr="00D43B8F">
        <w:tc>
          <w:tcPr>
            <w:tcW w:w="2835" w:type="dxa"/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 xml:space="preserve">10 % </w:t>
            </w:r>
            <w:r w:rsidRPr="00A272BF">
              <w:rPr>
                <w:rFonts w:ascii="Times New Roman" w:eastAsiaTheme="minorEastAsia" w:hAnsi="Times New Roman"/>
                <w:kern w:val="2"/>
                <w:sz w:val="21"/>
                <w:szCs w:val="24"/>
              </w:rPr>
              <w:t>≤</w:t>
            </w: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 xml:space="preserve"> </w:t>
            </w:r>
            <w:r w:rsidRPr="00A272BF">
              <w:rPr>
                <w:rFonts w:ascii="Times New Roman" w:eastAsia="AdvGulliv-R" w:hAnsi="Times New Roman"/>
                <w:kern w:val="2"/>
                <w:sz w:val="21"/>
                <w:szCs w:val="21"/>
              </w:rPr>
              <w:t xml:space="preserve">RAC </w:t>
            </w:r>
            <w:r w:rsidRPr="00A272BF">
              <w:rPr>
                <w:rFonts w:ascii="Times New Roman" w:hAnsi="Times New Roman"/>
                <w:kern w:val="2"/>
                <w:sz w:val="21"/>
                <w:szCs w:val="21"/>
              </w:rPr>
              <w:t xml:space="preserve">&lt; </w:t>
            </w: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>30 %</w:t>
            </w:r>
          </w:p>
        </w:tc>
        <w:tc>
          <w:tcPr>
            <w:tcW w:w="3828" w:type="dxa"/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>relatively dangerous to the environment</w:t>
            </w:r>
          </w:p>
        </w:tc>
        <w:tc>
          <w:tcPr>
            <w:tcW w:w="1984" w:type="dxa"/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hAnsi="Times New Roman"/>
                <w:b/>
                <w:kern w:val="2"/>
                <w:sz w:val="21"/>
                <w:szCs w:val="24"/>
              </w:rPr>
            </w:pP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>medium risk (MR)</w:t>
            </w:r>
          </w:p>
        </w:tc>
      </w:tr>
      <w:tr w:rsidR="00A272BF" w:rsidRPr="00A272BF" w:rsidTr="00D43B8F">
        <w:tc>
          <w:tcPr>
            <w:tcW w:w="2835" w:type="dxa"/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 xml:space="preserve">30 % </w:t>
            </w:r>
            <w:r w:rsidRPr="00A272BF">
              <w:rPr>
                <w:rFonts w:ascii="Times New Roman" w:eastAsiaTheme="minorEastAsia" w:hAnsi="Times New Roman"/>
                <w:kern w:val="2"/>
                <w:sz w:val="21"/>
                <w:szCs w:val="24"/>
              </w:rPr>
              <w:t>≤</w:t>
            </w: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 xml:space="preserve"> </w:t>
            </w:r>
            <w:r w:rsidRPr="00A272BF">
              <w:rPr>
                <w:rFonts w:ascii="Times New Roman" w:eastAsia="AdvGulliv-R" w:hAnsi="Times New Roman"/>
                <w:kern w:val="2"/>
                <w:sz w:val="21"/>
                <w:szCs w:val="21"/>
              </w:rPr>
              <w:t xml:space="preserve">RAC </w:t>
            </w:r>
            <w:r w:rsidRPr="00A272BF">
              <w:rPr>
                <w:rFonts w:ascii="Times New Roman" w:hAnsi="Times New Roman"/>
                <w:kern w:val="2"/>
                <w:sz w:val="21"/>
                <w:szCs w:val="21"/>
              </w:rPr>
              <w:t xml:space="preserve">&lt; </w:t>
            </w: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>50 %</w:t>
            </w:r>
          </w:p>
        </w:tc>
        <w:tc>
          <w:tcPr>
            <w:tcW w:w="3828" w:type="dxa"/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>dangerous to the environment</w:t>
            </w:r>
          </w:p>
        </w:tc>
        <w:tc>
          <w:tcPr>
            <w:tcW w:w="1984" w:type="dxa"/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hAnsi="Times New Roman"/>
                <w:b/>
                <w:kern w:val="2"/>
                <w:sz w:val="21"/>
                <w:szCs w:val="24"/>
              </w:rPr>
            </w:pP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>high risk (HR)</w:t>
            </w:r>
          </w:p>
        </w:tc>
      </w:tr>
      <w:tr w:rsidR="00A272BF" w:rsidRPr="00A272BF" w:rsidTr="00D43B8F">
        <w:tc>
          <w:tcPr>
            <w:tcW w:w="2835" w:type="dxa"/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  <w:r w:rsidRPr="00A272BF">
              <w:rPr>
                <w:rFonts w:ascii="Times New Roman" w:eastAsia="AdvGulliv-R" w:hAnsi="Times New Roman"/>
                <w:kern w:val="2"/>
                <w:sz w:val="21"/>
                <w:szCs w:val="21"/>
              </w:rPr>
              <w:t>RAC</w:t>
            </w:r>
            <w:r w:rsidRPr="00A272BF">
              <w:rPr>
                <w:rFonts w:ascii="Times New Roman" w:hAnsi="Times New Roman"/>
                <w:kern w:val="2"/>
                <w:sz w:val="21"/>
                <w:szCs w:val="21"/>
              </w:rPr>
              <w:t>≥</w:t>
            </w:r>
            <w:r w:rsidRPr="00A272BF">
              <w:rPr>
                <w:rFonts w:ascii="Times New Roman" w:eastAsia="AdvGulliv-R" w:hAnsi="Times New Roman"/>
                <w:kern w:val="2"/>
                <w:sz w:val="21"/>
                <w:szCs w:val="21"/>
              </w:rPr>
              <w:t>50 %</w:t>
            </w:r>
          </w:p>
        </w:tc>
        <w:tc>
          <w:tcPr>
            <w:tcW w:w="3828" w:type="dxa"/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>very dangerous to the environment</w:t>
            </w:r>
          </w:p>
        </w:tc>
        <w:tc>
          <w:tcPr>
            <w:tcW w:w="1984" w:type="dxa"/>
            <w:vAlign w:val="center"/>
          </w:tcPr>
          <w:p w:rsidR="00A272BF" w:rsidRPr="00A272BF" w:rsidRDefault="00A272BF" w:rsidP="00A272BF">
            <w:pPr>
              <w:widowControl w:val="0"/>
              <w:spacing w:line="480" w:lineRule="auto"/>
              <w:jc w:val="both"/>
              <w:rPr>
                <w:rFonts w:ascii="Times New Roman" w:hAnsi="Times New Roman"/>
                <w:b/>
                <w:kern w:val="2"/>
                <w:sz w:val="21"/>
                <w:szCs w:val="24"/>
              </w:rPr>
            </w:pPr>
            <w:r w:rsidRPr="00A272BF">
              <w:rPr>
                <w:rFonts w:ascii="Times New Roman" w:hAnsi="Times New Roman"/>
                <w:kern w:val="2"/>
                <w:sz w:val="21"/>
                <w:szCs w:val="24"/>
              </w:rPr>
              <w:t>very high risk (VHR)</w:t>
            </w:r>
          </w:p>
        </w:tc>
      </w:tr>
      <w:bookmarkEnd w:id="7"/>
    </w:tbl>
    <w:p w:rsidR="00A272BF" w:rsidRPr="00A272BF" w:rsidRDefault="00A272BF" w:rsidP="00A272BF">
      <w:pPr>
        <w:adjustRightInd/>
        <w:snapToGrid/>
        <w:spacing w:line="480" w:lineRule="auto"/>
        <w:jc w:val="both"/>
        <w:rPr>
          <w:rFonts w:ascii="Times New Roman" w:eastAsia="宋体" w:hAnsi="Times New Roman" w:cs="Times New Roman"/>
          <w:b/>
          <w:kern w:val="2"/>
          <w:sz w:val="21"/>
          <w:szCs w:val="24"/>
        </w:rPr>
      </w:pPr>
    </w:p>
    <w:p w:rsidR="00A272BF" w:rsidRPr="00A272BF" w:rsidRDefault="00A272BF" w:rsidP="00A272BF">
      <w:pPr>
        <w:adjustRightInd/>
        <w:snapToGrid/>
        <w:spacing w:line="480" w:lineRule="auto"/>
        <w:jc w:val="both"/>
        <w:rPr>
          <w:rFonts w:ascii="Times New Roman" w:hAnsi="Times New Roman" w:cs="Times New Roman"/>
        </w:rPr>
      </w:pPr>
      <w:r w:rsidRPr="00A272BF">
        <w:rPr>
          <w:rFonts w:ascii="Times New Roman" w:hAnsi="Times New Roman" w:cs="Times New Roman"/>
        </w:rPr>
        <w:br w:type="page"/>
      </w:r>
    </w:p>
    <w:p w:rsidR="00A272BF" w:rsidRPr="00A272BF" w:rsidRDefault="00A272BF" w:rsidP="00A272BF">
      <w:pPr>
        <w:widowControl w:val="0"/>
        <w:spacing w:after="0" w:line="480" w:lineRule="auto"/>
        <w:jc w:val="both"/>
        <w:rPr>
          <w:rFonts w:ascii="Times New Roman" w:eastAsia="宋体" w:hAnsi="Times New Roman" w:cs="Times New Roman"/>
          <w:b/>
          <w:kern w:val="2"/>
          <w:sz w:val="21"/>
          <w:szCs w:val="24"/>
        </w:rPr>
      </w:pPr>
      <w:bookmarkStart w:id="10" w:name="_Hlk22746627"/>
      <w:r w:rsidRPr="00A272BF">
        <w:rPr>
          <w:rFonts w:ascii="Times New Roman" w:eastAsia="宋体" w:hAnsi="Times New Roman" w:cs="Times New Roman"/>
          <w:b/>
          <w:kern w:val="2"/>
          <w:sz w:val="21"/>
          <w:szCs w:val="24"/>
        </w:rPr>
        <w:lastRenderedPageBreak/>
        <w:t xml:space="preserve">Table S3 </w:t>
      </w:r>
    </w:p>
    <w:p w:rsidR="00A272BF" w:rsidRPr="00A272BF" w:rsidRDefault="00A272BF" w:rsidP="00A272BF">
      <w:pPr>
        <w:widowControl w:val="0"/>
        <w:spacing w:after="0" w:line="480" w:lineRule="auto"/>
        <w:jc w:val="both"/>
        <w:rPr>
          <w:rFonts w:ascii="Times New Roman" w:eastAsia="宋体" w:hAnsi="Times New Roman" w:cs="Times New Roman"/>
          <w:bCs/>
          <w:kern w:val="2"/>
          <w:sz w:val="24"/>
          <w:szCs w:val="24"/>
        </w:rPr>
      </w:pPr>
      <w:r w:rsidRPr="00A272BF">
        <w:rPr>
          <w:rFonts w:ascii="Times New Roman" w:eastAsia="宋体" w:hAnsi="Times New Roman" w:cs="Times New Roman"/>
          <w:kern w:val="2"/>
          <w:sz w:val="21"/>
          <w:szCs w:val="24"/>
        </w:rPr>
        <w:t>The original metal content of Pb and Cd in the samples (50g) at different mixture ratio before pyrolysis.</w:t>
      </w:r>
    </w:p>
    <w:tbl>
      <w:tblPr>
        <w:tblStyle w:val="a5"/>
        <w:tblW w:w="856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1938"/>
        <w:gridCol w:w="1778"/>
        <w:gridCol w:w="1778"/>
        <w:gridCol w:w="1446"/>
      </w:tblGrid>
      <w:tr w:rsidR="00A272BF" w:rsidRPr="00A272BF" w:rsidTr="00D43B8F">
        <w:trPr>
          <w:trHeight w:val="261"/>
        </w:trPr>
        <w:tc>
          <w:tcPr>
            <w:tcW w:w="1624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Item</w:t>
            </w:r>
          </w:p>
        </w:tc>
        <w:tc>
          <w:tcPr>
            <w:tcW w:w="69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Original metal content  (g)</w:t>
            </w:r>
          </w:p>
        </w:tc>
      </w:tr>
      <w:tr w:rsidR="00A272BF" w:rsidRPr="00A272BF" w:rsidTr="00D43B8F">
        <w:trPr>
          <w:trHeight w:val="279"/>
        </w:trPr>
        <w:tc>
          <w:tcPr>
            <w:tcW w:w="1624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b0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b10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b30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b50</w:t>
            </w:r>
          </w:p>
        </w:tc>
      </w:tr>
      <w:tr w:rsidR="00A272BF" w:rsidRPr="00A272BF" w:rsidTr="00D43B8F">
        <w:trPr>
          <w:trHeight w:val="320"/>
        </w:trPr>
        <w:tc>
          <w:tcPr>
            <w:tcW w:w="1624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 xml:space="preserve">Pb </w:t>
            </w:r>
          </w:p>
        </w:tc>
        <w:tc>
          <w:tcPr>
            <w:tcW w:w="19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100.00</w:t>
            </w: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90.00</w:t>
            </w: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70.01</w:t>
            </w: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50.01</w:t>
            </w:r>
          </w:p>
        </w:tc>
      </w:tr>
      <w:tr w:rsidR="00A272BF" w:rsidRPr="00A272BF" w:rsidTr="00D43B8F">
        <w:trPr>
          <w:trHeight w:val="233"/>
        </w:trPr>
        <w:tc>
          <w:tcPr>
            <w:tcW w:w="1624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Cd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1.58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</w:tr>
    </w:tbl>
    <w:p w:rsidR="00A272BF" w:rsidRPr="00A272BF" w:rsidRDefault="00A272BF" w:rsidP="00A272BF">
      <w:pPr>
        <w:spacing w:line="480" w:lineRule="auto"/>
        <w:jc w:val="both"/>
        <w:rPr>
          <w:rFonts w:ascii="Times New Roman" w:hAnsi="Times New Roman" w:cs="Times New Roman"/>
        </w:rPr>
      </w:pPr>
    </w:p>
    <w:bookmarkEnd w:id="10"/>
    <w:p w:rsidR="00A272BF" w:rsidRPr="00A272BF" w:rsidRDefault="00A272BF" w:rsidP="00A272BF">
      <w:pPr>
        <w:adjustRightInd/>
        <w:snapToGrid/>
        <w:spacing w:line="480" w:lineRule="auto"/>
        <w:jc w:val="both"/>
        <w:rPr>
          <w:rFonts w:ascii="Times New Roman" w:eastAsia="宋体" w:hAnsi="Times New Roman" w:cs="Times New Roman"/>
          <w:b/>
          <w:kern w:val="2"/>
          <w:sz w:val="21"/>
          <w:szCs w:val="24"/>
        </w:rPr>
      </w:pPr>
      <w:r w:rsidRPr="00A272BF">
        <w:rPr>
          <w:rFonts w:ascii="Times New Roman" w:eastAsia="宋体" w:hAnsi="Times New Roman" w:cs="Times New Roman"/>
          <w:b/>
          <w:kern w:val="2"/>
          <w:sz w:val="21"/>
          <w:szCs w:val="24"/>
        </w:rPr>
        <w:br w:type="page"/>
      </w:r>
    </w:p>
    <w:p w:rsidR="00A272BF" w:rsidRPr="00A272BF" w:rsidRDefault="00A272BF" w:rsidP="00A272BF">
      <w:pPr>
        <w:widowControl w:val="0"/>
        <w:spacing w:after="0" w:line="480" w:lineRule="auto"/>
        <w:jc w:val="both"/>
        <w:rPr>
          <w:rFonts w:ascii="Times New Roman" w:eastAsia="宋体" w:hAnsi="Times New Roman" w:cs="Times New Roman"/>
          <w:b/>
          <w:kern w:val="2"/>
          <w:sz w:val="21"/>
          <w:szCs w:val="24"/>
        </w:rPr>
      </w:pPr>
      <w:bookmarkStart w:id="11" w:name="_Hlk22746692"/>
      <w:r w:rsidRPr="00A272BF">
        <w:rPr>
          <w:rFonts w:ascii="Times New Roman" w:eastAsia="宋体" w:hAnsi="Times New Roman" w:cs="Times New Roman"/>
          <w:b/>
          <w:kern w:val="2"/>
          <w:sz w:val="21"/>
          <w:szCs w:val="24"/>
        </w:rPr>
        <w:lastRenderedPageBreak/>
        <w:t xml:space="preserve">Table S4 </w:t>
      </w:r>
    </w:p>
    <w:p w:rsidR="00A272BF" w:rsidRPr="00A272BF" w:rsidRDefault="00A272BF" w:rsidP="00A272BF">
      <w:pPr>
        <w:widowControl w:val="0"/>
        <w:spacing w:after="0" w:line="480" w:lineRule="auto"/>
        <w:jc w:val="both"/>
        <w:rPr>
          <w:rFonts w:ascii="Times New Roman" w:eastAsia="宋体" w:hAnsi="Times New Roman" w:cs="Times New Roman"/>
          <w:bCs/>
          <w:kern w:val="2"/>
          <w:sz w:val="24"/>
          <w:szCs w:val="24"/>
        </w:rPr>
      </w:pPr>
      <w:r w:rsidRPr="00A272BF">
        <w:rPr>
          <w:rFonts w:ascii="Times New Roman" w:eastAsia="宋体" w:hAnsi="Times New Roman" w:cs="Times New Roman"/>
          <w:kern w:val="2"/>
          <w:sz w:val="21"/>
          <w:szCs w:val="24"/>
        </w:rPr>
        <w:t>The recovery rate (%) of Pb and Cd during the co-pyrolysis process.</w:t>
      </w:r>
    </w:p>
    <w:tbl>
      <w:tblPr>
        <w:tblStyle w:val="a5"/>
        <w:tblW w:w="82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273"/>
        <w:gridCol w:w="1213"/>
        <w:gridCol w:w="926"/>
        <w:gridCol w:w="811"/>
        <w:gridCol w:w="819"/>
        <w:gridCol w:w="310"/>
        <w:gridCol w:w="718"/>
        <w:gridCol w:w="713"/>
        <w:gridCol w:w="752"/>
        <w:gridCol w:w="720"/>
      </w:tblGrid>
      <w:tr w:rsidR="00A272BF" w:rsidRPr="00A272BF" w:rsidTr="00D43B8F">
        <w:trPr>
          <w:trHeight w:val="457"/>
        </w:trPr>
        <w:tc>
          <w:tcPr>
            <w:tcW w:w="94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T</w:t>
            </w:r>
          </w:p>
        </w:tc>
        <w:tc>
          <w:tcPr>
            <w:tcW w:w="27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0"/>
                <w:szCs w:val="10"/>
              </w:rPr>
            </w:pPr>
          </w:p>
        </w:tc>
        <w:tc>
          <w:tcPr>
            <w:tcW w:w="376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Recovery  rate of Pb (%)</w:t>
            </w: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90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Recovery  rate of Cd (%)</w:t>
            </w:r>
          </w:p>
        </w:tc>
      </w:tr>
      <w:tr w:rsidR="00A272BF" w:rsidRPr="00A272BF" w:rsidTr="00D43B8F">
        <w:trPr>
          <w:trHeight w:val="202"/>
        </w:trPr>
        <w:tc>
          <w:tcPr>
            <w:tcW w:w="945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bookmarkStart w:id="12" w:name="_Hlk22115652"/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b0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b10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b30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b50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b0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b10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b30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b50</w:t>
            </w:r>
          </w:p>
        </w:tc>
      </w:tr>
      <w:bookmarkEnd w:id="12"/>
      <w:tr w:rsidR="00A272BF" w:rsidRPr="00A272BF" w:rsidTr="00D43B8F">
        <w:trPr>
          <w:trHeight w:val="417"/>
        </w:trPr>
        <w:tc>
          <w:tcPr>
            <w:tcW w:w="94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 xml:space="preserve">300 </w:t>
            </w: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℃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101.2</w:t>
            </w:r>
          </w:p>
        </w:tc>
        <w:tc>
          <w:tcPr>
            <w:tcW w:w="926" w:type="dxa"/>
            <w:tcBorders>
              <w:top w:val="single" w:sz="12" w:space="0" w:color="auto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87.0</w:t>
            </w:r>
          </w:p>
        </w:tc>
        <w:tc>
          <w:tcPr>
            <w:tcW w:w="811" w:type="dxa"/>
            <w:tcBorders>
              <w:top w:val="single" w:sz="12" w:space="0" w:color="auto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90.1</w:t>
            </w:r>
          </w:p>
        </w:tc>
        <w:tc>
          <w:tcPr>
            <w:tcW w:w="819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110.8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103.7</w:t>
            </w:r>
          </w:p>
        </w:tc>
        <w:tc>
          <w:tcPr>
            <w:tcW w:w="713" w:type="dxa"/>
            <w:tcBorders>
              <w:top w:val="single" w:sz="12" w:space="0" w:color="auto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91.1</w:t>
            </w:r>
          </w:p>
        </w:tc>
        <w:tc>
          <w:tcPr>
            <w:tcW w:w="752" w:type="dxa"/>
            <w:tcBorders>
              <w:top w:val="single" w:sz="12" w:space="0" w:color="auto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100.3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106.2</w:t>
            </w:r>
          </w:p>
        </w:tc>
      </w:tr>
      <w:tr w:rsidR="00A272BF" w:rsidRPr="00A272BF" w:rsidTr="00D43B8F">
        <w:trPr>
          <w:trHeight w:val="417"/>
        </w:trPr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 xml:space="preserve">400 </w:t>
            </w: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℃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93.6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83.5</w:t>
            </w:r>
          </w:p>
        </w:tc>
        <w:tc>
          <w:tcPr>
            <w:tcW w:w="811" w:type="dxa"/>
            <w:tcBorders>
              <w:top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83.8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97.4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96.6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91.3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88.9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104.4</w:t>
            </w:r>
          </w:p>
        </w:tc>
      </w:tr>
      <w:tr w:rsidR="00A272BF" w:rsidRPr="00A272BF" w:rsidTr="00D43B8F">
        <w:trPr>
          <w:trHeight w:val="409"/>
        </w:trPr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 xml:space="preserve">500 </w:t>
            </w: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℃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96.5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83.5</w:t>
            </w:r>
          </w:p>
        </w:tc>
        <w:tc>
          <w:tcPr>
            <w:tcW w:w="811" w:type="dxa"/>
            <w:tcBorders>
              <w:top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89.7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93.0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97.5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89.9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92.6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104.4</w:t>
            </w:r>
          </w:p>
        </w:tc>
      </w:tr>
      <w:tr w:rsidR="00A272BF" w:rsidRPr="00A272BF" w:rsidTr="00D43B8F">
        <w:trPr>
          <w:trHeight w:val="417"/>
        </w:trPr>
        <w:tc>
          <w:tcPr>
            <w:tcW w:w="94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 xml:space="preserve">600 </w:t>
            </w:r>
            <w:r w:rsidRPr="00A272BF">
              <w:rPr>
                <w:rFonts w:ascii="Times New Roman" w:hAnsi="Times New Roman"/>
                <w:kern w:val="2"/>
                <w:sz w:val="18"/>
                <w:szCs w:val="18"/>
              </w:rPr>
              <w:t>℃</w:t>
            </w:r>
          </w:p>
        </w:tc>
        <w:tc>
          <w:tcPr>
            <w:tcW w:w="273" w:type="dxa"/>
            <w:tcBorders>
              <w:top w:val="nil"/>
              <w:bottom w:val="single" w:sz="12" w:space="0" w:color="auto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103.8</w:t>
            </w:r>
          </w:p>
        </w:tc>
        <w:tc>
          <w:tcPr>
            <w:tcW w:w="926" w:type="dxa"/>
            <w:tcBorders>
              <w:top w:val="nil"/>
              <w:bottom w:val="single" w:sz="12" w:space="0" w:color="auto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93.9</w:t>
            </w:r>
          </w:p>
        </w:tc>
        <w:tc>
          <w:tcPr>
            <w:tcW w:w="811" w:type="dxa"/>
            <w:tcBorders>
              <w:top w:val="nil"/>
              <w:bottom w:val="single" w:sz="12" w:space="0" w:color="auto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88.7</w:t>
            </w:r>
          </w:p>
        </w:tc>
        <w:tc>
          <w:tcPr>
            <w:tcW w:w="819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110.2</w:t>
            </w:r>
          </w:p>
        </w:tc>
        <w:tc>
          <w:tcPr>
            <w:tcW w:w="31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97.5</w:t>
            </w:r>
          </w:p>
        </w:tc>
        <w:tc>
          <w:tcPr>
            <w:tcW w:w="713" w:type="dxa"/>
            <w:tcBorders>
              <w:top w:val="nil"/>
              <w:bottom w:val="single" w:sz="12" w:space="0" w:color="auto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752" w:type="dxa"/>
            <w:tcBorders>
              <w:top w:val="nil"/>
              <w:bottom w:val="single" w:sz="12" w:space="0" w:color="auto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88.1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:rsidR="00A272BF" w:rsidRPr="00A272BF" w:rsidRDefault="00A272BF" w:rsidP="00A272BF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2BF">
              <w:rPr>
                <w:rFonts w:ascii="Times New Roman" w:hAnsi="Times New Roman"/>
                <w:sz w:val="18"/>
                <w:szCs w:val="18"/>
              </w:rPr>
              <w:t>114.6</w:t>
            </w:r>
          </w:p>
        </w:tc>
      </w:tr>
      <w:bookmarkEnd w:id="11"/>
    </w:tbl>
    <w:p w:rsidR="00A272BF" w:rsidRPr="00A272BF" w:rsidRDefault="00A272BF" w:rsidP="00A272BF">
      <w:pPr>
        <w:spacing w:line="480" w:lineRule="auto"/>
        <w:jc w:val="both"/>
        <w:rPr>
          <w:rFonts w:ascii="Times New Roman" w:hAnsi="Times New Roman" w:cs="Times New Roman"/>
        </w:rPr>
      </w:pPr>
    </w:p>
    <w:p w:rsidR="004358AB" w:rsidRDefault="004358AB" w:rsidP="00323B43"/>
    <w:sectPr w:rsidR="004358AB" w:rsidSect="00A272BF">
      <w:footerReference w:type="default" r:id="rId5"/>
      <w:pgSz w:w="11906" w:h="16838" w:code="9"/>
      <w:pgMar w:top="1440" w:right="1797" w:bottom="1440" w:left="1797" w:header="851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Gulliv-R">
    <w:altName w:val="宋体"/>
    <w:charset w:val="86"/>
    <w:family w:val="auto"/>
    <w:pitch w:val="default"/>
    <w:sig w:usb0="00000003" w:usb1="080E0000" w:usb2="00000010" w:usb3="00000000" w:csb0="00040001" w:csb1="00000000"/>
  </w:font>
  <w:font w:name="E-BZ+ZKJDlJ-1">
    <w:altName w:val="宋体"/>
    <w:charset w:val="86"/>
    <w:family w:val="auto"/>
    <w:pitch w:val="default"/>
    <w:sig w:usb0="00000000" w:usb1="00000000" w:usb2="00000000" w:usb3="00000000" w:csb0="00040000" w:csb1="00000000"/>
  </w:font>
  <w:font w:name="E-BX+ZKJDlJ-4">
    <w:altName w:val="宋体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宋体"/>
    <w:charset w:val="86"/>
    <w:family w:val="auto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Gulliv-I">
    <w:altName w:val="Courier New"/>
    <w:charset w:val="00"/>
    <w:family w:val="roman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854056"/>
      <w:docPartObj>
        <w:docPartGallery w:val="Page Numbers (Bottom of Page)"/>
        <w:docPartUnique/>
      </w:docPartObj>
    </w:sdtPr>
    <w:sdtEndPr/>
    <w:sdtContent>
      <w:p w:rsidR="00925B01" w:rsidRDefault="00A272BF" w:rsidP="000223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925B01" w:rsidRDefault="00A272B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BC"/>
    <w:rsid w:val="00323B43"/>
    <w:rsid w:val="003D37D8"/>
    <w:rsid w:val="004308BC"/>
    <w:rsid w:val="004358AB"/>
    <w:rsid w:val="008B7726"/>
    <w:rsid w:val="00A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864E"/>
  <w15:chartTrackingRefBased/>
  <w15:docId w15:val="{B53F47E6-6227-4E20-8FFC-57D782C3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272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A272BF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A272BF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A2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liuhe@jiangnan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270657164@qq.com</dc:creator>
  <cp:keywords/>
  <dc:description/>
  <cp:lastModifiedBy>270657164@qq.com</cp:lastModifiedBy>
  <cp:revision>2</cp:revision>
  <dcterms:created xsi:type="dcterms:W3CDTF">2019-10-29T03:14:00Z</dcterms:created>
  <dcterms:modified xsi:type="dcterms:W3CDTF">2019-10-29T03:17:00Z</dcterms:modified>
</cp:coreProperties>
</file>