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75" w:rsidRDefault="00833C55" w:rsidP="00317C75">
      <w:pPr>
        <w:rPr>
          <w:sz w:val="24"/>
          <w:szCs w:val="24"/>
        </w:rPr>
      </w:pPr>
      <w:bookmarkStart w:id="0" w:name="_GoBack"/>
      <w:bookmarkEnd w:id="0"/>
      <w:r>
        <w:rPr>
          <w:sz w:val="24"/>
          <w:szCs w:val="24"/>
        </w:rPr>
        <w:t>Table S1</w:t>
      </w:r>
      <w:r w:rsidR="00317C75">
        <w:rPr>
          <w:sz w:val="24"/>
          <w:szCs w:val="24"/>
        </w:rPr>
        <w:t>: Classification of forage species identified during vegetation sampling.</w:t>
      </w:r>
    </w:p>
    <w:p w:rsidR="00317C75" w:rsidRDefault="00317C75" w:rsidP="00317C75">
      <w:pPr>
        <w:rPr>
          <w:sz w:val="24"/>
          <w:szCs w:val="24"/>
        </w:rPr>
      </w:pPr>
    </w:p>
    <w:tbl>
      <w:tblPr>
        <w:tblW w:w="9634" w:type="dxa"/>
        <w:tblBorders>
          <w:top w:val="single" w:sz="4" w:space="0" w:color="auto"/>
          <w:bottom w:val="single" w:sz="4" w:space="0" w:color="auto"/>
        </w:tblBorders>
        <w:tblLayout w:type="fixed"/>
        <w:tblLook w:val="04A0" w:firstRow="1" w:lastRow="0" w:firstColumn="1" w:lastColumn="0" w:noHBand="0" w:noVBand="1"/>
      </w:tblPr>
      <w:tblGrid>
        <w:gridCol w:w="1271"/>
        <w:gridCol w:w="1701"/>
        <w:gridCol w:w="2835"/>
        <w:gridCol w:w="1418"/>
        <w:gridCol w:w="2409"/>
      </w:tblGrid>
      <w:tr w:rsidR="002648EB" w:rsidTr="00463320">
        <w:trPr>
          <w:trHeight w:val="238"/>
        </w:trPr>
        <w:tc>
          <w:tcPr>
            <w:tcW w:w="1271" w:type="dxa"/>
            <w:tcBorders>
              <w:top w:val="single" w:sz="4" w:space="0" w:color="auto"/>
              <w:bottom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Functional group</w:t>
            </w:r>
          </w:p>
        </w:tc>
        <w:tc>
          <w:tcPr>
            <w:tcW w:w="1701" w:type="dxa"/>
            <w:tcBorders>
              <w:top w:val="single" w:sz="4" w:space="0" w:color="auto"/>
              <w:bottom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Family</w:t>
            </w:r>
          </w:p>
        </w:tc>
        <w:tc>
          <w:tcPr>
            <w:tcW w:w="2835" w:type="dxa"/>
            <w:tcBorders>
              <w:top w:val="single" w:sz="4" w:space="0" w:color="auto"/>
              <w:bottom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Species</w:t>
            </w:r>
          </w:p>
        </w:tc>
        <w:tc>
          <w:tcPr>
            <w:tcW w:w="1418" w:type="dxa"/>
            <w:tcBorders>
              <w:top w:val="single" w:sz="4" w:space="0" w:color="auto"/>
              <w:bottom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Life form</w:t>
            </w:r>
          </w:p>
        </w:tc>
        <w:tc>
          <w:tcPr>
            <w:tcW w:w="2409" w:type="dxa"/>
            <w:tcBorders>
              <w:top w:val="single" w:sz="4" w:space="0" w:color="auto"/>
              <w:bottom w:val="single" w:sz="4" w:space="0" w:color="auto"/>
            </w:tcBorders>
          </w:tcPr>
          <w:p w:rsidR="002648EB" w:rsidRDefault="002648EB" w:rsidP="00463320">
            <w:pPr>
              <w:spacing w:line="256" w:lineRule="auto"/>
              <w:jc w:val="center"/>
              <w:rPr>
                <w:sz w:val="24"/>
                <w:szCs w:val="24"/>
                <w:lang w:eastAsia="en-US"/>
              </w:rPr>
            </w:pPr>
            <w:r>
              <w:rPr>
                <w:sz w:val="24"/>
                <w:szCs w:val="24"/>
                <w:lang w:eastAsia="en-US"/>
              </w:rPr>
              <w:t>References</w:t>
            </w:r>
          </w:p>
        </w:tc>
      </w:tr>
      <w:tr w:rsidR="002648EB" w:rsidTr="00463320">
        <w:trPr>
          <w:trHeight w:val="342"/>
        </w:trPr>
        <w:tc>
          <w:tcPr>
            <w:tcW w:w="1271" w:type="dxa"/>
            <w:tcBorders>
              <w:top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Grass</w:t>
            </w:r>
          </w:p>
        </w:tc>
        <w:tc>
          <w:tcPr>
            <w:tcW w:w="1701" w:type="dxa"/>
            <w:tcBorders>
              <w:top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Poaceae</w:t>
            </w:r>
          </w:p>
        </w:tc>
        <w:tc>
          <w:tcPr>
            <w:tcW w:w="2835" w:type="dxa"/>
            <w:tcBorders>
              <w:top w:val="single" w:sz="4" w:space="0" w:color="auto"/>
            </w:tcBorders>
            <w:hideMark/>
          </w:tcPr>
          <w:p w:rsidR="002648EB" w:rsidRDefault="002648EB" w:rsidP="00463320">
            <w:pPr>
              <w:spacing w:line="256" w:lineRule="auto"/>
              <w:jc w:val="center"/>
              <w:rPr>
                <w:sz w:val="24"/>
                <w:szCs w:val="24"/>
                <w:lang w:eastAsia="en-US"/>
              </w:rPr>
            </w:pPr>
            <w:r w:rsidRPr="00666F00">
              <w:rPr>
                <w:i/>
                <w:sz w:val="24"/>
                <w:szCs w:val="24"/>
                <w:lang w:eastAsia="en-US"/>
              </w:rPr>
              <w:t>Poa annua</w:t>
            </w:r>
            <w:r>
              <w:rPr>
                <w:sz w:val="24"/>
                <w:szCs w:val="24"/>
                <w:lang w:eastAsia="en-US"/>
              </w:rPr>
              <w:t xml:space="preserve"> L.</w:t>
            </w:r>
          </w:p>
        </w:tc>
        <w:tc>
          <w:tcPr>
            <w:tcW w:w="1418" w:type="dxa"/>
            <w:tcBorders>
              <w:top w:val="single" w:sz="4" w:space="0" w:color="auto"/>
            </w:tcBorders>
            <w:hideMark/>
          </w:tcPr>
          <w:p w:rsidR="002648EB" w:rsidRDefault="002648EB" w:rsidP="00463320">
            <w:pPr>
              <w:spacing w:line="256" w:lineRule="auto"/>
              <w:jc w:val="center"/>
              <w:rPr>
                <w:sz w:val="24"/>
                <w:szCs w:val="24"/>
                <w:lang w:eastAsia="en-US"/>
              </w:rPr>
            </w:pPr>
            <w:r>
              <w:rPr>
                <w:sz w:val="24"/>
                <w:szCs w:val="24"/>
                <w:lang w:eastAsia="en-US"/>
              </w:rPr>
              <w:t>Annual</w:t>
            </w:r>
          </w:p>
        </w:tc>
        <w:tc>
          <w:tcPr>
            <w:tcW w:w="2409" w:type="dxa"/>
            <w:tcBorders>
              <w:top w:val="single" w:sz="4" w:space="0" w:color="auto"/>
            </w:tcBorders>
          </w:tcPr>
          <w:p w:rsidR="002648EB" w:rsidRDefault="00FA2A99" w:rsidP="00463320">
            <w:pPr>
              <w:spacing w:line="256" w:lineRule="auto"/>
              <w:jc w:val="center"/>
              <w:rPr>
                <w:sz w:val="24"/>
                <w:szCs w:val="24"/>
                <w:lang w:eastAsia="en-US"/>
              </w:rPr>
            </w:pPr>
            <w:r>
              <w:rPr>
                <w:sz w:val="24"/>
                <w:szCs w:val="24"/>
                <w:lang w:eastAsia="en-US"/>
              </w:rPr>
              <w:t>GRIN</w:t>
            </w:r>
            <w:r w:rsidR="00995543">
              <w:rPr>
                <w:sz w:val="24"/>
                <w:szCs w:val="24"/>
                <w:lang w:eastAsia="en-US"/>
              </w:rPr>
              <w:t xml:space="preserve">; </w:t>
            </w:r>
            <w:r w:rsidR="00995543">
              <w:rPr>
                <w:sz w:val="24"/>
                <w:szCs w:val="24"/>
                <w:lang w:eastAsia="en-US"/>
              </w:rPr>
              <w:fldChar w:fldCharType="begin" w:fldLock="1"/>
            </w:r>
            <w:r w:rsidR="00FD6F8C">
              <w:rPr>
                <w:sz w:val="24"/>
                <w:szCs w:val="24"/>
                <w:lang w:eastAsia="en-US"/>
              </w:rPr>
              <w:instrText>ADDIN CSL_CITATION {"citationItems":[{"id":"ITEM-1","itemData":{"author":[{"dropping-particle":"","family":"Sun","given":"Q","non-dropping-particle":"","parse-names":false,"suffix":""}],"id":"ITEM-1","issued":{"date-parts":[["1992"]]},"number-of-pages":"1-29","publisher-place":"Lalitpur","title":"Management of pastoral systems in the mountains","type":"report"},"uris":["http://www.mendeley.com/documents/?uuid=21262e1b-c1ef-4041-9e3a-5a9d051b0b61"]}],"mendeley":{"formattedCitation":"(Sun, 1992)","manualFormatting":"Sun (1992)","plainTextFormattedCitation":"(Sun, 1992)","previouslyFormattedCitation":"(Sun, 1992)"},"properties":{"noteIndex":0},"schema":"https://github.com/citation-style-language/schema/raw/master/csl-citation.json"}</w:instrText>
            </w:r>
            <w:r w:rsidR="00995543">
              <w:rPr>
                <w:sz w:val="24"/>
                <w:szCs w:val="24"/>
                <w:lang w:eastAsia="en-US"/>
              </w:rPr>
              <w:fldChar w:fldCharType="separate"/>
            </w:r>
            <w:r w:rsidR="00FD6F8C">
              <w:rPr>
                <w:noProof/>
                <w:sz w:val="24"/>
                <w:szCs w:val="24"/>
                <w:lang w:eastAsia="en-US"/>
              </w:rPr>
              <w:t>Sun</w:t>
            </w:r>
            <w:r w:rsidR="00995543" w:rsidRPr="00995543">
              <w:rPr>
                <w:noProof/>
                <w:sz w:val="24"/>
                <w:szCs w:val="24"/>
                <w:lang w:eastAsia="en-US"/>
              </w:rPr>
              <w:t xml:space="preserve"> </w:t>
            </w:r>
            <w:r w:rsidR="00FD6F8C">
              <w:rPr>
                <w:noProof/>
                <w:sz w:val="24"/>
                <w:szCs w:val="24"/>
                <w:lang w:eastAsia="en-US"/>
              </w:rPr>
              <w:t>(</w:t>
            </w:r>
            <w:r w:rsidR="00995543" w:rsidRPr="00995543">
              <w:rPr>
                <w:noProof/>
                <w:sz w:val="24"/>
                <w:szCs w:val="24"/>
                <w:lang w:eastAsia="en-US"/>
              </w:rPr>
              <w:t>1992)</w:t>
            </w:r>
            <w:r w:rsidR="00995543">
              <w:rPr>
                <w:sz w:val="24"/>
                <w:szCs w:val="24"/>
                <w:lang w:eastAsia="en-US"/>
              </w:rPr>
              <w:fldChar w:fldCharType="end"/>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C73DF9"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Elymus </w:t>
            </w:r>
            <w:r w:rsidR="00C73DF9">
              <w:rPr>
                <w:rFonts w:eastAsia="Times New Roman"/>
                <w:i/>
                <w:iCs/>
                <w:color w:val="000000"/>
                <w:sz w:val="24"/>
                <w:szCs w:val="24"/>
                <w:lang w:eastAsia="en-US"/>
              </w:rPr>
              <w:t xml:space="preserve">dahuricus </w:t>
            </w:r>
            <w:r w:rsidR="00C73DF9">
              <w:rPr>
                <w:rFonts w:eastAsia="Times New Roman"/>
                <w:iCs/>
                <w:color w:val="000000"/>
                <w:sz w:val="24"/>
                <w:szCs w:val="24"/>
                <w:lang w:eastAsia="en-US"/>
              </w:rPr>
              <w:t>Turcz. ex. Griseb.</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2E617F" w:rsidP="00463320">
            <w:pPr>
              <w:spacing w:line="256" w:lineRule="auto"/>
              <w:jc w:val="center"/>
              <w:rPr>
                <w:sz w:val="24"/>
                <w:szCs w:val="24"/>
                <w:lang w:eastAsia="en-US"/>
              </w:rPr>
            </w:pPr>
            <w:r>
              <w:rPr>
                <w:sz w:val="24"/>
                <w:szCs w:val="24"/>
                <w:lang w:eastAsia="en-US"/>
              </w:rPr>
              <w:fldChar w:fldCharType="begin" w:fldLock="1"/>
            </w:r>
            <w:r w:rsidR="00FD6F8C">
              <w:rPr>
                <w:sz w:val="24"/>
                <w:szCs w:val="24"/>
                <w:lang w:eastAsia="en-US"/>
              </w:rPr>
              <w:instrText>ADDIN CSL_CITATION {"citationItems":[{"id":"ITEM-1","itemData":{"ISBN":"9781889878447","ISSN":"&lt;null&gt;","PMID":"581","author":[{"dropping-particle":"","family":"Tilley","given":"D","non-dropping-particle":"","parse-names":false,"suffix":""},{"dropping-particle":"","family":"John","given":"L","non-dropping-particle":"St.","parse-names":false,"suffix":""}],"container-title":"USDA-Natural Resources","id":"ITEM-1","issued":{"date-parts":[["2014"]]},"page":"1-3","title":"Plant Guide for Dahurian wildrye (Elymus dahuricus)","type":"article-journal"},"uris":["http://www.mendeley.com/documents/?uuid=685d50af-f19b-4f40-a68f-ed596dcff608"]}],"mendeley":{"formattedCitation":"(Tilley and St. John, 2014)","manualFormatting":"Tilley and St. John (2014)","plainTextFormattedCitation":"(Tilley and St. John, 2014)","previouslyFormattedCitation":"(Tilley and St. John, 2014)"},"properties":{"noteIndex":0},"schema":"https://github.com/citation-style-language/schema/raw/master/csl-citation.json"}</w:instrText>
            </w:r>
            <w:r>
              <w:rPr>
                <w:sz w:val="24"/>
                <w:szCs w:val="24"/>
                <w:lang w:eastAsia="en-US"/>
              </w:rPr>
              <w:fldChar w:fldCharType="separate"/>
            </w:r>
            <w:r w:rsidRPr="002E617F">
              <w:rPr>
                <w:noProof/>
                <w:sz w:val="24"/>
                <w:szCs w:val="24"/>
                <w:lang w:eastAsia="en-US"/>
              </w:rPr>
              <w:t xml:space="preserve">Tilley and St. John </w:t>
            </w:r>
            <w:r w:rsidR="00FD6F8C">
              <w:rPr>
                <w:noProof/>
                <w:sz w:val="24"/>
                <w:szCs w:val="24"/>
                <w:lang w:eastAsia="en-US"/>
              </w:rPr>
              <w:t>(</w:t>
            </w:r>
            <w:r w:rsidRPr="002E617F">
              <w:rPr>
                <w:noProof/>
                <w:sz w:val="24"/>
                <w:szCs w:val="24"/>
                <w:lang w:eastAsia="en-US"/>
              </w:rPr>
              <w:t>2014)</w:t>
            </w:r>
            <w:r>
              <w:rPr>
                <w:sz w:val="24"/>
                <w:szCs w:val="24"/>
                <w:lang w:eastAsia="en-US"/>
              </w:rPr>
              <w:fldChar w:fldCharType="end"/>
            </w:r>
          </w:p>
        </w:tc>
      </w:tr>
      <w:tr w:rsidR="002648EB" w:rsidTr="00463320">
        <w:trPr>
          <w:trHeight w:val="234"/>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Festuca rubra </w:t>
            </w:r>
            <w:r w:rsidRPr="004025F7">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BA1E27" w:rsidP="00463320">
            <w:pPr>
              <w:spacing w:line="256" w:lineRule="auto"/>
              <w:jc w:val="center"/>
              <w:rPr>
                <w:sz w:val="24"/>
                <w:szCs w:val="24"/>
                <w:lang w:eastAsia="en-US"/>
              </w:rPr>
            </w:pPr>
            <w:r>
              <w:rPr>
                <w:sz w:val="24"/>
                <w:szCs w:val="24"/>
                <w:lang w:eastAsia="en-US"/>
              </w:rPr>
              <w:t>GRIN</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Koeleria cristata </w:t>
            </w:r>
            <w:r w:rsidRPr="00436A54">
              <w:rPr>
                <w:rFonts w:eastAsia="Times New Roman"/>
                <w:iCs/>
                <w:color w:val="000000"/>
                <w:sz w:val="24"/>
                <w:szCs w:val="24"/>
                <w:lang w:eastAsia="en-US"/>
              </w:rPr>
              <w:t>auct.</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BA1E27" w:rsidP="00463320">
            <w:pPr>
              <w:spacing w:line="256" w:lineRule="auto"/>
              <w:jc w:val="center"/>
              <w:rPr>
                <w:sz w:val="24"/>
                <w:szCs w:val="24"/>
                <w:lang w:eastAsia="en-US"/>
              </w:rPr>
            </w:pPr>
            <w:r>
              <w:rPr>
                <w:sz w:val="24"/>
                <w:szCs w:val="24"/>
                <w:lang w:eastAsia="en-US"/>
              </w:rPr>
              <w:t>GRIN</w:t>
            </w:r>
          </w:p>
        </w:tc>
      </w:tr>
      <w:tr w:rsidR="002648EB" w:rsidTr="00463320">
        <w:trPr>
          <w:trHeight w:val="234"/>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rFonts w:eastAsia="Times New Roman"/>
                <w:i/>
                <w:iCs/>
                <w:color w:val="000000"/>
                <w:sz w:val="24"/>
                <w:szCs w:val="24"/>
                <w:lang w:eastAsia="en-US"/>
              </w:rPr>
            </w:pPr>
          </w:p>
        </w:tc>
        <w:tc>
          <w:tcPr>
            <w:tcW w:w="2835" w:type="dxa"/>
            <w:hideMark/>
          </w:tcPr>
          <w:p w:rsidR="002648EB" w:rsidRPr="008C0C27"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Elymus nutans </w:t>
            </w:r>
            <w:r>
              <w:rPr>
                <w:rFonts w:eastAsia="Times New Roman"/>
                <w:iCs/>
                <w:color w:val="000000"/>
                <w:sz w:val="24"/>
                <w:szCs w:val="24"/>
                <w:lang w:eastAsia="en-US"/>
              </w:rPr>
              <w:t>Griseb.</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995543" w:rsidP="00463320">
            <w:pPr>
              <w:spacing w:line="256" w:lineRule="auto"/>
              <w:jc w:val="center"/>
              <w:rPr>
                <w:sz w:val="24"/>
                <w:szCs w:val="24"/>
                <w:lang w:eastAsia="en-US"/>
              </w:rPr>
            </w:pPr>
            <w:r>
              <w:rPr>
                <w:sz w:val="24"/>
                <w:szCs w:val="24"/>
                <w:lang w:eastAsia="en-US"/>
              </w:rPr>
              <w:fldChar w:fldCharType="begin" w:fldLock="1"/>
            </w:r>
            <w:r w:rsidR="00FD6F8C">
              <w:rPr>
                <w:sz w:val="24"/>
                <w:szCs w:val="24"/>
                <w:lang w:eastAsia="en-US"/>
              </w:rPr>
              <w:instrText>ADDIN CSL_CITATION {"citationItems":[{"id":"ITEM-1","itemData":{"DOI":"10.1016/j.pld.2017.05.003","ISSN":"24682659","abstract":"The karyotypes of 27 individuals of Elymus nutans from eight wild populations in the Qinghai Plateau were analyzed using sequential FISH and GISH. High FISH pattern polymorphism and karyotype variation were detected within and among populations. The chromosome variations were mainly characterized as repeat deletions and amplifications along with inter-genomic translocations. The chromosomes of the St and Y genomes demonstrated higher polymorphism than those of the H genome. Six different inter-genomic translocations were identified in 33.3% of individuals; type I and II translocations were detected with higher frequency. Further analysis revealed that type I and II translocations were distributed in different geographic regions. The origin of high karyotype variation of E. nutans in the Qinghai plateau is further discussed.","author":[{"dropping-particle":"","family":"Dou","given":"Q","non-dropping-particle":"","parse-names":false,"suffix":""},{"dropping-particle":"","family":"Yu","given":"F","non-dropping-particle":"","parse-names":false,"suffix":""},{"dropping-particle":"","family":"Li","given":"Y","non-dropping-particle":"","parse-names":false,"suffix":""},{"dropping-particle":"","family":"Zhao","given":"Y","non-dropping-particle":"","parse-names":false,"suffix":""},{"dropping-particle":"","family":"Liu","given":"R","non-dropping-particle":"","parse-names":false,"suffix":""}],"container-title":"Plant Diversity","id":"ITEM-1","issue":"3","issued":{"date-parts":[["2017"]]},"page":"117-122","publisher":"Elsevier Ltd","title":"High molecular karyotype variation revealed in indigenous Elymus nutans in the Qinghai Plateau","type":"article-journal","volume":"39"},"uris":["http://www.mendeley.com/documents/?uuid=1cacccc3-703c-4708-9784-a0e7416ba400"]},{"id":"ITEM-2","itemData":{"DOI":"10.1007/BF00940798","ISSN":"03782697","abstract":"Hybridizations of Elymus nutans and E. jacquemontii were carried out with one species of Pseudoroegneria (\"S\" genome), and 20 Elymus species, each containing either of the \"SH\", \"SY\", \"SYH\", or \"SYW\" genomes. Chromosome configurations were analysed at metaphase I of the two target taxa and their interspecific hybrids. It is concluded that (i)E. nutans is an allohexaploid containing the \"SYH\" genomes, and E. jacquemontii is an allotetraploid having the \"SY\" genomes; (ii) the genomic affinity is associated with the geographic distance between the species studied; (iii) minor genomic structural rearrangements have occurred within the hexaploid taxon of E. nutans. © 1993 Springer-Verlag.","author":[{"dropping-particle":"","family":"Lu","given":"B R","non-dropping-particle":"","parse-names":false,"suffix":""}],"container-title":"Plant Systematics and Evolution","id":"ITEM-2","issue":"3-4","issued":{"date-parts":[["1993"]]},"page":"193-212","title":"Meiotic studies of Elymus nutans and E. jacquemontii (Poaceae, Triticeae) and their hybrids with Pseudoroegneria spicata and seventeen Elymus species","type":"article-journal","volume":"186"},"uris":["http://www.mendeley.com/documents/?uuid=c301ad39-640f-4f40-b43b-373bd7731360"]}],"mendeley":{"formattedCitation":"(Dou et al., 2017; Lu, 1993)","manualFormatting":"Dou et al. (2017); Lu (1993)","plainTextFormattedCitation":"(Dou et al., 2017; Lu, 1993)","previouslyFormattedCitation":"(Dou et al., 2017; Lu, 1993)"},"properties":{"noteIndex":0},"schema":"https://github.com/citation-style-language/schema/raw/master/csl-citation.json"}</w:instrText>
            </w:r>
            <w:r>
              <w:rPr>
                <w:sz w:val="24"/>
                <w:szCs w:val="24"/>
                <w:lang w:eastAsia="en-US"/>
              </w:rPr>
              <w:fldChar w:fldCharType="separate"/>
            </w:r>
            <w:r w:rsidR="00FD6F8C">
              <w:rPr>
                <w:noProof/>
                <w:sz w:val="24"/>
                <w:szCs w:val="24"/>
                <w:lang w:eastAsia="en-US"/>
              </w:rPr>
              <w:t>Dou et al.</w:t>
            </w:r>
            <w:r w:rsidRPr="00995543">
              <w:rPr>
                <w:noProof/>
                <w:sz w:val="24"/>
                <w:szCs w:val="24"/>
                <w:lang w:eastAsia="en-US"/>
              </w:rPr>
              <w:t xml:space="preserve"> </w:t>
            </w:r>
            <w:r w:rsidR="00FD6F8C">
              <w:rPr>
                <w:noProof/>
                <w:sz w:val="24"/>
                <w:szCs w:val="24"/>
                <w:lang w:eastAsia="en-US"/>
              </w:rPr>
              <w:t>(</w:t>
            </w:r>
            <w:r w:rsidRPr="00995543">
              <w:rPr>
                <w:noProof/>
                <w:sz w:val="24"/>
                <w:szCs w:val="24"/>
                <w:lang w:eastAsia="en-US"/>
              </w:rPr>
              <w:t>2017</w:t>
            </w:r>
            <w:r w:rsidR="00FD6F8C">
              <w:rPr>
                <w:noProof/>
                <w:sz w:val="24"/>
                <w:szCs w:val="24"/>
                <w:lang w:eastAsia="en-US"/>
              </w:rPr>
              <w:t>)</w:t>
            </w:r>
            <w:r w:rsidRPr="00995543">
              <w:rPr>
                <w:noProof/>
                <w:sz w:val="24"/>
                <w:szCs w:val="24"/>
                <w:lang w:eastAsia="en-US"/>
              </w:rPr>
              <w:t xml:space="preserve">; Lu </w:t>
            </w:r>
            <w:r w:rsidR="00FD6F8C">
              <w:rPr>
                <w:noProof/>
                <w:sz w:val="24"/>
                <w:szCs w:val="24"/>
                <w:lang w:eastAsia="en-US"/>
              </w:rPr>
              <w:t>(</w:t>
            </w:r>
            <w:r w:rsidRPr="00995543">
              <w:rPr>
                <w:noProof/>
                <w:sz w:val="24"/>
                <w:szCs w:val="24"/>
                <w:lang w:eastAsia="en-US"/>
              </w:rPr>
              <w:t>1993)</w:t>
            </w:r>
            <w:r>
              <w:rPr>
                <w:sz w:val="24"/>
                <w:szCs w:val="24"/>
                <w:lang w:eastAsia="en-US"/>
              </w:rPr>
              <w:fldChar w:fldCharType="end"/>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rFonts w:eastAsia="Times New Roman"/>
                <w:i/>
                <w:iCs/>
                <w:color w:val="000000"/>
                <w:sz w:val="24"/>
                <w:szCs w:val="24"/>
                <w:lang w:eastAsia="en-US"/>
              </w:rPr>
            </w:pPr>
          </w:p>
        </w:tc>
        <w:tc>
          <w:tcPr>
            <w:tcW w:w="2835" w:type="dxa"/>
            <w:hideMark/>
          </w:tcPr>
          <w:p w:rsidR="002648EB" w:rsidRPr="0087159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Deschampsia cespitosa </w:t>
            </w:r>
            <w:r w:rsidRPr="00871596">
              <w:rPr>
                <w:rFonts w:eastAsia="Times New Roman"/>
                <w:iCs/>
                <w:color w:val="000000"/>
                <w:sz w:val="24"/>
                <w:szCs w:val="24"/>
                <w:lang w:eastAsia="en-US"/>
              </w:rPr>
              <w:t>(</w:t>
            </w:r>
            <w:r>
              <w:rPr>
                <w:rFonts w:eastAsia="Times New Roman"/>
                <w:iCs/>
                <w:color w:val="000000"/>
                <w:sz w:val="24"/>
                <w:szCs w:val="24"/>
                <w:lang w:eastAsia="en-US"/>
              </w:rPr>
              <w:t>L.) P. Beauv.</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BA1E27" w:rsidP="00463320">
            <w:pPr>
              <w:spacing w:line="256" w:lineRule="auto"/>
              <w:jc w:val="center"/>
              <w:rPr>
                <w:sz w:val="24"/>
                <w:szCs w:val="24"/>
                <w:lang w:eastAsia="en-US"/>
              </w:rPr>
            </w:pPr>
            <w:r>
              <w:rPr>
                <w:sz w:val="24"/>
                <w:szCs w:val="24"/>
                <w:lang w:eastAsia="en-US"/>
              </w:rPr>
              <w:t>GRIN</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Cyperaceae (semi-grass)</w:t>
            </w:r>
          </w:p>
        </w:tc>
        <w:tc>
          <w:tcPr>
            <w:tcW w:w="2835" w:type="dxa"/>
            <w:hideMark/>
          </w:tcPr>
          <w:p w:rsidR="002648EB" w:rsidRPr="0087159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Blysmus compressus </w:t>
            </w:r>
            <w:r>
              <w:rPr>
                <w:rFonts w:eastAsia="Times New Roman"/>
                <w:iCs/>
                <w:color w:val="000000"/>
                <w:sz w:val="24"/>
                <w:szCs w:val="24"/>
                <w:lang w:eastAsia="en-US"/>
              </w:rPr>
              <w:t>L. Panz. Ex Link</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BA1E27" w:rsidP="00463320">
            <w:pPr>
              <w:spacing w:line="256" w:lineRule="auto"/>
              <w:jc w:val="center"/>
              <w:rPr>
                <w:sz w:val="24"/>
                <w:szCs w:val="24"/>
                <w:lang w:eastAsia="en-US"/>
              </w:rPr>
            </w:pPr>
            <w:r>
              <w:rPr>
                <w:sz w:val="24"/>
                <w:szCs w:val="24"/>
                <w:lang w:eastAsia="en-US"/>
              </w:rPr>
              <w:t xml:space="preserve">GRIN; </w:t>
            </w:r>
            <w:r>
              <w:rPr>
                <w:sz w:val="24"/>
                <w:szCs w:val="24"/>
                <w:lang w:eastAsia="en-US"/>
              </w:rPr>
              <w:fldChar w:fldCharType="begin" w:fldLock="1"/>
            </w:r>
            <w:r w:rsidR="00FD6F8C">
              <w:rPr>
                <w:sz w:val="24"/>
                <w:szCs w:val="24"/>
                <w:lang w:eastAsia="en-US"/>
              </w:rPr>
              <w:instrText>ADDIN CSL_CITATION {"citationItems":[{"id":"ITEM-1","itemData":{"author":[{"dropping-particle":"","family":"Stroh","given":"P A","non-dropping-particle":"","parse-names":false,"suffix":""},{"dropping-particle":"","family":"Walker","given":"K J","non-dropping-particle":"","parse-names":false,"suffix":""}],"container-title":"Species Account. Botanical Society of Britain and Ireland","id":"ITEM-1","issued":{"date-parts":[["2015"]]},"title":"Blysmus compressus (L.) Panz. Ex Link. Flat-sedge","type":"article-journal"},"uris":["http://www.mendeley.com/documents/?uuid=1630b8cb-4b64-4e4a-aac0-54a6c4799efb"]}],"mendeley":{"formattedCitation":"(Stroh and Walker, 2015)","manualFormatting":"Stroh and Walker (2015)","plainTextFormattedCitation":"(Stroh and Walker, 2015)","previouslyFormattedCitation":"(Stroh and Walker, 2015)"},"properties":{"noteIndex":0},"schema":"https://github.com/citation-style-language/schema/raw/master/csl-citation.json"}</w:instrText>
            </w:r>
            <w:r>
              <w:rPr>
                <w:sz w:val="24"/>
                <w:szCs w:val="24"/>
                <w:lang w:eastAsia="en-US"/>
              </w:rPr>
              <w:fldChar w:fldCharType="separate"/>
            </w:r>
            <w:r w:rsidRPr="00BA1E27">
              <w:rPr>
                <w:noProof/>
                <w:sz w:val="24"/>
                <w:szCs w:val="24"/>
                <w:lang w:eastAsia="en-US"/>
              </w:rPr>
              <w:t>Stroh and Walker</w:t>
            </w:r>
            <w:r w:rsidR="00FD6F8C">
              <w:rPr>
                <w:noProof/>
                <w:sz w:val="24"/>
                <w:szCs w:val="24"/>
                <w:lang w:eastAsia="en-US"/>
              </w:rPr>
              <w:t xml:space="preserve"> (</w:t>
            </w:r>
            <w:r w:rsidRPr="00BA1E27">
              <w:rPr>
                <w:noProof/>
                <w:sz w:val="24"/>
                <w:szCs w:val="24"/>
                <w:lang w:eastAsia="en-US"/>
              </w:rPr>
              <w:t>2015)</w:t>
            </w:r>
            <w:r>
              <w:rPr>
                <w:sz w:val="24"/>
                <w:szCs w:val="24"/>
                <w:lang w:eastAsia="en-US"/>
              </w:rPr>
              <w:fldChar w:fldCharType="end"/>
            </w:r>
          </w:p>
        </w:tc>
      </w:tr>
      <w:tr w:rsidR="002648EB" w:rsidTr="00463320">
        <w:trPr>
          <w:trHeight w:val="486"/>
        </w:trPr>
        <w:tc>
          <w:tcPr>
            <w:tcW w:w="1271" w:type="dxa"/>
            <w:hideMark/>
          </w:tcPr>
          <w:p w:rsidR="002648EB" w:rsidRDefault="002648EB" w:rsidP="00463320">
            <w:pPr>
              <w:spacing w:line="256" w:lineRule="auto"/>
              <w:jc w:val="center"/>
              <w:rPr>
                <w:sz w:val="24"/>
                <w:szCs w:val="24"/>
                <w:lang w:eastAsia="en-US"/>
              </w:rPr>
            </w:pPr>
            <w:r>
              <w:rPr>
                <w:sz w:val="24"/>
                <w:szCs w:val="24"/>
                <w:lang w:eastAsia="en-US"/>
              </w:rPr>
              <w:t>Legume</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Fabaceae</w:t>
            </w:r>
          </w:p>
        </w:tc>
        <w:tc>
          <w:tcPr>
            <w:tcW w:w="2835" w:type="dxa"/>
            <w:hideMark/>
          </w:tcPr>
          <w:p w:rsidR="002648EB" w:rsidRPr="00AD1559"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Gueldenstaedtia multiflora </w:t>
            </w:r>
            <w:r>
              <w:rPr>
                <w:rFonts w:eastAsia="Times New Roman"/>
                <w:iCs/>
                <w:color w:val="000000"/>
                <w:sz w:val="24"/>
                <w:szCs w:val="24"/>
                <w:lang w:eastAsia="en-US"/>
              </w:rPr>
              <w:t>Bunge</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31960" w:rsidP="00463320">
            <w:pPr>
              <w:spacing w:line="256" w:lineRule="auto"/>
              <w:jc w:val="center"/>
              <w:rPr>
                <w:sz w:val="24"/>
                <w:szCs w:val="24"/>
                <w:lang w:eastAsia="en-US"/>
              </w:rPr>
            </w:pPr>
            <w:r>
              <w:rPr>
                <w:sz w:val="24"/>
                <w:szCs w:val="24"/>
                <w:lang w:eastAsia="en-US"/>
              </w:rPr>
              <w:t>NCBI Taxonomy</w:t>
            </w:r>
            <w:r w:rsidR="00995543">
              <w:rPr>
                <w:sz w:val="24"/>
                <w:szCs w:val="24"/>
                <w:lang w:eastAsia="en-US"/>
              </w:rPr>
              <w:t xml:space="preserve">; </w:t>
            </w:r>
            <w:r w:rsidR="00995543">
              <w:rPr>
                <w:sz w:val="24"/>
                <w:szCs w:val="24"/>
                <w:lang w:eastAsia="en-US"/>
              </w:rPr>
              <w:fldChar w:fldCharType="begin" w:fldLock="1"/>
            </w:r>
            <w:r w:rsidR="00FD6F8C">
              <w:rPr>
                <w:sz w:val="24"/>
                <w:szCs w:val="24"/>
                <w:lang w:eastAsia="en-US"/>
              </w:rPr>
              <w:instrText>ADDIN CSL_CITATION {"citationItems":[{"id":"ITEM-1","itemData":{"DOI":"10.1111/j.1756-1051.2003.tb00408.x","ISSN":"0107-055X","abstract":"The pollen morphology of Gueldenstaedtia gansuensis. G. gracilis, G. henryi, G. monophylla. G. mutijlora, G. stenophylla. and G. verna and Tibetia liangshanensis, T. tongolensis, T. yadongensis. T. coelestis, and T yunnanensis are reported for the first time. The seed morphology of G. gracilis, G. maritima. G. monophylla, G. mutiflora, G. taihangensis, and G. verna and L coelestis, T. himalaica, T. yunnanensis, and T. yadongensis are firstly described here. In pollen morphology, the differences of pollen grains of Gueldenstaedtia and Tibetia are as follows: Gueldenstaedtia with pollen grains 3–colporate, psilate, and shapes spheroidal, sometimes subprolate, prolate or oblong; and Tibetia with pollen grains 3– and 4–colporate, perforate, shapes spheroidal, sometimes subprolate or prolate. These results, combined with the data of the basic chromosome number x=7 of Gueldenstaedtia and x=8 of Tibetia, support that the two genera should be recognized as two distinct genera, which are consistent with their morphological characters: Gueldenstaedtia with 2 upper lobes of calyx free, stipules free, adnate to petiole, and Tibetia with 2 upper lobes of calyx connate, stipules connate and opposite to leaves. In Tibetia, two types of pollen grains, 3– and 4–colporate pollen grains, are found. Regarding seed morphology: Gueldenstaedtia has circular depression, irregular circular depression or irregular circular reticulation on the surface; Tibetia has smooth surface. The differences in seed morphology of the two genera also support that they should be kept separate. The pollen morphology supports that G. gansuensis, G. gracilis, G. multiflora, G. stenophylla, and G. verna should be reduced into one species consistent with their morphological characteristics. The pollen grains of G. henryi are different from those of the other species in having wide colpi.","author":[{"dropping-particle":"","family":"Zhu","given":"X Y","non-dropping-particle":"","parse-names":false,"suffix":""}],"container-title":"Nordic Journal of Botany","id":"ITEM-1","issue":"3","issued":{"date-parts":[["2003"]]},"page":"373-384","title":"Pollen and seed morphology of Gueldenstaedtia and Tibetia (Leguminosae) - with a special reference to the taxonomic significance","type":"article-journal","volume":"23"},"uris":["http://www.mendeley.com/documents/?uuid=e01c4de8-4770-4b7d-b685-fb5956756857"]}],"mendeley":{"formattedCitation":"(Zhu, 2003)","manualFormatting":"Zhu (2003)","plainTextFormattedCitation":"(Zhu, 2003)","previouslyFormattedCitation":"(Zhu, 2003)"},"properties":{"noteIndex":0},"schema":"https://github.com/citation-style-language/schema/raw/master/csl-citation.json"}</w:instrText>
            </w:r>
            <w:r w:rsidR="00995543">
              <w:rPr>
                <w:sz w:val="24"/>
                <w:szCs w:val="24"/>
                <w:lang w:eastAsia="en-US"/>
              </w:rPr>
              <w:fldChar w:fldCharType="separate"/>
            </w:r>
            <w:r w:rsidR="00FD6F8C">
              <w:rPr>
                <w:noProof/>
                <w:sz w:val="24"/>
                <w:szCs w:val="24"/>
                <w:lang w:eastAsia="en-US"/>
              </w:rPr>
              <w:t>Zhu</w:t>
            </w:r>
            <w:r w:rsidR="00995543" w:rsidRPr="00995543">
              <w:rPr>
                <w:noProof/>
                <w:sz w:val="24"/>
                <w:szCs w:val="24"/>
                <w:lang w:eastAsia="en-US"/>
              </w:rPr>
              <w:t xml:space="preserve"> </w:t>
            </w:r>
            <w:r w:rsidR="00FD6F8C">
              <w:rPr>
                <w:noProof/>
                <w:sz w:val="24"/>
                <w:szCs w:val="24"/>
                <w:lang w:eastAsia="en-US"/>
              </w:rPr>
              <w:t>(</w:t>
            </w:r>
            <w:r w:rsidR="00995543" w:rsidRPr="00995543">
              <w:rPr>
                <w:noProof/>
                <w:sz w:val="24"/>
                <w:szCs w:val="24"/>
                <w:lang w:eastAsia="en-US"/>
              </w:rPr>
              <w:t>2003)</w:t>
            </w:r>
            <w:r w:rsidR="00995543">
              <w:rPr>
                <w:sz w:val="24"/>
                <w:szCs w:val="24"/>
                <w:lang w:eastAsia="en-US"/>
              </w:rPr>
              <w:fldChar w:fldCharType="end"/>
            </w:r>
          </w:p>
        </w:tc>
      </w:tr>
      <w:tr w:rsidR="002648EB" w:rsidTr="00463320">
        <w:trPr>
          <w:trHeight w:val="478"/>
        </w:trPr>
        <w:tc>
          <w:tcPr>
            <w:tcW w:w="1271" w:type="dxa"/>
            <w:hideMark/>
          </w:tcPr>
          <w:p w:rsidR="002648EB" w:rsidRDefault="002648EB" w:rsidP="00463320">
            <w:pPr>
              <w:spacing w:line="256" w:lineRule="auto"/>
              <w:jc w:val="center"/>
              <w:rPr>
                <w:sz w:val="24"/>
                <w:szCs w:val="24"/>
                <w:lang w:eastAsia="en-US"/>
              </w:rPr>
            </w:pPr>
            <w:r>
              <w:rPr>
                <w:sz w:val="24"/>
                <w:szCs w:val="24"/>
                <w:lang w:eastAsia="en-US"/>
              </w:rPr>
              <w:t>Sedge</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Cyperaceae</w:t>
            </w:r>
          </w:p>
        </w:tc>
        <w:tc>
          <w:tcPr>
            <w:tcW w:w="2835" w:type="dxa"/>
            <w:hideMark/>
          </w:tcPr>
          <w:p w:rsidR="002648EB" w:rsidRPr="005A2B4B"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Carex atrofusca </w:t>
            </w:r>
            <w:r>
              <w:rPr>
                <w:rFonts w:eastAsia="Times New Roman"/>
                <w:iCs/>
                <w:color w:val="000000"/>
                <w:sz w:val="24"/>
                <w:szCs w:val="24"/>
                <w:lang w:eastAsia="en-US"/>
              </w:rPr>
              <w:t>Schkuhr</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31960" w:rsidP="00463320">
            <w:pPr>
              <w:spacing w:line="256" w:lineRule="auto"/>
              <w:jc w:val="center"/>
              <w:rPr>
                <w:sz w:val="24"/>
                <w:szCs w:val="24"/>
                <w:lang w:eastAsia="en-US"/>
              </w:rPr>
            </w:pPr>
            <w:r>
              <w:rPr>
                <w:sz w:val="24"/>
                <w:szCs w:val="24"/>
                <w:lang w:eastAsia="en-US"/>
              </w:rPr>
              <w:fldChar w:fldCharType="begin" w:fldLock="1"/>
            </w:r>
            <w:r w:rsidR="00FD6F8C">
              <w:rPr>
                <w:sz w:val="24"/>
                <w:szCs w:val="24"/>
                <w:lang w:eastAsia="en-US"/>
              </w:rPr>
              <w:instrText>ADDIN CSL_CITATION {"citationItems":[{"id":"ITEM-1","itemData":{"author":[{"dropping-particle":"","family":"Zheng","given":"H","non-dropping-particle":"","parse-names":false,"suffix":""},{"dropping-particle":"","family":"Wu","given":"Y","non-dropping-particle":"","parse-names":false,"suffix":""},{"dropping-particle":"","family":"Ding","given":"J","non-dropping-particle":"","parse-names":false,"suffix":""},{"dropping-particle":"","family":"Binion","given":"D","non-dropping-particle":"","parse-names":false,"suffix":""},{"dropping-particle":"","family":"Fu","given":"W","non-dropping-particle":"","parse-names":false,"suffix":""},{"dropping-particle":"","family":"Reardon","given":"R","non-dropping-particle":"","parse-names":false,"suffix":""}],"container-title":"Forest Health Technology Enterprise Team","id":"ITEM-1","issue":"December","issued":{"date-parts":[["2005"]]},"page":"1-175","title":"Invasive Plants Established in the United States that are Found in Asia and Their Associated Natural Enemies","type":"article-journal","volume":"II"},"uris":["http://www.mendeley.com/documents/?uuid=f91459bf-a079-4b2e-81aa-ce0d2377fa50"]},{"id":"ITEM-2","itemData":{"author":[{"dropping-particle":"","family":"Bailey","given":"L H","non-dropping-particle":"","parse-names":false,"suffix":""}],"container-title":"Torrey Botanical Society","id":"ITEM-2","issue":"1","issued":{"date-parts":[["1889"]]},"page":"1-85","title":"Studies of the types various species of the gebus Carex. Notes on Carex - XI","type":"article-journal","volume":"1"},"uris":["http://www.mendeley.com/documents/?uuid=0219cd89-5bf4-45a0-8551-72dc8383c2ff"]}],"mendeley":{"formattedCitation":"(Bailey, 1889; Zheng et al., 2005)","manualFormatting":"Bailey (1889); Zheng et al. (2005)","plainTextFormattedCitation":"(Bailey, 1889; Zheng et al., 2005)","previouslyFormattedCitation":"(Bailey, 1889; Zheng et al., 2005)"},"properties":{"noteIndex":0},"schema":"https://github.com/citation-style-language/schema/raw/master/csl-citation.json"}</w:instrText>
            </w:r>
            <w:r>
              <w:rPr>
                <w:sz w:val="24"/>
                <w:szCs w:val="24"/>
                <w:lang w:eastAsia="en-US"/>
              </w:rPr>
              <w:fldChar w:fldCharType="separate"/>
            </w:r>
            <w:r w:rsidR="00FD6F8C">
              <w:rPr>
                <w:noProof/>
                <w:sz w:val="24"/>
                <w:szCs w:val="24"/>
                <w:lang w:eastAsia="en-US"/>
              </w:rPr>
              <w:t>Bailey</w:t>
            </w:r>
            <w:r w:rsidRPr="00D31960">
              <w:rPr>
                <w:noProof/>
                <w:sz w:val="24"/>
                <w:szCs w:val="24"/>
                <w:lang w:eastAsia="en-US"/>
              </w:rPr>
              <w:t xml:space="preserve"> </w:t>
            </w:r>
            <w:r w:rsidR="00FD6F8C">
              <w:rPr>
                <w:noProof/>
                <w:sz w:val="24"/>
                <w:szCs w:val="24"/>
                <w:lang w:eastAsia="en-US"/>
              </w:rPr>
              <w:t>(</w:t>
            </w:r>
            <w:r w:rsidRPr="00D31960">
              <w:rPr>
                <w:noProof/>
                <w:sz w:val="24"/>
                <w:szCs w:val="24"/>
                <w:lang w:eastAsia="en-US"/>
              </w:rPr>
              <w:t>1889</w:t>
            </w:r>
            <w:r w:rsidR="00FD6F8C">
              <w:rPr>
                <w:noProof/>
                <w:sz w:val="24"/>
                <w:szCs w:val="24"/>
                <w:lang w:eastAsia="en-US"/>
              </w:rPr>
              <w:t>); Zheng et al.</w:t>
            </w:r>
            <w:r w:rsidRPr="00D31960">
              <w:rPr>
                <w:noProof/>
                <w:sz w:val="24"/>
                <w:szCs w:val="24"/>
                <w:lang w:eastAsia="en-US"/>
              </w:rPr>
              <w:t xml:space="preserve"> </w:t>
            </w:r>
            <w:r w:rsidR="00FD6F8C">
              <w:rPr>
                <w:noProof/>
                <w:sz w:val="24"/>
                <w:szCs w:val="24"/>
                <w:lang w:eastAsia="en-US"/>
              </w:rPr>
              <w:t>(</w:t>
            </w:r>
            <w:r w:rsidRPr="00D31960">
              <w:rPr>
                <w:noProof/>
                <w:sz w:val="24"/>
                <w:szCs w:val="24"/>
                <w:lang w:eastAsia="en-US"/>
              </w:rPr>
              <w:t>2005)</w:t>
            </w:r>
            <w:r>
              <w:rPr>
                <w:sz w:val="24"/>
                <w:szCs w:val="24"/>
                <w:lang w:eastAsia="en-US"/>
              </w:rPr>
              <w:fldChar w:fldCharType="end"/>
            </w:r>
          </w:p>
        </w:tc>
      </w:tr>
      <w:tr w:rsidR="002648EB" w:rsidTr="00463320">
        <w:trPr>
          <w:trHeight w:val="486"/>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4C4B50"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Carex muliensis </w:t>
            </w:r>
            <w:r w:rsidRPr="004C4B50">
              <w:rPr>
                <w:sz w:val="24"/>
                <w:szCs w:val="24"/>
              </w:rPr>
              <w:t>Hand.-Mazz</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31960" w:rsidP="00463320">
            <w:pPr>
              <w:spacing w:line="256" w:lineRule="auto"/>
              <w:jc w:val="center"/>
              <w:rPr>
                <w:sz w:val="24"/>
                <w:szCs w:val="24"/>
                <w:lang w:eastAsia="en-US"/>
              </w:rPr>
            </w:pPr>
            <w:r>
              <w:rPr>
                <w:sz w:val="24"/>
                <w:szCs w:val="24"/>
                <w:lang w:eastAsia="en-US"/>
              </w:rPr>
              <w:fldChar w:fldCharType="begin" w:fldLock="1"/>
            </w:r>
            <w:r w:rsidR="00FD6F8C">
              <w:rPr>
                <w:sz w:val="24"/>
                <w:szCs w:val="24"/>
                <w:lang w:eastAsia="en-US"/>
              </w:rPr>
              <w:instrText>ADDIN CSL_CITATION {"citationItems":[{"id":"ITEM-1","itemData":{"DOI":"10.1007/s11104-014-2130-9","ISSN":"0032079X","abstract":"Aims: Dominant plant species may coexist and maintain high productivity in alpine wetland through available nitrogen (N) niche differentiation over time and space. We tested the hypotheses that dominant plant species differ in uptake of inorganic and organic N and that such differences depend on soil depth and season. Methods: We conducted a short-term 15N-labeling experiment in an alpine wetland on the Tibetan Plateau. The experiment used a factorial design with three N forms (nitrate, ammonium and glycine), three soil depths (0-5, 5-10 and 10-15 cm), two seasons (May and July) and three dominant species (Carex muliensis, C. lasiocarpa and Potentilla anserina). Results: All three species took up organic N (glycine), but showed different patterns over seasons and depths. 15N uptake rate was higher in May than in July in C. muliensis and C. lasiocarpa, but lower in May than in July in P. anserina. C. muliensis took up more 15NH4+ and 15NO3- than glycine-15N at all soil depths. C. lasiocarpa took up more glycine-15N than 15NH4+ or 15NO3 at 5-10 cm depth. P. anserina showed little difference in uptake at any soil depths. Conclusions: Dominant species in alpine wetland are able to take up both organic and inorganic N, but show different patterns depending on N form, soil depth, season and their interactions. © 2014 Springer International Publishing Switzerland.","author":[{"dropping-particle":"","family":"Gao","given":"J Q","non-dropping-particle":"","parse-names":false,"suffix":""},{"dropping-particle":"","family":"Mo","given":"Y","non-dropping-particle":"","parse-names":false,"suffix":""},{"dropping-particle":"","family":"Xu","given":"X L","non-dropping-particle":"","parse-names":false,"suffix":""},{"dropping-particle":"","family":"Zhang","given":"X W","non-dropping-particle":"","parse-names":false,"suffix":""},{"dropping-particle":"","family":"Yu","given":"F H","non-dropping-particle":"","parse-names":false,"suffix":""}],"container-title":"Plant and Soil","id":"ITEM-1","issue":"1-2","issued":{"date-parts":[["2014"]]},"page":"271-278","title":"Spatiotemporal variations affect uptake of inorganic and organic nitrogen by dominant plant species in an alpine wetland","type":"article-journal","volume":"381"},"uris":["http://www.mendeley.com/documents/?uuid=492cbf08-d9f4-42ed-80b4-4341baf0a513"]},{"id":"ITEM-2","itemData":{"author":[{"dropping-particle":"","family":"Zheng","given":"H","non-dropping-particle":"","parse-names":false,"suffix":""},{"dropping-particle":"","family":"Wu","given":"Y","non-dropping-particle":"","parse-names":false,"suffix":""},{"dropping-particle":"","family":"Ding","given":"J","non-dropping-particle":"","parse-names":false,"suffix":""},{"dropping-particle":"","family":"Binion","given":"D","non-dropping-particle":"","parse-names":false,"suffix":""},{"dropping-particle":"","family":"Fu","given":"W","non-dropping-particle":"","parse-names":false,"suffix":""},{"dropping-particle":"","family":"Reardon","given":"R","non-dropping-particle":"","parse-names":false,"suffix":""}],"container-title":"Forest Health Technology Enterprise Team","id":"ITEM-2","issue":"December","issued":{"date-parts":[["2005"]]},"page":"1-175","title":"Invasive Plants Established in the United States that are Found in Asia and Their Associated Natural Enemies","type":"article-journal","volume":"II"},"uris":["http://www.mendeley.com/documents/?uuid=f91459bf-a079-4b2e-81aa-ce0d2377fa50"]}],"mendeley":{"formattedCitation":"(Gao et al., 2014; Zheng et al., 2005)","manualFormatting":"Gao et al. (2014); Zheng et al. (2005)","plainTextFormattedCitation":"(Gao et al., 2014; Zheng et al., 2005)","previouslyFormattedCitation":"(Gao et al., 2014; Zheng et al., 2005)"},"properties":{"noteIndex":0},"schema":"https://github.com/citation-style-language/schema/raw/master/csl-citation.json"}</w:instrText>
            </w:r>
            <w:r>
              <w:rPr>
                <w:sz w:val="24"/>
                <w:szCs w:val="24"/>
                <w:lang w:eastAsia="en-US"/>
              </w:rPr>
              <w:fldChar w:fldCharType="separate"/>
            </w:r>
            <w:r w:rsidR="00FD6F8C">
              <w:rPr>
                <w:noProof/>
                <w:sz w:val="24"/>
                <w:szCs w:val="24"/>
                <w:lang w:eastAsia="en-US"/>
              </w:rPr>
              <w:t>Gao et al. (2014); Zheng et al.</w:t>
            </w:r>
            <w:r w:rsidRPr="00D31960">
              <w:rPr>
                <w:noProof/>
                <w:sz w:val="24"/>
                <w:szCs w:val="24"/>
                <w:lang w:eastAsia="en-US"/>
              </w:rPr>
              <w:t xml:space="preserve"> </w:t>
            </w:r>
            <w:r w:rsidR="00FD6F8C">
              <w:rPr>
                <w:noProof/>
                <w:sz w:val="24"/>
                <w:szCs w:val="24"/>
                <w:lang w:eastAsia="en-US"/>
              </w:rPr>
              <w:t>(</w:t>
            </w:r>
            <w:r w:rsidRPr="00D31960">
              <w:rPr>
                <w:noProof/>
                <w:sz w:val="24"/>
                <w:szCs w:val="24"/>
                <w:lang w:eastAsia="en-US"/>
              </w:rPr>
              <w:t>2005)</w:t>
            </w:r>
            <w:r>
              <w:rPr>
                <w:sz w:val="24"/>
                <w:szCs w:val="24"/>
                <w:lang w:eastAsia="en-US"/>
              </w:rPr>
              <w:fldChar w:fldCharType="end"/>
            </w:r>
          </w:p>
        </w:tc>
      </w:tr>
      <w:tr w:rsidR="002648EB" w:rsidTr="00463320">
        <w:trPr>
          <w:trHeight w:val="65"/>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Carex meyeriana Kunth</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31960" w:rsidP="00463320">
            <w:pPr>
              <w:spacing w:line="256" w:lineRule="auto"/>
              <w:jc w:val="center"/>
              <w:rPr>
                <w:sz w:val="24"/>
                <w:szCs w:val="24"/>
                <w:lang w:eastAsia="en-US"/>
              </w:rPr>
            </w:pPr>
            <w:r>
              <w:rPr>
                <w:sz w:val="24"/>
                <w:szCs w:val="24"/>
                <w:lang w:eastAsia="en-US"/>
              </w:rPr>
              <w:t xml:space="preserve">GRIN; </w:t>
            </w:r>
            <w:r>
              <w:rPr>
                <w:sz w:val="24"/>
                <w:szCs w:val="24"/>
                <w:lang w:eastAsia="en-US"/>
              </w:rPr>
              <w:fldChar w:fldCharType="begin" w:fldLock="1"/>
            </w:r>
            <w:r w:rsidR="00FD6F8C">
              <w:rPr>
                <w:sz w:val="24"/>
                <w:szCs w:val="24"/>
                <w:lang w:eastAsia="en-US"/>
              </w:rPr>
              <w:instrText>ADDIN CSL_CITATION {"citationItems":[{"id":"ITEM-1","itemData":{"author":[{"dropping-particle":"","family":"Zheng","given":"H","non-dropping-particle":"","parse-names":false,"suffix":""},{"dropping-particle":"","family":"Wu","given":"Y","non-dropping-particle":"","parse-names":false,"suffix":""},{"dropping-particle":"","family":"Ding","given":"J","non-dropping-particle":"","parse-names":false,"suffix":""},{"dropping-particle":"","family":"Binion","given":"D","non-dropping-particle":"","parse-names":false,"suffix":""},{"dropping-particle":"","family":"Fu","given":"W","non-dropping-particle":"","parse-names":false,"suffix":""},{"dropping-particle":"","family":"Reardon","given":"R","non-dropping-particle":"","parse-names":false,"suffix":""}],"container-title":"Forest Health Technology Enterprise Team","id":"ITEM-1","issue":"December","issued":{"date-parts":[["2005"]]},"page":"1-175","title":"Invasive Plants Established in the United States that are Found in Asia and Their Associated Natural Enemies","type":"article-journal","volume":"II"},"uris":["http://www.mendeley.com/documents/?uuid=f91459bf-a079-4b2e-81aa-ce0d2377fa50"]}],"mendeley":{"formattedCitation":"(Zheng et al., 2005)","manualFormatting":"Zheng et al. (2005)","plainTextFormattedCitation":"(Zheng et al., 2005)","previouslyFormattedCitation":"(Zheng et al., 2005)"},"properties":{"noteIndex":0},"schema":"https://github.com/citation-style-language/schema/raw/master/csl-citation.json"}</w:instrText>
            </w:r>
            <w:r>
              <w:rPr>
                <w:sz w:val="24"/>
                <w:szCs w:val="24"/>
                <w:lang w:eastAsia="en-US"/>
              </w:rPr>
              <w:fldChar w:fldCharType="separate"/>
            </w:r>
            <w:r w:rsidR="00FD6F8C">
              <w:rPr>
                <w:noProof/>
                <w:sz w:val="24"/>
                <w:szCs w:val="24"/>
                <w:lang w:eastAsia="en-US"/>
              </w:rPr>
              <w:t>Zheng et al.</w:t>
            </w:r>
            <w:r w:rsidRPr="00D31960">
              <w:rPr>
                <w:noProof/>
                <w:sz w:val="24"/>
                <w:szCs w:val="24"/>
                <w:lang w:eastAsia="en-US"/>
              </w:rPr>
              <w:t xml:space="preserve"> </w:t>
            </w:r>
            <w:r w:rsidR="00FD6F8C">
              <w:rPr>
                <w:noProof/>
                <w:sz w:val="24"/>
                <w:szCs w:val="24"/>
                <w:lang w:eastAsia="en-US"/>
              </w:rPr>
              <w:t>(</w:t>
            </w:r>
            <w:r w:rsidRPr="00D31960">
              <w:rPr>
                <w:noProof/>
                <w:sz w:val="24"/>
                <w:szCs w:val="24"/>
                <w:lang w:eastAsia="en-US"/>
              </w:rPr>
              <w:t>2005)</w:t>
            </w:r>
            <w:r>
              <w:rPr>
                <w:sz w:val="24"/>
                <w:szCs w:val="24"/>
                <w:lang w:eastAsia="en-US"/>
              </w:rPr>
              <w:fldChar w:fldCharType="end"/>
            </w:r>
          </w:p>
        </w:tc>
      </w:tr>
      <w:tr w:rsidR="002648EB" w:rsidTr="00463320">
        <w:trPr>
          <w:trHeight w:val="486"/>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Kobresia Pygmaea </w:t>
            </w:r>
            <w:r w:rsidRPr="004C4B50">
              <w:rPr>
                <w:rFonts w:eastAsia="Times New Roman"/>
                <w:iCs/>
                <w:color w:val="000000"/>
                <w:sz w:val="24"/>
                <w:szCs w:val="24"/>
                <w:lang w:eastAsia="en-US"/>
              </w:rPr>
              <w:t>(</w:t>
            </w:r>
            <w:r>
              <w:rPr>
                <w:rFonts w:eastAsia="Times New Roman"/>
                <w:iCs/>
                <w:color w:val="000000"/>
                <w:sz w:val="24"/>
                <w:szCs w:val="24"/>
                <w:lang w:eastAsia="en-US"/>
              </w:rPr>
              <w:t>C. B. Clarke)</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31960" w:rsidP="00463320">
            <w:pPr>
              <w:spacing w:line="256" w:lineRule="auto"/>
              <w:jc w:val="center"/>
              <w:rPr>
                <w:sz w:val="24"/>
                <w:szCs w:val="24"/>
                <w:lang w:eastAsia="en-US"/>
              </w:rPr>
            </w:pPr>
            <w:r>
              <w:rPr>
                <w:sz w:val="24"/>
                <w:szCs w:val="24"/>
                <w:lang w:eastAsia="en-US"/>
              </w:rPr>
              <w:t xml:space="preserve">GRIN, </w:t>
            </w:r>
            <w:r>
              <w:rPr>
                <w:sz w:val="24"/>
                <w:szCs w:val="24"/>
                <w:lang w:eastAsia="en-US"/>
              </w:rPr>
              <w:fldChar w:fldCharType="begin" w:fldLock="1"/>
            </w:r>
            <w:r w:rsidR="00995543">
              <w:rPr>
                <w:sz w:val="24"/>
                <w:szCs w:val="24"/>
                <w:lang w:eastAsia="en-US"/>
              </w:rPr>
              <w:instrText>ADDIN CSL_CITATION {"citationItems":[{"id":"ITEM-1","itemData":{"ISSN":"05563321","abstract":"Livestock grazing has long been the most widespread land use on the Qinghai-Tibet Plateau, one of the world's highest ecosystems. However, there has been increasing concern during recent decades because of the rapid increase in livestock numbers. To assess the possible influences of grazing on the vast grassland, a long-term grazing experiment in a shrub meadow on the northern Qinghai-Tibet Plateau was carried out. The experiment included five treatments with different stocking rates and one non-grazing (N) treatment. After 17 years of grazing, treatment differences were clear. The species composition differed markedly between grazing intensities, with a decrease in palatable grass species and an increase in unpalatable forbs at higher grazing intensities. The species richness and species diversity, however, were not significantly different between treatments. Vegetation height decreased significantly at higher grazing intensities. Total above ground biomass declined considerably and the biomass of forbs increased significantly under the higher grazing intensities. The amount of litter was significantly lower under the higher grazing intensities. The results suggest that long-term grazing alters the species composition, vegetation height and biomass production of the alpine grassland ecosystem without significantly changing species richness.","author":[{"dropping-particle":"","family":"Zhou","given":"H","non-dropping-particle":"","parse-names":false,"suffix":""},{"dropping-particle":"","family":"Tang","given":"Y","non-dropping-particle":"","parse-names":false,"suffix":""},{"dropping-particle":"","family":"Zhao","given":"X","non-dropping-particle":"","parse-names":false,"suffix":""},{"dropping-particle":"","family":"Zhou","given":"L","non-dropping-particle":"","parse-names":false,"suffix":""}],"container-title":"Pakistan Journal of Botany","id":"ITEM-1","issue":"4","issued":{"date-parts":[["2006"]]},"page":"1055-1069","title":"Long-term grazing alters species composition and biomass of a shrub meadow on the Qinghai - Tibet plateau","type":"article-journal","volume":"38"},"uris":["http://www.mendeley.com/documents/?uuid=f5504498-10ab-4d13-bda9-e2ab78aed20e"]}],"mendeley":{"formattedCitation":"(Zhou et al., 2006)","plainTextFormattedCitation":"(Zhou et al., 2006)","previouslyFormattedCitation":"(Zhou et al., 2006)"},"properties":{"noteIndex":0},"schema":"https://github.com/citation-style-language/schema/raw/master/csl-citation.json"}</w:instrText>
            </w:r>
            <w:r>
              <w:rPr>
                <w:sz w:val="24"/>
                <w:szCs w:val="24"/>
                <w:lang w:eastAsia="en-US"/>
              </w:rPr>
              <w:fldChar w:fldCharType="separate"/>
            </w:r>
            <w:r w:rsidR="00FD6F8C">
              <w:rPr>
                <w:noProof/>
                <w:sz w:val="24"/>
                <w:szCs w:val="24"/>
                <w:lang w:eastAsia="en-US"/>
              </w:rPr>
              <w:t>Zhou et al.</w:t>
            </w:r>
            <w:r w:rsidRPr="00D31960">
              <w:rPr>
                <w:noProof/>
                <w:sz w:val="24"/>
                <w:szCs w:val="24"/>
                <w:lang w:eastAsia="en-US"/>
              </w:rPr>
              <w:t xml:space="preserve"> </w:t>
            </w:r>
            <w:r w:rsidR="00FD6F8C">
              <w:rPr>
                <w:noProof/>
                <w:sz w:val="24"/>
                <w:szCs w:val="24"/>
                <w:lang w:eastAsia="en-US"/>
              </w:rPr>
              <w:t>(</w:t>
            </w:r>
            <w:r w:rsidRPr="00D31960">
              <w:rPr>
                <w:noProof/>
                <w:sz w:val="24"/>
                <w:szCs w:val="24"/>
                <w:lang w:eastAsia="en-US"/>
              </w:rPr>
              <w:t>2006)</w:t>
            </w:r>
            <w:r>
              <w:rPr>
                <w:sz w:val="24"/>
                <w:szCs w:val="24"/>
                <w:lang w:eastAsia="en-US"/>
              </w:rPr>
              <w:fldChar w:fldCharType="end"/>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77424C"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 xml:space="preserve">Kobresia setchwanenesis </w:t>
            </w:r>
            <w:r>
              <w:rPr>
                <w:rFonts w:eastAsia="Times New Roman"/>
                <w:iCs/>
                <w:color w:val="000000"/>
                <w:sz w:val="24"/>
                <w:szCs w:val="24"/>
                <w:lang w:eastAsia="en-US"/>
              </w:rPr>
              <w:t>Hand-Mazz</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2648EB" w:rsidP="00463320">
            <w:pPr>
              <w:spacing w:line="256" w:lineRule="auto"/>
              <w:jc w:val="center"/>
              <w:rPr>
                <w:sz w:val="24"/>
                <w:szCs w:val="24"/>
                <w:lang w:eastAsia="en-US"/>
              </w:rPr>
            </w:pPr>
            <w:r>
              <w:rPr>
                <w:sz w:val="24"/>
                <w:szCs w:val="24"/>
                <w:lang w:eastAsia="en-US"/>
              </w:rPr>
              <w:fldChar w:fldCharType="begin" w:fldLock="1"/>
            </w:r>
            <w:r w:rsidR="00034320">
              <w:rPr>
                <w:sz w:val="24"/>
                <w:szCs w:val="24"/>
                <w:lang w:eastAsia="en-US"/>
              </w:rPr>
              <w:instrText>ADDIN CSL_CITATION {"citationItems":[{"id":"ITEM-1","itemData":{"author":[{"dropping-particle":"","family":"Sun","given":"Q","non-dropping-particle":"","parse-names":false,"suffix":""}],"id":"ITEM-1","issued":{"date-parts":[["1992"]]},"number-of-pages":"1-29","publisher-place":"Lalitpur","title":"Management of pastoral systems in the mountains","type":"report"},"uris":["http://www.mendeley.com/documents/?uuid=21262e1b-c1ef-4041-9e3a-5a9d051b0b61"]}],"mendeley":{"formattedCitation":"(Sun, 1992)","plainTextFormattedCitation":"(Sun, 1992)","previouslyFormattedCitation":"(Sun, 1992)"},"properties":{"noteIndex":0},"schema":"https://github.com/citation-style-language/schema/raw/master/csl-citation.json"}</w:instrText>
            </w:r>
            <w:r>
              <w:rPr>
                <w:sz w:val="24"/>
                <w:szCs w:val="24"/>
                <w:lang w:eastAsia="en-US"/>
              </w:rPr>
              <w:fldChar w:fldCharType="separate"/>
            </w:r>
            <w:r w:rsidR="00FD6F8C">
              <w:rPr>
                <w:noProof/>
                <w:sz w:val="24"/>
                <w:szCs w:val="24"/>
                <w:lang w:eastAsia="en-US"/>
              </w:rPr>
              <w:t>Sun</w:t>
            </w:r>
            <w:r w:rsidRPr="002648EB">
              <w:rPr>
                <w:noProof/>
                <w:sz w:val="24"/>
                <w:szCs w:val="24"/>
                <w:lang w:eastAsia="en-US"/>
              </w:rPr>
              <w:t xml:space="preserve"> </w:t>
            </w:r>
            <w:r w:rsidR="00FD6F8C">
              <w:rPr>
                <w:noProof/>
                <w:sz w:val="24"/>
                <w:szCs w:val="24"/>
                <w:lang w:eastAsia="en-US"/>
              </w:rPr>
              <w:t>(</w:t>
            </w:r>
            <w:r w:rsidRPr="002648EB">
              <w:rPr>
                <w:noProof/>
                <w:sz w:val="24"/>
                <w:szCs w:val="24"/>
                <w:lang w:eastAsia="en-US"/>
              </w:rPr>
              <w:t>1992)</w:t>
            </w:r>
            <w:r>
              <w:rPr>
                <w:sz w:val="24"/>
                <w:szCs w:val="24"/>
                <w:lang w:eastAsia="en-US"/>
              </w:rPr>
              <w:fldChar w:fldCharType="end"/>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Shrub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Asteracea</w:t>
            </w: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Anaphalis lacteal </w:t>
            </w:r>
            <w:r w:rsidRPr="002648EB">
              <w:rPr>
                <w:rFonts w:eastAsia="Times New Roman"/>
                <w:iCs/>
                <w:color w:val="000000"/>
                <w:sz w:val="24"/>
                <w:szCs w:val="24"/>
                <w:lang w:eastAsia="en-US"/>
              </w:rPr>
              <w:t>Maxim</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2648EB" w:rsidP="00463320">
            <w:pPr>
              <w:spacing w:line="256" w:lineRule="auto"/>
              <w:jc w:val="center"/>
              <w:rPr>
                <w:sz w:val="24"/>
                <w:szCs w:val="24"/>
                <w:lang w:eastAsia="en-US"/>
              </w:rPr>
            </w:pPr>
            <w:r>
              <w:rPr>
                <w:sz w:val="24"/>
                <w:szCs w:val="24"/>
                <w:lang w:eastAsia="en-US"/>
              </w:rPr>
              <w:fldChar w:fldCharType="begin" w:fldLock="1"/>
            </w:r>
            <w:r w:rsidR="00FD6F8C">
              <w:rPr>
                <w:rFonts w:hint="eastAsia"/>
                <w:sz w:val="24"/>
                <w:szCs w:val="24"/>
                <w:lang w:eastAsia="en-US"/>
              </w:rPr>
              <w:instrText>ADDIN CSL_CITATION {"citationItems":[{"id":"ITEM-1","itemData":{"DOI":"10.1055/s-2008-1074547","ISSN":"00320943","abstract":"Four new compounds, 2</w:instrText>
            </w:r>
            <w:r w:rsidR="00FD6F8C">
              <w:rPr>
                <w:rFonts w:hint="eastAsia"/>
                <w:sz w:val="24"/>
                <w:szCs w:val="24"/>
                <w:lang w:eastAsia="en-US"/>
              </w:rPr>
              <w:instrText>′</w:instrText>
            </w:r>
            <w:r w:rsidR="00FD6F8C">
              <w:rPr>
                <w:rFonts w:hint="eastAsia"/>
                <w:sz w:val="24"/>
                <w:szCs w:val="24"/>
                <w:lang w:eastAsia="en-US"/>
              </w:rPr>
              <w:instrText>,6</w:instrText>
            </w:r>
            <w:r w:rsidR="00FD6F8C">
              <w:rPr>
                <w:rFonts w:hint="eastAsia"/>
                <w:sz w:val="24"/>
                <w:szCs w:val="24"/>
                <w:lang w:eastAsia="en-US"/>
              </w:rPr>
              <w:instrText>′</w:instrText>
            </w:r>
            <w:r w:rsidR="00FD6F8C">
              <w:rPr>
                <w:rFonts w:hint="eastAsia"/>
                <w:sz w:val="24"/>
                <w:szCs w:val="24"/>
                <w:lang w:eastAsia="en-US"/>
              </w:rPr>
              <w:instrText>-dihydroxy-3</w:instrText>
            </w:r>
            <w:r w:rsidR="00FD6F8C">
              <w:rPr>
                <w:rFonts w:hint="eastAsia"/>
                <w:sz w:val="24"/>
                <w:szCs w:val="24"/>
                <w:lang w:eastAsia="en-US"/>
              </w:rPr>
              <w:instrText>′</w:instrText>
            </w:r>
            <w:r w:rsidR="00FD6F8C">
              <w:rPr>
                <w:rFonts w:hint="eastAsia"/>
                <w:sz w:val="24"/>
                <w:szCs w:val="24"/>
                <w:lang w:eastAsia="en-US"/>
              </w:rPr>
              <w:instrText>-(2-hy-droxy-3- methyl-3-butenyl)-4</w:instrText>
            </w:r>
            <w:r w:rsidR="00FD6F8C">
              <w:rPr>
                <w:rFonts w:hint="eastAsia"/>
                <w:sz w:val="24"/>
                <w:szCs w:val="24"/>
                <w:lang w:eastAsia="en-US"/>
              </w:rPr>
              <w:instrText>′</w:instrText>
            </w:r>
            <w:r w:rsidR="00FD6F8C">
              <w:rPr>
                <w:rFonts w:hint="eastAsia"/>
                <w:sz w:val="24"/>
                <w:szCs w:val="24"/>
                <w:lang w:eastAsia="en-US"/>
              </w:rPr>
              <w:instrText>-methoxychalcone (1), 4,6-dihydroxy-7-isobutyryl-5- pren</w:instrText>
            </w:r>
            <w:r w:rsidR="00FD6F8C">
              <w:rPr>
                <w:sz w:val="24"/>
                <w:szCs w:val="24"/>
                <w:lang w:eastAsia="en-US"/>
              </w:rPr>
              <w:instrText>yl-2(3H)-benzofuranone (4), 7-0-(β-D-glucopyranosyloxy)-5-hydroxy-l(3H) -isobenzofuranone (6) and (2R,3S)-3-methyl-2-(5-oxo-2-isopropenylhexyl)- cyclopentanone (7), along with thirteen known compounds were isolated from the whole plant of Anaphalis lactea. Their structures were established based on spectroscopic methods including IR, UV, MS, CD, 1 D NMR and 2 D NMR techniques. Compounds 2, 4 - 6 and 8-16 were tested for free-radical scavenging properties in the DPPH assays.","author":[{"dropping-particle":"","family":"Ren","given":"Z Y","non-dropping-particle":"","parse-names":false,"suffix":""},{"dropping-particle":"","family":"Qi","given":"H Y","non-dropping-particle":"","parse-names":false,"suffix":""},{"dropping-particle":"","family":"Shi","given":"Y P","non-dropping-particle":"","parse-names":false,"suffix":""}],"container-title":"Planta Medica","id":"ITEM-1","issue":"8","issued":{"date-parts":[["2008"]]},"page":"859-863","title":"Phytochemical investigation of Anaphalis lactea","type":"article-journal","volume":"74"},"uris":["http://www.mendeley.com/documents/?uuid=ab590e13-e700-40c0-9aaf-124267536c8b"]}],"mendeley":{"formattedCitation":"(Ren et al., 2008)","manualFormatting":"Ren et al. (2008)","plainTextFormattedCitation":"(Ren et al., 2008)","previouslyFormattedCitation":"(Ren et al., 2008)"},"properties":{"noteIndex":0},"schema":"https://github.com/citation-style-language/schema/raw/master/csl-citation.json"}</w:instrText>
            </w:r>
            <w:r>
              <w:rPr>
                <w:sz w:val="24"/>
                <w:szCs w:val="24"/>
                <w:lang w:eastAsia="en-US"/>
              </w:rPr>
              <w:fldChar w:fldCharType="separate"/>
            </w:r>
            <w:r w:rsidR="00FD6F8C">
              <w:rPr>
                <w:noProof/>
                <w:sz w:val="24"/>
                <w:szCs w:val="24"/>
                <w:lang w:eastAsia="en-US"/>
              </w:rPr>
              <w:t>Ren et al.</w:t>
            </w:r>
            <w:r w:rsidRPr="002648EB">
              <w:rPr>
                <w:noProof/>
                <w:sz w:val="24"/>
                <w:szCs w:val="24"/>
                <w:lang w:eastAsia="en-US"/>
              </w:rPr>
              <w:t xml:space="preserve"> </w:t>
            </w:r>
            <w:r w:rsidR="00FD6F8C">
              <w:rPr>
                <w:noProof/>
                <w:sz w:val="24"/>
                <w:szCs w:val="24"/>
                <w:lang w:eastAsia="en-US"/>
              </w:rPr>
              <w:t>(</w:t>
            </w:r>
            <w:r w:rsidRPr="002648EB">
              <w:rPr>
                <w:noProof/>
                <w:sz w:val="24"/>
                <w:szCs w:val="24"/>
                <w:lang w:eastAsia="en-US"/>
              </w:rPr>
              <w:t>2008)</w:t>
            </w:r>
            <w:r>
              <w:rPr>
                <w:sz w:val="24"/>
                <w:szCs w:val="24"/>
                <w:lang w:eastAsia="en-US"/>
              </w:rPr>
              <w:fldChar w:fldCharType="end"/>
            </w:r>
          </w:p>
        </w:tc>
      </w:tr>
      <w:tr w:rsidR="002648EB" w:rsidTr="00463320">
        <w:trPr>
          <w:trHeight w:val="119"/>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Brassicaceae</w:t>
            </w: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Thlaspi arvense</w:t>
            </w:r>
            <w:r w:rsidR="00034320">
              <w:rPr>
                <w:rFonts w:eastAsia="Times New Roman"/>
                <w:i/>
                <w:iCs/>
                <w:color w:val="000000"/>
                <w:sz w:val="24"/>
                <w:szCs w:val="24"/>
                <w:lang w:eastAsia="en-US"/>
              </w:rPr>
              <w:t xml:space="preserve"> </w:t>
            </w:r>
            <w:r w:rsidR="00034320" w:rsidRPr="00034320">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Annual</w:t>
            </w:r>
          </w:p>
        </w:tc>
        <w:tc>
          <w:tcPr>
            <w:tcW w:w="2409" w:type="dxa"/>
          </w:tcPr>
          <w:p w:rsidR="002648EB" w:rsidRDefault="00034320" w:rsidP="00463320">
            <w:pPr>
              <w:spacing w:line="256" w:lineRule="auto"/>
              <w:jc w:val="center"/>
              <w:rPr>
                <w:sz w:val="24"/>
                <w:szCs w:val="24"/>
                <w:lang w:eastAsia="en-US"/>
              </w:rPr>
            </w:pPr>
            <w:r>
              <w:rPr>
                <w:sz w:val="24"/>
                <w:szCs w:val="24"/>
                <w:lang w:eastAsia="en-US"/>
              </w:rPr>
              <w:t>GRIN</w:t>
            </w:r>
          </w:p>
        </w:tc>
      </w:tr>
      <w:tr w:rsidR="002648EB" w:rsidTr="00463320">
        <w:trPr>
          <w:trHeight w:val="224"/>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Capsella bursa-pastoris L. </w:t>
            </w:r>
            <w:r w:rsidRPr="00EB16AB">
              <w:rPr>
                <w:rFonts w:eastAsia="Times New Roman"/>
                <w:iCs/>
                <w:color w:val="000000"/>
                <w:sz w:val="24"/>
                <w:szCs w:val="24"/>
                <w:lang w:eastAsia="en-US"/>
              </w:rPr>
              <w:t>(Medik)</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Annual</w:t>
            </w:r>
          </w:p>
        </w:tc>
        <w:tc>
          <w:tcPr>
            <w:tcW w:w="2409" w:type="dxa"/>
          </w:tcPr>
          <w:p w:rsidR="002648EB" w:rsidRDefault="00034320" w:rsidP="00463320">
            <w:pPr>
              <w:spacing w:line="256" w:lineRule="auto"/>
              <w:jc w:val="center"/>
              <w:rPr>
                <w:sz w:val="24"/>
                <w:szCs w:val="24"/>
                <w:lang w:eastAsia="en-US"/>
              </w:rPr>
            </w:pPr>
            <w:r>
              <w:rPr>
                <w:sz w:val="24"/>
                <w:szCs w:val="24"/>
                <w:lang w:eastAsia="en-US"/>
              </w:rPr>
              <w:t xml:space="preserve">GRIN, </w:t>
            </w:r>
            <w:r>
              <w:rPr>
                <w:sz w:val="24"/>
                <w:szCs w:val="24"/>
                <w:lang w:eastAsia="en-US"/>
              </w:rPr>
              <w:fldChar w:fldCharType="begin" w:fldLock="1"/>
            </w:r>
            <w:r w:rsidR="00FD6F8C">
              <w:rPr>
                <w:sz w:val="24"/>
                <w:szCs w:val="24"/>
                <w:lang w:eastAsia="en-US"/>
              </w:rPr>
              <w:instrText>ADDIN CSL_CITATION {"citationItems":[{"id":"ITEM-1","itemData":{"DOI":"10.1590/S0102-695X2011005000107","ISBN":"2011005000","ISSN":"0102695X","abstract":"Capsella bursa-pastoris (L.) Medik. (Brassicaceae) is a wild herb with high nutritional value that can be eaten raw or cooked. A metabolomic study was performed with different extracts of its aerial parts that were tested concerning their antiradical, acetylcholinesterase inhibitory and antibacterial activities. Phenolic compounds were identified and quantified by HPLC-DAD, organic acids and amino acids were determined by HPLC-UV, while free fatty acids and sterols were analysed by GC-ITMS. The vegetal material was rich in kaempferol-3-O-rutinoside (mean value 2247.09 mg/kg of dry plant), quinic acid (95628.00 mg/kg of dry plant), arginine (mean value of 1.18 mg/kg of dry plant), palmitic acid (284.48 mg/kg) and β-sitosterol (28%). The extracts presented a concentration-dependent antiradical activity (against DPPH·, O2 · - and LOO·), being most effective against ·NO (EC25 0.20 μg/mL). In addition, the extracts were also acetylcholinesterase inhibitors and antibacterial active, revealing that, besides the plant's good nutritional value, it presents important biological properties as well.","author":[{"dropping-particle":"","family":"Grosso","given":"C","non-dropping-particle":"","parse-names":false,"suffix":""},{"dropping-particle":"","family":"Vinholes","given":"J","non-dropping-particle":"","parse-names":false,"suffix":""},{"dropping-particle":"","family":"Silva","given":"L R","non-dropping-particle":"","parse-names":false,"suffix":""},{"dropping-particle":"","family":"Pinho","given":"P G","non-dropping-particle":"de","parse-names":false,"suffix":""},{"dropping-particle":"","family":"Gonçalves","given":"R F","non-dropping-particle":"","parse-names":false,"suffix":""},{"dropping-particle":"","family":"Valentão","given":"P","non-dropping-particle":"","parse-names":false,"suffix":""},{"dropping-particle":"","family":"Jäger","given":"A K","non-dropping-particle":"","parse-names":false,"suffix":""},{"dropping-particle":"","family":"Andrade","given":"P B","non-dropping-particle":"","parse-names":false,"suffix":""}],"container-title":"Brazilian Journal of Pharmacognosy","id":"ITEM-1","issue":"4","issued":{"date-parts":[["2011"]]},"page":"635-644","title":"Chemical composition and biological screening of Capsella bursa-pastoris","type":"article-journal","volume":"21"},"uris":["http://www.mendeley.com/documents/?uuid=d173152b-df22-4dc8-9b8d-55dcac01a663"]}],"mendeley":{"formattedCitation":"(Grosso et al., 2011)","manualFormatting":"Grosso et al. (2011)","plainTextFormattedCitation":"(Grosso et al., 2011)","previouslyFormattedCitation":"(Grosso et al., 2011)"},"properties":{"noteIndex":0},"schema":"https://github.com/citation-style-language/schema/raw/master/csl-citation.json"}</w:instrText>
            </w:r>
            <w:r>
              <w:rPr>
                <w:sz w:val="24"/>
                <w:szCs w:val="24"/>
                <w:lang w:eastAsia="en-US"/>
              </w:rPr>
              <w:fldChar w:fldCharType="separate"/>
            </w:r>
            <w:r w:rsidRPr="00034320">
              <w:rPr>
                <w:noProof/>
                <w:sz w:val="24"/>
                <w:szCs w:val="24"/>
                <w:lang w:eastAsia="en-US"/>
              </w:rPr>
              <w:t>Gross</w:t>
            </w:r>
            <w:r w:rsidR="00FD6F8C">
              <w:rPr>
                <w:noProof/>
                <w:sz w:val="24"/>
                <w:szCs w:val="24"/>
                <w:lang w:eastAsia="en-US"/>
              </w:rPr>
              <w:t>o et al.</w:t>
            </w:r>
            <w:r w:rsidRPr="00034320">
              <w:rPr>
                <w:noProof/>
                <w:sz w:val="24"/>
                <w:szCs w:val="24"/>
                <w:lang w:eastAsia="en-US"/>
              </w:rPr>
              <w:t xml:space="preserve"> </w:t>
            </w:r>
            <w:r w:rsidR="00FD6F8C">
              <w:rPr>
                <w:noProof/>
                <w:sz w:val="24"/>
                <w:szCs w:val="24"/>
                <w:lang w:eastAsia="en-US"/>
              </w:rPr>
              <w:t>(</w:t>
            </w:r>
            <w:r w:rsidRPr="00034320">
              <w:rPr>
                <w:noProof/>
                <w:sz w:val="24"/>
                <w:szCs w:val="24"/>
                <w:lang w:eastAsia="en-US"/>
              </w:rPr>
              <w:t>2011)</w:t>
            </w:r>
            <w:r>
              <w:rPr>
                <w:sz w:val="24"/>
                <w:szCs w:val="24"/>
                <w:lang w:eastAsia="en-US"/>
              </w:rPr>
              <w:fldChar w:fldCharType="end"/>
            </w:r>
          </w:p>
        </w:tc>
      </w:tr>
      <w:tr w:rsidR="002648EB" w:rsidTr="00463320">
        <w:trPr>
          <w:trHeight w:val="193"/>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tcPr>
          <w:p w:rsidR="002648EB" w:rsidRDefault="002648EB" w:rsidP="00463320">
            <w:pPr>
              <w:spacing w:line="256" w:lineRule="auto"/>
              <w:jc w:val="center"/>
              <w:rPr>
                <w:sz w:val="24"/>
                <w:szCs w:val="24"/>
                <w:lang w:eastAsia="en-US"/>
              </w:rPr>
            </w:pPr>
            <w:r>
              <w:rPr>
                <w:sz w:val="24"/>
                <w:szCs w:val="24"/>
                <w:lang w:eastAsia="en-US"/>
              </w:rPr>
              <w:t>Ranunculaceae</w:t>
            </w:r>
          </w:p>
          <w:p w:rsidR="002648EB" w:rsidRDefault="002648EB" w:rsidP="00463320">
            <w:pPr>
              <w:spacing w:line="256" w:lineRule="auto"/>
              <w:jc w:val="center"/>
              <w:rPr>
                <w:sz w:val="24"/>
                <w:szCs w:val="24"/>
                <w:lang w:eastAsia="en-US"/>
              </w:rPr>
            </w:pPr>
          </w:p>
        </w:tc>
        <w:tc>
          <w:tcPr>
            <w:tcW w:w="2835" w:type="dxa"/>
            <w:hideMark/>
          </w:tcPr>
          <w:p w:rsidR="002648EB" w:rsidRPr="003D07B5"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Anemone cathayensis</w:t>
            </w:r>
            <w:r w:rsidR="003D07B5">
              <w:rPr>
                <w:rFonts w:eastAsia="Times New Roman"/>
                <w:i/>
                <w:iCs/>
                <w:color w:val="000000"/>
                <w:sz w:val="24"/>
                <w:szCs w:val="24"/>
                <w:lang w:eastAsia="en-US"/>
              </w:rPr>
              <w:t xml:space="preserve"> </w:t>
            </w:r>
            <w:r w:rsidR="003D07B5">
              <w:rPr>
                <w:rFonts w:eastAsia="Times New Roman"/>
                <w:iCs/>
                <w:color w:val="000000"/>
                <w:sz w:val="24"/>
                <w:szCs w:val="24"/>
                <w:lang w:eastAsia="en-US"/>
              </w:rPr>
              <w:t>Kitag ex. Tamura</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3D07B5" w:rsidP="00463320">
            <w:pPr>
              <w:spacing w:line="256" w:lineRule="auto"/>
              <w:jc w:val="center"/>
              <w:rPr>
                <w:sz w:val="24"/>
                <w:szCs w:val="24"/>
                <w:lang w:eastAsia="en-US"/>
              </w:rPr>
            </w:pPr>
            <w:r>
              <w:rPr>
                <w:sz w:val="24"/>
                <w:szCs w:val="24"/>
                <w:lang w:eastAsia="en-US"/>
              </w:rPr>
              <w:t>Plants of the world</w:t>
            </w:r>
            <w:r w:rsidR="00DE4316">
              <w:rPr>
                <w:sz w:val="24"/>
                <w:szCs w:val="24"/>
                <w:lang w:eastAsia="en-US"/>
              </w:rPr>
              <w:t xml:space="preserve"> online</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tcPr>
          <w:p w:rsidR="002648EB" w:rsidRPr="00EB16AB" w:rsidRDefault="002648EB" w:rsidP="00463320">
            <w:pPr>
              <w:spacing w:line="256" w:lineRule="auto"/>
              <w:jc w:val="center"/>
              <w:rPr>
                <w:rFonts w:eastAsia="Times New Roman"/>
                <w:i/>
                <w:color w:val="0563C1"/>
                <w:sz w:val="24"/>
                <w:szCs w:val="24"/>
                <w:u w:val="single"/>
                <w:lang w:eastAsia="en-US"/>
              </w:rPr>
            </w:pPr>
            <w:r>
              <w:rPr>
                <w:i/>
                <w:color w:val="333333"/>
                <w:sz w:val="24"/>
                <w:szCs w:val="24"/>
                <w:shd w:val="clear" w:color="auto" w:fill="FFFFFF"/>
                <w:lang w:eastAsia="en-US"/>
              </w:rPr>
              <w:t>Anemone trullifolia var. linearis</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E24801" w:rsidP="00463320">
            <w:pPr>
              <w:spacing w:line="256" w:lineRule="auto"/>
              <w:jc w:val="center"/>
              <w:rPr>
                <w:sz w:val="24"/>
                <w:szCs w:val="24"/>
                <w:lang w:eastAsia="en-US"/>
              </w:rPr>
            </w:pPr>
            <w:r>
              <w:rPr>
                <w:sz w:val="24"/>
                <w:szCs w:val="24"/>
                <w:lang w:eastAsia="en-US"/>
              </w:rPr>
              <w:fldChar w:fldCharType="begin" w:fldLock="1"/>
            </w:r>
            <w:r w:rsidR="00FD6F8C">
              <w:rPr>
                <w:sz w:val="24"/>
                <w:szCs w:val="24"/>
                <w:lang w:eastAsia="en-US"/>
              </w:rPr>
              <w:instrText>ADDIN CSL_CITATION {"citationItems":[{"id":"ITEM-1","itemData":{"DOI":"10.1017/S0960428607000765","ISBN":"0960428607000","ISSN":"09604286","abstract":"The members of Anemone L. sect. Himalayicae (Ulbr.) Juz. (Ranunculaceae) are mainly distributed in the Himalaya of North India, Nepal and Bhutan and the neighbouring mountains of SW China at elevations between 1850 and 4800 m. Their taxonomy is re-evaluated on the basis of a critical morphological analysis of extensive herbarium material. The section is placed in Anemone subgen. Omalocarpus and differentiated into three new series: ser. Obtusilobae, ser. Trullifoliae and ser. Rupestres. A conspectus, keys to species, subspecies and varieties, descriptions of taxa, illustrations and distribution maps are presented. Eleven species with several infraspecific taxa are recognized and their synonymy, variability and relationships are discussed. In addition to the generally accepted species Anemone obtusiloba, A. trullifolia and A. rupestris, we recognize the following: A. polycarpa, A. rockii, A. geum and A. coelestina and four Chinese endemics, A. yulongshanica, A. patula, A. subpinnata and A. subindivisa. Anemone imbricata and A. fuscopurpurea are described but excluded from the section. The origins, morphological differentiations and eco-geographical radiations of Anemone sect. Himalayicae are discussed. © Trustees of the Royal Botanic Garden (2007).","author":[{"dropping-particle":"","family":"Ziman","given":"S N","non-dropping-particle":"","parse-names":false,"suffix":""},{"dropping-particle":"","family":"Ehrendorfer","given":"F","non-dropping-particle":"","parse-names":false,"suffix":""},{"dropping-particle":"","family":"Keener","given":"C S","non-dropping-particle":"","parse-names":false,"suffix":""},{"dropping-particle":"","family":"Wang","given":"W T","non-dropping-particle":"","parse-names":false,"suffix":""},{"dropping-particle":"","family":"Mosyakin","given":"S L","non-dropping-particle":"","parse-names":false,"suffix":""},{"dropping-particle":"V","family":"Bulakh","given":"E","non-dropping-particle":"","parse-names":false,"suffix":""},{"dropping-particle":"","family":"Tsarenko","given":"O N","non-dropping-particle":"","parse-names":false,"suffix":""},{"dropping-particle":"","family":"Dutton","given":"B E","non-dropping-particle":"","parse-names":false,"suffix":""},{"dropping-particle":"","family":"Chaudhary","given":"R P","non-dropping-particle":"","parse-names":false,"suffix":""},{"dropping-particle":"","family":"Kadota","given":"Y","non-dropping-particle":"","parse-names":false,"suffix":""}],"container-title":"Edinburgh Journal of Botany","id":"ITEM-1","issue":"1","issued":{"date-parts":[["2007"]]},"number-of-pages":"51-99","title":"Revision of Anemone sect. Himalayicae (Ranunculaceae) with three new series","type":"book","volume":"64"},"uris":["http://www.mendeley.com/documents/?uuid=dae96f3f-23a9-4f23-bf09-ca71fb09795e"]}],"mendeley":{"formattedCitation":"(Ziman et al., 2007)","manualFormatting":"Ziman et al. (2007)","plainTextFormattedCitation":"(Ziman et al., 2007)","previouslyFormattedCitation":"(Ziman et al., 2007)"},"properties":{"noteIndex":0},"schema":"https://github.com/citation-style-language/schema/raw/master/csl-citation.json"}</w:instrText>
            </w:r>
            <w:r>
              <w:rPr>
                <w:sz w:val="24"/>
                <w:szCs w:val="24"/>
                <w:lang w:eastAsia="en-US"/>
              </w:rPr>
              <w:fldChar w:fldCharType="separate"/>
            </w:r>
            <w:r w:rsidR="00FD6F8C">
              <w:rPr>
                <w:noProof/>
                <w:sz w:val="24"/>
                <w:szCs w:val="24"/>
                <w:lang w:eastAsia="en-US"/>
              </w:rPr>
              <w:t>Ziman et al.</w:t>
            </w:r>
            <w:r w:rsidRPr="00E24801">
              <w:rPr>
                <w:noProof/>
                <w:sz w:val="24"/>
                <w:szCs w:val="24"/>
                <w:lang w:eastAsia="en-US"/>
              </w:rPr>
              <w:t xml:space="preserve"> </w:t>
            </w:r>
            <w:r w:rsidR="00FD6F8C">
              <w:rPr>
                <w:noProof/>
                <w:sz w:val="24"/>
                <w:szCs w:val="24"/>
                <w:lang w:eastAsia="en-US"/>
              </w:rPr>
              <w:t>(</w:t>
            </w:r>
            <w:r w:rsidRPr="00E24801">
              <w:rPr>
                <w:noProof/>
                <w:sz w:val="24"/>
                <w:szCs w:val="24"/>
                <w:lang w:eastAsia="en-US"/>
              </w:rPr>
              <w:t>2007)</w:t>
            </w:r>
            <w:r>
              <w:rPr>
                <w:sz w:val="24"/>
                <w:szCs w:val="24"/>
                <w:lang w:eastAsia="en-US"/>
              </w:rPr>
              <w:fldChar w:fldCharType="end"/>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E24801"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Anemone rivularis</w:t>
            </w:r>
            <w:r w:rsidR="00E24801">
              <w:rPr>
                <w:rFonts w:eastAsia="Times New Roman"/>
                <w:i/>
                <w:iCs/>
                <w:color w:val="000000"/>
                <w:sz w:val="24"/>
                <w:szCs w:val="24"/>
                <w:lang w:eastAsia="en-US"/>
              </w:rPr>
              <w:t xml:space="preserve"> </w:t>
            </w:r>
            <w:r w:rsidR="00E24801">
              <w:rPr>
                <w:rFonts w:eastAsia="Times New Roman"/>
                <w:iCs/>
                <w:color w:val="000000"/>
                <w:sz w:val="24"/>
                <w:szCs w:val="24"/>
                <w:lang w:eastAsia="en-US"/>
              </w:rPr>
              <w:t>Buch. –Ham. ex DC.</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E24801" w:rsidP="00463320">
            <w:pPr>
              <w:spacing w:line="256" w:lineRule="auto"/>
              <w:jc w:val="center"/>
              <w:rPr>
                <w:sz w:val="24"/>
                <w:szCs w:val="24"/>
                <w:lang w:eastAsia="en-US"/>
              </w:rPr>
            </w:pPr>
            <w:r>
              <w:rPr>
                <w:sz w:val="24"/>
                <w:szCs w:val="24"/>
                <w:lang w:eastAsia="en-US"/>
              </w:rPr>
              <w:t>GRIN</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E24801"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Ranunculus asiaticus</w:t>
            </w:r>
            <w:r w:rsidR="00E24801">
              <w:rPr>
                <w:rFonts w:eastAsia="Times New Roman"/>
                <w:i/>
                <w:iCs/>
                <w:color w:val="000000"/>
                <w:sz w:val="24"/>
                <w:szCs w:val="24"/>
                <w:lang w:eastAsia="en-US"/>
              </w:rPr>
              <w:t xml:space="preserve"> </w:t>
            </w:r>
            <w:r w:rsidR="00E24801">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E24801" w:rsidP="00463320">
            <w:pPr>
              <w:spacing w:line="256" w:lineRule="auto"/>
              <w:jc w:val="center"/>
              <w:rPr>
                <w:sz w:val="24"/>
                <w:szCs w:val="24"/>
                <w:lang w:eastAsia="en-US"/>
              </w:rPr>
            </w:pPr>
            <w:r>
              <w:rPr>
                <w:sz w:val="24"/>
                <w:szCs w:val="24"/>
                <w:lang w:eastAsia="en-US"/>
              </w:rPr>
              <w:t>GRIN</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Ranunculus brotherusii</w:t>
            </w:r>
            <w:r w:rsidR="00DE4316">
              <w:rPr>
                <w:rFonts w:eastAsia="Times New Roman"/>
                <w:i/>
                <w:iCs/>
                <w:color w:val="000000"/>
                <w:sz w:val="24"/>
                <w:szCs w:val="24"/>
                <w:lang w:eastAsia="en-US"/>
              </w:rPr>
              <w:t xml:space="preserve"> </w:t>
            </w:r>
            <w:r w:rsidR="00DE4316" w:rsidRPr="00DE4316">
              <w:rPr>
                <w:rFonts w:eastAsia="Times New Roman"/>
                <w:iCs/>
                <w:color w:val="000000"/>
                <w:sz w:val="24"/>
                <w:szCs w:val="24"/>
                <w:lang w:eastAsia="en-US"/>
              </w:rPr>
              <w:t>(Maxim</w:t>
            </w:r>
            <w:r w:rsidR="00DE4316">
              <w:rPr>
                <w:rFonts w:eastAsia="Times New Roman"/>
                <w:iCs/>
                <w:color w:val="000000"/>
                <w:sz w:val="24"/>
                <w:szCs w:val="24"/>
                <w:lang w:eastAsia="en-US"/>
              </w:rPr>
              <w:t>.)</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E4316" w:rsidP="00463320">
            <w:pPr>
              <w:spacing w:line="256" w:lineRule="auto"/>
              <w:jc w:val="center"/>
              <w:rPr>
                <w:sz w:val="24"/>
                <w:szCs w:val="24"/>
                <w:lang w:eastAsia="en-US"/>
              </w:rPr>
            </w:pPr>
            <w:r>
              <w:rPr>
                <w:sz w:val="24"/>
                <w:szCs w:val="24"/>
                <w:lang w:eastAsia="en-US"/>
              </w:rPr>
              <w:fldChar w:fldCharType="begin" w:fldLock="1"/>
            </w:r>
            <w:r w:rsidR="00FD6F8C">
              <w:rPr>
                <w:sz w:val="24"/>
                <w:szCs w:val="24"/>
                <w:lang w:eastAsia="en-US"/>
              </w:rPr>
              <w:instrText>ADDIN CSL_CITATION {"citationItems":[{"id":"ITEM-1","itemData":{"DOI":"10.1038/srep10098","ISSN":"20452322","abstract":"Adaptation to aquatic habitats is a formidable challenge for terrestrial angiosperms that has long intrigued scientists. As part of a suite of work to explore the molecular mechanism of adaptation to aquatic habitats, we here sequenced the transcriptome of the submerged aquatic plant Ranunculus bungei, and two terrestrial relatives R. cantoniensis and R. brotherusii, followed by comparative evolutionary analyses to determine candidate genes for adaption to aquatic habitats. We obtained 126,037, 140,218 and 114,753 contigs for R. bungei, R. cantoniensis and R. brotherusii respectively. Bidirectional Best Hit method and OrthoMCL method identified 11,362 and 8,174 1:1:1 orthologous genes (one ortholog is represented in each of the three species) respectively. Non-synonymous/synonymous (d N/d S) analyses were performed with a maximum likelihood method and an approximate method for the three species-pairs. In total, 14 genes of R. bungei potentially involved in the adaptive transition from terrestrial to aquatic habitats were identified. Some of the homologs to these genes in model plants are involved in vacuole protein formation, regulating water transport process and microtubule cytoskeleton organization. Our study opens the door to understand the molecular mechanism of plant adaptation from terrestrial to aquatic habitats.","author":[{"dropping-particle":"","family":"Chen","given":"L Y","non-dropping-particle":"","parse-names":false,"suffix":""},{"dropping-particle":"","family":"Zhao","given":"S Y","non-dropping-particle":"","parse-names":false,"suffix":""},{"dropping-particle":"","family":"Wang","given":"Q F","non-dropping-particle":"","parse-names":false,"suffix":""},{"dropping-particle":"","family":"Moody","given":"M L","non-dropping-particle":"","parse-names":false,"suffix":""}],"container-title":"Scientific Reports","id":"ITEM-1","issued":{"date-parts":[["2015"]]},"page":"1-11","publisher":"Nature Publishing Group","title":"Transcriptome sequencing of three Ranunculus species (Ranunculaceae) reveals candidate genes in adaptation from terrestrial to aquatic habitats","type":"article-journal","volume":"5"},"uris":["http://www.mendeley.com/documents/?uuid=924206bd-a68f-4588-b1ab-ca34bfa254dd"]}],"mendeley":{"formattedCitation":"(Chen et al., 2015)","manualFormatting":"Chen et al. (2015)","plainTextFormattedCitation":"(Chen et al., 2015)","previouslyFormattedCitation":"(Chen et al., 2015)"},"properties":{"noteIndex":0},"schema":"https://github.com/citation-style-language/schema/raw/master/csl-citation.json"}</w:instrText>
            </w:r>
            <w:r>
              <w:rPr>
                <w:sz w:val="24"/>
                <w:szCs w:val="24"/>
                <w:lang w:eastAsia="en-US"/>
              </w:rPr>
              <w:fldChar w:fldCharType="separate"/>
            </w:r>
            <w:r w:rsidR="00FD6F8C">
              <w:rPr>
                <w:noProof/>
                <w:sz w:val="24"/>
                <w:szCs w:val="24"/>
                <w:lang w:eastAsia="en-US"/>
              </w:rPr>
              <w:t>Chen et al.</w:t>
            </w:r>
            <w:r w:rsidRPr="00DE4316">
              <w:rPr>
                <w:noProof/>
                <w:sz w:val="24"/>
                <w:szCs w:val="24"/>
                <w:lang w:eastAsia="en-US"/>
              </w:rPr>
              <w:t xml:space="preserve"> </w:t>
            </w:r>
            <w:r w:rsidR="00FD6F8C">
              <w:rPr>
                <w:noProof/>
                <w:sz w:val="24"/>
                <w:szCs w:val="24"/>
                <w:lang w:eastAsia="en-US"/>
              </w:rPr>
              <w:t>(</w:t>
            </w:r>
            <w:r w:rsidRPr="00DE4316">
              <w:rPr>
                <w:noProof/>
                <w:sz w:val="24"/>
                <w:szCs w:val="24"/>
                <w:lang w:eastAsia="en-US"/>
              </w:rPr>
              <w:t>2015)</w:t>
            </w:r>
            <w:r>
              <w:rPr>
                <w:sz w:val="24"/>
                <w:szCs w:val="24"/>
                <w:lang w:eastAsia="en-US"/>
              </w:rPr>
              <w:fldChar w:fldCharType="end"/>
            </w:r>
          </w:p>
        </w:tc>
      </w:tr>
      <w:tr w:rsidR="002648EB" w:rsidTr="00463320">
        <w:trPr>
          <w:trHeight w:val="264"/>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Thalictrum alpinum </w:t>
            </w:r>
            <w:r w:rsidR="00DE4316">
              <w:rPr>
                <w:rFonts w:eastAsia="Times New Roman"/>
                <w:iCs/>
                <w:color w:val="000000"/>
                <w:sz w:val="24"/>
                <w:szCs w:val="24"/>
                <w:lang w:eastAsia="en-US"/>
              </w:rPr>
              <w:t xml:space="preserve">L. </w:t>
            </w:r>
            <w:r>
              <w:rPr>
                <w:rFonts w:eastAsia="Times New Roman"/>
                <w:color w:val="000000"/>
                <w:sz w:val="24"/>
                <w:szCs w:val="24"/>
                <w:lang w:eastAsia="en-US"/>
              </w:rPr>
              <w:t xml:space="preserve">var. </w:t>
            </w:r>
            <w:r>
              <w:rPr>
                <w:rFonts w:eastAsia="Times New Roman"/>
                <w:i/>
                <w:iCs/>
                <w:color w:val="000000"/>
                <w:sz w:val="24"/>
                <w:szCs w:val="24"/>
                <w:lang w:eastAsia="en-US"/>
              </w:rPr>
              <w:t>elatum</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E4316" w:rsidP="00463320">
            <w:pPr>
              <w:spacing w:line="256" w:lineRule="auto"/>
              <w:jc w:val="center"/>
              <w:rPr>
                <w:sz w:val="24"/>
                <w:szCs w:val="24"/>
                <w:lang w:eastAsia="en-US"/>
              </w:rPr>
            </w:pPr>
            <w:r>
              <w:rPr>
                <w:sz w:val="24"/>
                <w:szCs w:val="24"/>
                <w:lang w:eastAsia="en-US"/>
              </w:rPr>
              <w:t>GRIN</w:t>
            </w:r>
          </w:p>
        </w:tc>
      </w:tr>
      <w:tr w:rsidR="002648EB" w:rsidTr="00463320">
        <w:trPr>
          <w:trHeight w:val="167"/>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tcPr>
          <w:p w:rsidR="002648EB" w:rsidRDefault="002648EB" w:rsidP="00463320">
            <w:pPr>
              <w:spacing w:line="256" w:lineRule="auto"/>
              <w:jc w:val="center"/>
              <w:rPr>
                <w:rFonts w:eastAsia="Times New Roman"/>
                <w:i/>
                <w:iCs/>
                <w:color w:val="000000"/>
                <w:sz w:val="24"/>
                <w:szCs w:val="24"/>
                <w:lang w:eastAsia="en-US"/>
              </w:rPr>
            </w:pPr>
          </w:p>
        </w:tc>
        <w:tc>
          <w:tcPr>
            <w:tcW w:w="1418" w:type="dxa"/>
          </w:tcPr>
          <w:p w:rsidR="002648EB" w:rsidRDefault="002648EB" w:rsidP="00463320">
            <w:pPr>
              <w:spacing w:line="256" w:lineRule="auto"/>
              <w:jc w:val="center"/>
              <w:rPr>
                <w:sz w:val="24"/>
                <w:szCs w:val="24"/>
                <w:lang w:eastAsia="en-US"/>
              </w:rPr>
            </w:pPr>
          </w:p>
        </w:tc>
        <w:tc>
          <w:tcPr>
            <w:tcW w:w="2409" w:type="dxa"/>
          </w:tcPr>
          <w:p w:rsidR="002648EB" w:rsidRDefault="002648EB" w:rsidP="00463320">
            <w:pPr>
              <w:spacing w:line="256" w:lineRule="auto"/>
              <w:jc w:val="center"/>
              <w:rPr>
                <w:sz w:val="24"/>
                <w:szCs w:val="24"/>
                <w:lang w:eastAsia="en-US"/>
              </w:rPr>
            </w:pP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lastRenderedPageBreak/>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Asteraceae</w:t>
            </w:r>
          </w:p>
        </w:tc>
        <w:tc>
          <w:tcPr>
            <w:tcW w:w="2835" w:type="dxa"/>
            <w:hideMark/>
          </w:tcPr>
          <w:p w:rsidR="002648EB" w:rsidRPr="00DE4316" w:rsidRDefault="002648EB" w:rsidP="00463320">
            <w:pPr>
              <w:spacing w:line="256" w:lineRule="auto"/>
              <w:jc w:val="center"/>
              <w:rPr>
                <w:color w:val="333333"/>
                <w:sz w:val="24"/>
                <w:szCs w:val="24"/>
                <w:shd w:val="clear" w:color="auto" w:fill="FFFFFF"/>
                <w:lang w:eastAsia="en-US"/>
              </w:rPr>
            </w:pPr>
            <w:r>
              <w:rPr>
                <w:rFonts w:eastAsia="Times New Roman"/>
                <w:i/>
                <w:iCs/>
                <w:color w:val="000000"/>
                <w:sz w:val="24"/>
                <w:szCs w:val="24"/>
                <w:lang w:eastAsia="en-US"/>
              </w:rPr>
              <w:t>Aster alpinus</w:t>
            </w:r>
            <w:r w:rsidR="00DE4316">
              <w:rPr>
                <w:rFonts w:eastAsia="Times New Roman"/>
                <w:i/>
                <w:iCs/>
                <w:color w:val="000000"/>
                <w:sz w:val="24"/>
                <w:szCs w:val="24"/>
                <w:lang w:eastAsia="en-US"/>
              </w:rPr>
              <w:t xml:space="preserve"> </w:t>
            </w:r>
            <w:r w:rsidR="00DE4316">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E4316" w:rsidP="00463320">
            <w:pPr>
              <w:spacing w:line="256" w:lineRule="auto"/>
              <w:jc w:val="center"/>
              <w:rPr>
                <w:sz w:val="24"/>
                <w:szCs w:val="24"/>
                <w:lang w:eastAsia="en-US"/>
              </w:rPr>
            </w:pPr>
            <w:r>
              <w:rPr>
                <w:sz w:val="24"/>
                <w:szCs w:val="24"/>
                <w:lang w:eastAsia="en-US"/>
              </w:rPr>
              <w:t>GRIN</w:t>
            </w:r>
          </w:p>
        </w:tc>
      </w:tr>
      <w:tr w:rsidR="002648EB" w:rsidTr="00463320">
        <w:trPr>
          <w:trHeight w:val="486"/>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DE431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Cremanthodium reniforme</w:t>
            </w:r>
            <w:r w:rsidR="00DE4316">
              <w:rPr>
                <w:rFonts w:eastAsia="Times New Roman"/>
                <w:i/>
                <w:iCs/>
                <w:color w:val="000000"/>
                <w:sz w:val="24"/>
                <w:szCs w:val="24"/>
                <w:lang w:eastAsia="en-US"/>
              </w:rPr>
              <w:t xml:space="preserve"> </w:t>
            </w:r>
            <w:r w:rsidR="00DE4316">
              <w:rPr>
                <w:rFonts w:eastAsia="Times New Roman"/>
                <w:iCs/>
                <w:color w:val="000000"/>
                <w:sz w:val="24"/>
                <w:szCs w:val="24"/>
                <w:lang w:eastAsia="en-US"/>
              </w:rPr>
              <w:t>(DC.) Benth.</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E4316" w:rsidP="00463320">
            <w:pPr>
              <w:spacing w:line="256" w:lineRule="auto"/>
              <w:jc w:val="center"/>
              <w:rPr>
                <w:sz w:val="24"/>
                <w:szCs w:val="24"/>
                <w:lang w:eastAsia="en-US"/>
              </w:rPr>
            </w:pPr>
            <w:r>
              <w:rPr>
                <w:sz w:val="24"/>
                <w:szCs w:val="24"/>
                <w:lang w:eastAsia="en-US"/>
              </w:rPr>
              <w:t>GRIN; Plants of the world online</w:t>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CA5B17"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Saussurea japonica</w:t>
            </w:r>
            <w:r w:rsidR="00DE4316">
              <w:rPr>
                <w:rFonts w:eastAsia="Times New Roman"/>
                <w:i/>
                <w:iCs/>
                <w:color w:val="000000"/>
                <w:sz w:val="24"/>
                <w:szCs w:val="24"/>
                <w:lang w:eastAsia="en-US"/>
              </w:rPr>
              <w:t xml:space="preserve"> </w:t>
            </w:r>
            <w:r w:rsidR="00CA5B17">
              <w:rPr>
                <w:rFonts w:eastAsia="Times New Roman"/>
                <w:iCs/>
                <w:color w:val="000000"/>
                <w:sz w:val="24"/>
                <w:szCs w:val="24"/>
                <w:lang w:eastAsia="en-US"/>
              </w:rPr>
              <w:t>(Thunb.) DC.</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CA5B17" w:rsidP="00463320">
            <w:pPr>
              <w:spacing w:line="256" w:lineRule="auto"/>
              <w:jc w:val="center"/>
              <w:rPr>
                <w:sz w:val="24"/>
                <w:szCs w:val="24"/>
                <w:lang w:eastAsia="en-US"/>
              </w:rPr>
            </w:pPr>
            <w:r>
              <w:rPr>
                <w:sz w:val="24"/>
                <w:szCs w:val="24"/>
                <w:lang w:eastAsia="en-US"/>
              </w:rPr>
              <w:t>GRIN; NCBI taxonomy</w:t>
            </w:r>
          </w:p>
        </w:tc>
      </w:tr>
      <w:tr w:rsidR="002648EB" w:rsidTr="00463320">
        <w:trPr>
          <w:trHeight w:val="109"/>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tcPr>
          <w:p w:rsidR="002648EB" w:rsidRDefault="002648EB" w:rsidP="00463320">
            <w:pPr>
              <w:spacing w:line="256" w:lineRule="auto"/>
              <w:jc w:val="center"/>
              <w:rPr>
                <w:rFonts w:eastAsia="Times New Roman"/>
                <w:i/>
                <w:iCs/>
                <w:color w:val="000000"/>
                <w:sz w:val="24"/>
                <w:szCs w:val="24"/>
                <w:lang w:eastAsia="en-US"/>
              </w:rPr>
            </w:pPr>
          </w:p>
        </w:tc>
        <w:tc>
          <w:tcPr>
            <w:tcW w:w="1418" w:type="dxa"/>
          </w:tcPr>
          <w:p w:rsidR="002648EB" w:rsidRDefault="002648EB" w:rsidP="00463320">
            <w:pPr>
              <w:spacing w:line="256" w:lineRule="auto"/>
              <w:jc w:val="center"/>
              <w:rPr>
                <w:sz w:val="24"/>
                <w:szCs w:val="24"/>
                <w:lang w:eastAsia="en-US"/>
              </w:rPr>
            </w:pPr>
          </w:p>
        </w:tc>
        <w:tc>
          <w:tcPr>
            <w:tcW w:w="2409" w:type="dxa"/>
          </w:tcPr>
          <w:p w:rsidR="002648EB" w:rsidRDefault="002648EB" w:rsidP="00463320">
            <w:pPr>
              <w:spacing w:line="256" w:lineRule="auto"/>
              <w:jc w:val="center"/>
              <w:rPr>
                <w:sz w:val="24"/>
                <w:szCs w:val="24"/>
                <w:lang w:eastAsia="en-US"/>
              </w:rPr>
            </w:pPr>
          </w:p>
        </w:tc>
      </w:tr>
      <w:tr w:rsidR="002648EB" w:rsidTr="00463320">
        <w:trPr>
          <w:trHeight w:val="721"/>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Polygonaceae</w:t>
            </w:r>
          </w:p>
        </w:tc>
        <w:tc>
          <w:tcPr>
            <w:tcW w:w="2835" w:type="dxa"/>
            <w:hideMark/>
          </w:tcPr>
          <w:p w:rsidR="002648EB" w:rsidRPr="00824073"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Polygonum aviculare</w:t>
            </w:r>
            <w:r w:rsidR="00824073">
              <w:rPr>
                <w:rFonts w:eastAsia="Times New Roman"/>
                <w:i/>
                <w:iCs/>
                <w:color w:val="000000"/>
                <w:sz w:val="24"/>
                <w:szCs w:val="24"/>
                <w:lang w:eastAsia="en-US"/>
              </w:rPr>
              <w:t xml:space="preserve"> </w:t>
            </w:r>
            <w:r w:rsidR="00824073">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Annual/</w:t>
            </w:r>
          </w:p>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824073" w:rsidP="00463320">
            <w:pPr>
              <w:spacing w:line="256" w:lineRule="auto"/>
              <w:jc w:val="center"/>
              <w:rPr>
                <w:sz w:val="24"/>
                <w:szCs w:val="24"/>
                <w:lang w:eastAsia="en-US"/>
              </w:rPr>
            </w:pPr>
            <w:r>
              <w:rPr>
                <w:sz w:val="24"/>
                <w:szCs w:val="24"/>
                <w:lang w:eastAsia="en-US"/>
              </w:rPr>
              <w:t xml:space="preserve">GRIN; </w:t>
            </w:r>
            <w:r w:rsidR="002E617F">
              <w:rPr>
                <w:sz w:val="24"/>
                <w:szCs w:val="24"/>
                <w:lang w:eastAsia="en-US"/>
              </w:rPr>
              <w:fldChar w:fldCharType="begin" w:fldLock="1"/>
            </w:r>
            <w:r w:rsidR="002514C3">
              <w:rPr>
                <w:sz w:val="24"/>
                <w:szCs w:val="24"/>
                <w:lang w:eastAsia="en-US"/>
              </w:rPr>
              <w:instrText>ADDIN CSL_CITATION {"citationItems":[{"id":"ITEM-1","itemData":{"ISBN":"9781889878447","ISSN":"&lt;null&gt;","PMID":"581","author":[{"dropping-particle":"","family":"Tilley","given":"D","non-dropping-particle":"","parse-names":false,"suffix":""},{"dropping-particle":"","family":"John","given":"L","non-dropping-particle":"St.","parse-names":false,"suffix":""}],"container-title":"USDA-Natural Resources","id":"ITEM-1","issued":{"date-parts":[["2014"]]},"page":"1-3","title":"Plant Guide for Dahurian wildrye (Elymus dahuricus)","type":"article-journal"},"uris":["http://www.mendeley.com/documents/?uuid=685d50af-f19b-4f40-a68f-ed596dcff608"]}],"mendeley":{"formattedCitation":"(Tilley and St. John, 2014)","manualFormatting":"Tilley and St. John (2014)","plainTextFormattedCitation":"(Tilley and St. John, 2014)"},"properties":{"noteIndex":0},"schema":"https://github.com/citation-style-language/schema/raw/master/csl-citation.json"}</w:instrText>
            </w:r>
            <w:r w:rsidR="002E617F">
              <w:rPr>
                <w:sz w:val="24"/>
                <w:szCs w:val="24"/>
                <w:lang w:eastAsia="en-US"/>
              </w:rPr>
              <w:fldChar w:fldCharType="separate"/>
            </w:r>
            <w:r w:rsidR="002514C3">
              <w:rPr>
                <w:noProof/>
                <w:sz w:val="24"/>
                <w:szCs w:val="24"/>
                <w:lang w:eastAsia="en-US"/>
              </w:rPr>
              <w:t>Tilley and St. John</w:t>
            </w:r>
            <w:r w:rsidR="002E617F" w:rsidRPr="002E617F">
              <w:rPr>
                <w:noProof/>
                <w:sz w:val="24"/>
                <w:szCs w:val="24"/>
                <w:lang w:eastAsia="en-US"/>
              </w:rPr>
              <w:t xml:space="preserve"> </w:t>
            </w:r>
            <w:r w:rsidR="002514C3">
              <w:rPr>
                <w:noProof/>
                <w:sz w:val="24"/>
                <w:szCs w:val="24"/>
                <w:lang w:eastAsia="en-US"/>
              </w:rPr>
              <w:t>(</w:t>
            </w:r>
            <w:r w:rsidR="002E617F" w:rsidRPr="002E617F">
              <w:rPr>
                <w:noProof/>
                <w:sz w:val="24"/>
                <w:szCs w:val="24"/>
                <w:lang w:eastAsia="en-US"/>
              </w:rPr>
              <w:t>2014)</w:t>
            </w:r>
            <w:r w:rsidR="002E617F">
              <w:rPr>
                <w:sz w:val="24"/>
                <w:szCs w:val="24"/>
                <w:lang w:eastAsia="en-US"/>
              </w:rPr>
              <w:fldChar w:fldCharType="end"/>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CF050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Polygonum macrophyllum</w:t>
            </w:r>
            <w:r w:rsidR="00CF0506">
              <w:rPr>
                <w:rFonts w:eastAsia="Times New Roman"/>
                <w:i/>
                <w:iCs/>
                <w:color w:val="000000"/>
                <w:sz w:val="24"/>
                <w:szCs w:val="24"/>
                <w:lang w:eastAsia="en-US"/>
              </w:rPr>
              <w:t xml:space="preserve"> </w:t>
            </w:r>
            <w:r w:rsidR="00CF0506">
              <w:rPr>
                <w:rFonts w:eastAsia="Times New Roman"/>
                <w:iCs/>
                <w:color w:val="000000"/>
                <w:sz w:val="24"/>
                <w:szCs w:val="24"/>
                <w:lang w:eastAsia="en-US"/>
              </w:rPr>
              <w:t>D. Don.</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CF0506" w:rsidP="00463320">
            <w:pPr>
              <w:spacing w:line="256" w:lineRule="auto"/>
              <w:jc w:val="center"/>
              <w:rPr>
                <w:sz w:val="24"/>
                <w:szCs w:val="24"/>
                <w:lang w:eastAsia="en-US"/>
              </w:rPr>
            </w:pPr>
            <w:r>
              <w:rPr>
                <w:sz w:val="24"/>
                <w:szCs w:val="24"/>
                <w:lang w:eastAsia="en-US"/>
              </w:rPr>
              <w:t>Flora of China</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Pr="00CF050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Polygonum viviparum</w:t>
            </w:r>
            <w:r w:rsidR="00CF0506">
              <w:rPr>
                <w:rFonts w:eastAsia="Times New Roman"/>
                <w:i/>
                <w:iCs/>
                <w:color w:val="000000"/>
                <w:sz w:val="24"/>
                <w:szCs w:val="24"/>
                <w:lang w:eastAsia="en-US"/>
              </w:rPr>
              <w:t xml:space="preserve"> </w:t>
            </w:r>
            <w:r w:rsidR="00CF0506">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CF0506" w:rsidP="00463320">
            <w:pPr>
              <w:spacing w:line="256" w:lineRule="auto"/>
              <w:jc w:val="center"/>
              <w:rPr>
                <w:sz w:val="24"/>
                <w:szCs w:val="24"/>
                <w:lang w:eastAsia="en-US"/>
              </w:rPr>
            </w:pPr>
            <w:r>
              <w:rPr>
                <w:sz w:val="24"/>
                <w:szCs w:val="24"/>
                <w:lang w:eastAsia="en-US"/>
              </w:rPr>
              <w:t xml:space="preserve">GRIN; </w:t>
            </w:r>
            <w:r>
              <w:rPr>
                <w:sz w:val="24"/>
                <w:szCs w:val="24"/>
                <w:lang w:eastAsia="en-US"/>
              </w:rPr>
              <w:fldChar w:fldCharType="begin" w:fldLock="1"/>
            </w:r>
            <w:r w:rsidR="00804ED3">
              <w:rPr>
                <w:sz w:val="24"/>
                <w:szCs w:val="24"/>
                <w:lang w:eastAsia="en-US"/>
              </w:rPr>
              <w:instrText>ADDIN CSL_CITATION {"citationItems":[{"id":"ITEM-1","itemData":{"author":[{"dropping-particle":"","family":"Penskar","given":"M R","non-dropping-particle":"","parse-names":false,"suffix":""}],"container-title":"Michigan Natural Features Inventory. Lansing, MI","id":"ITEM-1","issued":{"date-parts":[["2008"]]},"page":"1-3","title":"Special Plant Abstract for Polygonum viviparum (alpine bistort)","type":"article-journal"},"uris":["http://www.mendeley.com/documents/?uuid=a97a0173-2ab7-4af5-bba6-631f520271f9"]}],"mendeley":{"formattedCitation":"(Penskar, 2008)","manualFormatting":"Penskar (2008)","plainTextFormattedCitation":"(Penskar, 2008)","previouslyFormattedCitation":"(Penskar, 2008)"},"properties":{"noteIndex":0},"schema":"https://github.com/citation-style-language/schema/raw/master/csl-citation.json"}</w:instrText>
            </w:r>
            <w:r>
              <w:rPr>
                <w:sz w:val="24"/>
                <w:szCs w:val="24"/>
                <w:lang w:eastAsia="en-US"/>
              </w:rPr>
              <w:fldChar w:fldCharType="separate"/>
            </w:r>
            <w:r w:rsidR="002514C3">
              <w:rPr>
                <w:noProof/>
                <w:sz w:val="24"/>
                <w:szCs w:val="24"/>
                <w:lang w:eastAsia="en-US"/>
              </w:rPr>
              <w:t>Penskar</w:t>
            </w:r>
            <w:r w:rsidRPr="00CF0506">
              <w:rPr>
                <w:noProof/>
                <w:sz w:val="24"/>
                <w:szCs w:val="24"/>
                <w:lang w:eastAsia="en-US"/>
              </w:rPr>
              <w:t xml:space="preserve"> </w:t>
            </w:r>
            <w:r w:rsidR="002514C3">
              <w:rPr>
                <w:noProof/>
                <w:sz w:val="24"/>
                <w:szCs w:val="24"/>
                <w:lang w:eastAsia="en-US"/>
              </w:rPr>
              <w:t>(</w:t>
            </w:r>
            <w:r w:rsidRPr="00CF0506">
              <w:rPr>
                <w:noProof/>
                <w:sz w:val="24"/>
                <w:szCs w:val="24"/>
                <w:lang w:eastAsia="en-US"/>
              </w:rPr>
              <w:t>2008)</w:t>
            </w:r>
            <w:r>
              <w:rPr>
                <w:sz w:val="24"/>
                <w:szCs w:val="24"/>
                <w:lang w:eastAsia="en-US"/>
              </w:rPr>
              <w:fldChar w:fldCharType="end"/>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Rosaceae</w:t>
            </w:r>
          </w:p>
        </w:tc>
        <w:tc>
          <w:tcPr>
            <w:tcW w:w="2835" w:type="dxa"/>
            <w:hideMark/>
          </w:tcPr>
          <w:p w:rsidR="002648EB" w:rsidRPr="00CF050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Potentilla discolor</w:t>
            </w:r>
            <w:r w:rsidR="00CF0506">
              <w:rPr>
                <w:rFonts w:eastAsia="Times New Roman"/>
                <w:iCs/>
                <w:color w:val="000000"/>
                <w:sz w:val="24"/>
                <w:szCs w:val="24"/>
                <w:lang w:eastAsia="en-US"/>
              </w:rPr>
              <w:t xml:space="preserve"> Bunge.</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CF0506" w:rsidP="00463320">
            <w:pPr>
              <w:spacing w:line="256" w:lineRule="auto"/>
              <w:jc w:val="center"/>
              <w:rPr>
                <w:sz w:val="24"/>
                <w:szCs w:val="24"/>
                <w:lang w:eastAsia="en-US"/>
              </w:rPr>
            </w:pPr>
            <w:r>
              <w:rPr>
                <w:sz w:val="24"/>
                <w:szCs w:val="24"/>
                <w:lang w:eastAsia="en-US"/>
              </w:rPr>
              <w:t>Flora of China</w:t>
            </w:r>
          </w:p>
        </w:tc>
      </w:tr>
      <w:tr w:rsidR="002648EB" w:rsidTr="00463320">
        <w:trPr>
          <w:trHeight w:val="486"/>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Potentilla bifurca </w:t>
            </w:r>
            <w:r>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BD5B59" w:rsidP="00463320">
            <w:pPr>
              <w:spacing w:line="256" w:lineRule="auto"/>
              <w:jc w:val="center"/>
              <w:rPr>
                <w:sz w:val="24"/>
                <w:szCs w:val="24"/>
                <w:lang w:eastAsia="en-US"/>
              </w:rPr>
            </w:pPr>
            <w:r>
              <w:rPr>
                <w:sz w:val="24"/>
                <w:szCs w:val="24"/>
                <w:lang w:eastAsia="en-US"/>
              </w:rPr>
              <w:fldChar w:fldCharType="begin" w:fldLock="1"/>
            </w:r>
            <w:r w:rsidR="00804ED3">
              <w:rPr>
                <w:sz w:val="24"/>
                <w:szCs w:val="24"/>
                <w:lang w:eastAsia="en-US"/>
              </w:rPr>
              <w:instrText>ADDIN CSL_CITATION {"citationItems":[{"id":"ITEM-1","itemData":{"DOI":"10.1134/s1995425509050117","ISSN":"1995-4255","author":[{"dropping-particle":"","family":"Godin","given":"V N","non-dropping-particle":"","parse-names":false,"suffix":""}],"container-title":"Contemporary Problems of Ecology","id":"ITEM-1","issue":"5","issued":{"date-parts":[["2009"]]},"page":"456-461","title":"Population structure of Potentilla bifurca L. in the Altai-Sayan Mountain Region","type":"article-journal","volume":"2"},"uris":["http://www.mendeley.com/documents/?uuid=54359daa-0aef-46d0-b539-cae6cafd6cee"]},{"id":"ITEM-2","itemData":{"author":[{"dropping-particle":"","family":"Razanajatovo","given":"M H","non-dropping-particle":"","parse-names":false,"suffix":""}],"id":"ITEM-2","issued":{"date-parts":[["2016"]]},"number-of-pages":"162","publisher":"Universitat Konstanz","title":"Reproductive characteristics as drivers of alien plant naturalization and invasion","type":"thesis"},"uris":["http://www.mendeley.com/documents/?uuid=25898ec7-4ef6-42f8-959a-8f00411ea5ad"]}],"mendeley":{"formattedCitation":"(Godin, 2009; Razanajatovo, 2016)","manualFormatting":"Godin (2009); Razanajatovo (2016)","plainTextFormattedCitation":"(Godin, 2009; Razanajatovo, 2016)","previouslyFormattedCitation":"(Godin, 2009; Razanajatovo, 2016)"},"properties":{"noteIndex":0},"schema":"https://github.com/citation-style-language/schema/raw/master/csl-citation.json"}</w:instrText>
            </w:r>
            <w:r>
              <w:rPr>
                <w:sz w:val="24"/>
                <w:szCs w:val="24"/>
                <w:lang w:eastAsia="en-US"/>
              </w:rPr>
              <w:fldChar w:fldCharType="separate"/>
            </w:r>
            <w:r w:rsidR="00804ED3">
              <w:rPr>
                <w:noProof/>
                <w:sz w:val="24"/>
                <w:szCs w:val="24"/>
                <w:lang w:eastAsia="en-US"/>
              </w:rPr>
              <w:t>Godin (2009); Razanajatovo</w:t>
            </w:r>
            <w:r w:rsidRPr="00BD5B59">
              <w:rPr>
                <w:noProof/>
                <w:sz w:val="24"/>
                <w:szCs w:val="24"/>
                <w:lang w:eastAsia="en-US"/>
              </w:rPr>
              <w:t xml:space="preserve"> </w:t>
            </w:r>
            <w:r w:rsidR="00804ED3">
              <w:rPr>
                <w:noProof/>
                <w:sz w:val="24"/>
                <w:szCs w:val="24"/>
                <w:lang w:eastAsia="en-US"/>
              </w:rPr>
              <w:t>(</w:t>
            </w:r>
            <w:r w:rsidRPr="00BD5B59">
              <w:rPr>
                <w:noProof/>
                <w:sz w:val="24"/>
                <w:szCs w:val="24"/>
                <w:lang w:eastAsia="en-US"/>
              </w:rPr>
              <w:t>2016)</w:t>
            </w:r>
            <w:r>
              <w:rPr>
                <w:sz w:val="24"/>
                <w:szCs w:val="24"/>
                <w:lang w:eastAsia="en-US"/>
              </w:rPr>
              <w:fldChar w:fldCharType="end"/>
            </w:r>
          </w:p>
        </w:tc>
      </w:tr>
      <w:tr w:rsidR="002648EB" w:rsidTr="00463320">
        <w:trPr>
          <w:trHeight w:val="478"/>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Sanguisorba </w:t>
            </w:r>
            <w:r w:rsidR="00551C09">
              <w:rPr>
                <w:rFonts w:eastAsia="Times New Roman"/>
                <w:i/>
                <w:iCs/>
                <w:color w:val="000000"/>
                <w:sz w:val="24"/>
                <w:szCs w:val="24"/>
                <w:lang w:eastAsia="en-US"/>
              </w:rPr>
              <w:t xml:space="preserve">tenuifolia var. </w:t>
            </w:r>
            <w:r w:rsidRPr="00FA2A99">
              <w:rPr>
                <w:rFonts w:eastAsia="Times New Roman"/>
                <w:i/>
                <w:iCs/>
                <w:color w:val="000000"/>
                <w:sz w:val="24"/>
                <w:szCs w:val="24"/>
                <w:lang w:eastAsia="en-US"/>
              </w:rPr>
              <w:t>parviflora</w:t>
            </w:r>
            <w:r w:rsidR="00FA2A99">
              <w:rPr>
                <w:rFonts w:eastAsia="Times New Roman"/>
                <w:iCs/>
                <w:color w:val="000000"/>
                <w:sz w:val="24"/>
                <w:szCs w:val="24"/>
                <w:lang w:eastAsia="en-US"/>
              </w:rPr>
              <w:t xml:space="preserve"> </w:t>
            </w:r>
            <w:r w:rsidR="00FA2A99" w:rsidRPr="00FA2A99">
              <w:rPr>
                <w:color w:val="000000"/>
                <w:sz w:val="24"/>
                <w:szCs w:val="24"/>
                <w:shd w:val="clear" w:color="auto" w:fill="FFFFFF"/>
              </w:rPr>
              <w:t>Maximowicz.</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FA2A99" w:rsidP="00463320">
            <w:pPr>
              <w:spacing w:line="256" w:lineRule="auto"/>
              <w:jc w:val="center"/>
              <w:rPr>
                <w:sz w:val="24"/>
                <w:szCs w:val="24"/>
                <w:lang w:eastAsia="en-US"/>
              </w:rPr>
            </w:pPr>
            <w:r>
              <w:rPr>
                <w:sz w:val="24"/>
                <w:szCs w:val="24"/>
                <w:lang w:eastAsia="en-US"/>
              </w:rPr>
              <w:t>Flora of China</w:t>
            </w:r>
          </w:p>
        </w:tc>
      </w:tr>
      <w:tr w:rsidR="002648EB" w:rsidTr="00463320">
        <w:trPr>
          <w:trHeight w:val="50"/>
        </w:trPr>
        <w:tc>
          <w:tcPr>
            <w:tcW w:w="1271" w:type="dxa"/>
          </w:tcPr>
          <w:p w:rsidR="002648EB" w:rsidRDefault="002648EB" w:rsidP="00463320">
            <w:pPr>
              <w:spacing w:line="256" w:lineRule="auto"/>
              <w:jc w:val="center"/>
              <w:rPr>
                <w:sz w:val="24"/>
                <w:szCs w:val="24"/>
                <w:lang w:eastAsia="en-US"/>
              </w:rPr>
            </w:pPr>
          </w:p>
        </w:tc>
        <w:tc>
          <w:tcPr>
            <w:tcW w:w="1701" w:type="dxa"/>
          </w:tcPr>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Potentilla anserina </w:t>
            </w:r>
            <w:r w:rsidRPr="00FA2A99">
              <w:rPr>
                <w:rFonts w:eastAsia="Times New Roman"/>
                <w:iCs/>
                <w:color w:val="000000"/>
                <w:sz w:val="24"/>
                <w:szCs w:val="24"/>
                <w:lang w:eastAsia="en-US"/>
              </w:rPr>
              <w:t>L</w:t>
            </w:r>
            <w:r>
              <w:rPr>
                <w:rFonts w:eastAsia="Times New Roman"/>
                <w:i/>
                <w:iCs/>
                <w:color w:val="000000"/>
                <w:sz w:val="24"/>
                <w:szCs w:val="24"/>
                <w:lang w:eastAsia="en-US"/>
              </w:rPr>
              <w:t>.</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DE1ECD" w:rsidP="00463320">
            <w:pPr>
              <w:spacing w:line="256" w:lineRule="auto"/>
              <w:jc w:val="center"/>
              <w:rPr>
                <w:sz w:val="24"/>
                <w:szCs w:val="24"/>
                <w:lang w:eastAsia="en-US"/>
              </w:rPr>
            </w:pPr>
            <w:r>
              <w:rPr>
                <w:sz w:val="24"/>
                <w:szCs w:val="24"/>
                <w:lang w:eastAsia="en-US"/>
              </w:rPr>
              <w:fldChar w:fldCharType="begin" w:fldLock="1"/>
            </w:r>
            <w:r w:rsidR="00804ED3">
              <w:rPr>
                <w:sz w:val="24"/>
                <w:szCs w:val="24"/>
                <w:lang w:eastAsia="en-US"/>
              </w:rPr>
              <w:instrText>ADDIN CSL_CITATION {"citationItems":[{"id":"ITEM-1","itemData":{"ISBN":"3906549445","author":[{"dropping-particle":"","family":"ISTA","given":"","non-dropping-particle":"","parse-names":false,"suffix":""}],"container-title":"ISTA List of Stabilized Plant Names 6th Edition","edition":"6","editor":[{"dropping-particle":"","family":"Wiersema","given":"J H","non-dropping-particle":"","parse-names":false,"suffix":""}],"id":"ITEM-1","issued":{"date-parts":[["2014"]]},"number-of-pages":"1-80","publisher":"The International Seed Testing Association (ISTA)","publisher-place":"Bassersdorf","title":"ISTA List of stabilized plant names","type":"book"},"uris":["http://www.mendeley.com/documents/?uuid=567afb2e-f8d8-4f4b-acca-4becf8d20b32"]}],"mendeley":{"formattedCitation":"(ISTA, 2014)","manualFormatting":"ISTA (2014)","plainTextFormattedCitation":"(ISTA, 2014)","previouslyFormattedCitation":"(ISTA, 2014)"},"properties":{"noteIndex":0},"schema":"https://github.com/citation-style-language/schema/raw/master/csl-citation.json"}</w:instrText>
            </w:r>
            <w:r>
              <w:rPr>
                <w:sz w:val="24"/>
                <w:szCs w:val="24"/>
                <w:lang w:eastAsia="en-US"/>
              </w:rPr>
              <w:fldChar w:fldCharType="separate"/>
            </w:r>
            <w:r w:rsidR="00804ED3">
              <w:rPr>
                <w:noProof/>
                <w:sz w:val="24"/>
                <w:szCs w:val="24"/>
                <w:lang w:eastAsia="en-US"/>
              </w:rPr>
              <w:t>ISTA</w:t>
            </w:r>
            <w:r w:rsidRPr="00DE1ECD">
              <w:rPr>
                <w:noProof/>
                <w:sz w:val="24"/>
                <w:szCs w:val="24"/>
                <w:lang w:eastAsia="en-US"/>
              </w:rPr>
              <w:t xml:space="preserve"> </w:t>
            </w:r>
            <w:r w:rsidR="00804ED3">
              <w:rPr>
                <w:noProof/>
                <w:sz w:val="24"/>
                <w:szCs w:val="24"/>
                <w:lang w:eastAsia="en-US"/>
              </w:rPr>
              <w:t>(</w:t>
            </w:r>
            <w:r w:rsidRPr="00DE1ECD">
              <w:rPr>
                <w:noProof/>
                <w:sz w:val="24"/>
                <w:szCs w:val="24"/>
                <w:lang w:eastAsia="en-US"/>
              </w:rPr>
              <w:t>2014)</w:t>
            </w:r>
            <w:r>
              <w:rPr>
                <w:sz w:val="24"/>
                <w:szCs w:val="24"/>
                <w:lang w:eastAsia="en-US"/>
              </w:rPr>
              <w:fldChar w:fldCharType="end"/>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Apiaceae</w:t>
            </w: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Carum carvi </w:t>
            </w:r>
            <w:r w:rsidRPr="00FA2A99">
              <w:rPr>
                <w:rFonts w:eastAsia="Times New Roman"/>
                <w:iCs/>
                <w:color w:val="000000"/>
                <w:sz w:val="24"/>
                <w:szCs w:val="24"/>
                <w:lang w:eastAsia="en-US"/>
              </w:rPr>
              <w:t>L</w:t>
            </w:r>
            <w:r>
              <w:rPr>
                <w:rFonts w:eastAsia="Times New Roman"/>
                <w:i/>
                <w:iCs/>
                <w:color w:val="000000"/>
                <w:sz w:val="24"/>
                <w:szCs w:val="24"/>
                <w:lang w:eastAsia="en-US"/>
              </w:rPr>
              <w:t>.</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Biennial</w:t>
            </w:r>
          </w:p>
        </w:tc>
        <w:tc>
          <w:tcPr>
            <w:tcW w:w="2409" w:type="dxa"/>
          </w:tcPr>
          <w:p w:rsidR="002648EB" w:rsidRDefault="00DE1ECD" w:rsidP="00463320">
            <w:pPr>
              <w:spacing w:line="256" w:lineRule="auto"/>
              <w:jc w:val="center"/>
              <w:rPr>
                <w:sz w:val="24"/>
                <w:szCs w:val="24"/>
                <w:lang w:eastAsia="en-US"/>
              </w:rPr>
            </w:pPr>
            <w:r>
              <w:rPr>
                <w:sz w:val="24"/>
                <w:szCs w:val="24"/>
                <w:lang w:eastAsia="en-US"/>
              </w:rPr>
              <w:fldChar w:fldCharType="begin" w:fldLock="1"/>
            </w:r>
            <w:r w:rsidR="00DB43F2">
              <w:rPr>
                <w:sz w:val="24"/>
                <w:szCs w:val="24"/>
                <w:lang w:eastAsia="en-US"/>
              </w:rPr>
              <w:instrText>ADDIN CSL_CITATION {"citationItems":[{"id":"ITEM-1","itemData":{"ISBN":"3906549445","author":[{"dropping-particle":"","family":"ISTA","given":"","non-dropping-particle":"","parse-names":false,"suffix":""}],"container-title":"ISTA List of Stabilized Plant Names 6th Edition","edition":"6","editor":[{"dropping-particle":"","family":"Wiersema","given":"J H","non-dropping-particle":"","parse-names":false,"suffix":""}],"id":"ITEM-1","issued":{"date-parts":[["2014"]]},"number-of-pages":"1-80","publisher":"The International Seed Testing Association (ISTA)","publisher-place":"Bassersdorf","title":"ISTA List of stabilized plant names","type":"book"},"uris":["http://www.mendeley.com/documents/?uuid=567afb2e-f8d8-4f4b-acca-4becf8d20b32"]}],"mendeley":{"formattedCitation":"(ISTA, 2014)","manualFormatting":"ISTA (2014)","plainTextFormattedCitation":"(ISTA, 2014)","previouslyFormattedCitation":"(ISTA, 2014)"},"properties":{"noteIndex":0},"schema":"https://github.com/citation-style-language/schema/raw/master/csl-citation.json"}</w:instrText>
            </w:r>
            <w:r>
              <w:rPr>
                <w:sz w:val="24"/>
                <w:szCs w:val="24"/>
                <w:lang w:eastAsia="en-US"/>
              </w:rPr>
              <w:fldChar w:fldCharType="separate"/>
            </w:r>
            <w:r w:rsidR="00804ED3">
              <w:rPr>
                <w:noProof/>
                <w:sz w:val="24"/>
                <w:szCs w:val="24"/>
                <w:lang w:eastAsia="en-US"/>
              </w:rPr>
              <w:t>ISTA</w:t>
            </w:r>
            <w:r w:rsidRPr="00DE1ECD">
              <w:rPr>
                <w:noProof/>
                <w:sz w:val="24"/>
                <w:szCs w:val="24"/>
                <w:lang w:eastAsia="en-US"/>
              </w:rPr>
              <w:t xml:space="preserve"> </w:t>
            </w:r>
            <w:r w:rsidR="00804ED3">
              <w:rPr>
                <w:noProof/>
                <w:sz w:val="24"/>
                <w:szCs w:val="24"/>
                <w:lang w:eastAsia="en-US"/>
              </w:rPr>
              <w:t>(</w:t>
            </w:r>
            <w:r w:rsidRPr="00DE1ECD">
              <w:rPr>
                <w:noProof/>
                <w:sz w:val="24"/>
                <w:szCs w:val="24"/>
                <w:lang w:eastAsia="en-US"/>
              </w:rPr>
              <w:t>2014)</w:t>
            </w:r>
            <w:r>
              <w:rPr>
                <w:sz w:val="24"/>
                <w:szCs w:val="24"/>
                <w:lang w:eastAsia="en-US"/>
              </w:rPr>
              <w:fldChar w:fldCharType="end"/>
            </w:r>
          </w:p>
        </w:tc>
      </w:tr>
      <w:tr w:rsidR="002648EB" w:rsidTr="00463320">
        <w:trPr>
          <w:trHeight w:val="486"/>
        </w:trPr>
        <w:tc>
          <w:tcPr>
            <w:tcW w:w="1271" w:type="dxa"/>
          </w:tcPr>
          <w:p w:rsidR="002648EB" w:rsidRDefault="002648EB" w:rsidP="00463320">
            <w:pPr>
              <w:spacing w:line="256" w:lineRule="auto"/>
              <w:jc w:val="center"/>
              <w:rPr>
                <w:sz w:val="24"/>
                <w:szCs w:val="24"/>
                <w:lang w:eastAsia="en-US"/>
              </w:rPr>
            </w:pP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Alpiaceae</w:t>
            </w: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Ligusticum </w:t>
            </w:r>
            <w:r>
              <w:rPr>
                <w:rFonts w:eastAsia="Times New Roman"/>
                <w:color w:val="000000"/>
                <w:sz w:val="24"/>
                <w:szCs w:val="24"/>
                <w:lang w:eastAsia="en-US"/>
              </w:rPr>
              <w:t>spp</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222EE9" w:rsidP="00463320">
            <w:pPr>
              <w:spacing w:line="256" w:lineRule="auto"/>
              <w:jc w:val="center"/>
              <w:rPr>
                <w:sz w:val="24"/>
                <w:szCs w:val="24"/>
                <w:lang w:eastAsia="en-US"/>
              </w:rPr>
            </w:pPr>
            <w:r>
              <w:rPr>
                <w:sz w:val="24"/>
                <w:szCs w:val="24"/>
                <w:lang w:eastAsia="en-US"/>
              </w:rPr>
              <w:t>Materia Medica Monthly</w:t>
            </w:r>
            <w:r w:rsidR="00A82D8A">
              <w:rPr>
                <w:sz w:val="24"/>
                <w:szCs w:val="24"/>
                <w:lang w:eastAsia="en-US"/>
              </w:rPr>
              <w:t xml:space="preserve"> (n.d)</w:t>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Plantaginaceae</w:t>
            </w:r>
          </w:p>
        </w:tc>
        <w:tc>
          <w:tcPr>
            <w:tcW w:w="2835" w:type="dxa"/>
            <w:hideMark/>
          </w:tcPr>
          <w:p w:rsidR="002648EB" w:rsidRPr="00551C09" w:rsidRDefault="002648EB" w:rsidP="00463320">
            <w:pPr>
              <w:spacing w:line="256" w:lineRule="auto"/>
              <w:jc w:val="center"/>
              <w:rPr>
                <w:sz w:val="24"/>
                <w:szCs w:val="24"/>
                <w:lang w:eastAsia="en-US"/>
              </w:rPr>
            </w:pPr>
            <w:r>
              <w:rPr>
                <w:rFonts w:eastAsia="Times New Roman"/>
                <w:i/>
                <w:iCs/>
                <w:color w:val="000000"/>
                <w:sz w:val="24"/>
                <w:szCs w:val="24"/>
                <w:lang w:eastAsia="en-US"/>
              </w:rPr>
              <w:t>Plantago asiatica</w:t>
            </w:r>
            <w:r w:rsidR="00551C09">
              <w:rPr>
                <w:rFonts w:eastAsia="Times New Roman"/>
                <w:i/>
                <w:iCs/>
                <w:color w:val="000000"/>
                <w:sz w:val="24"/>
                <w:szCs w:val="24"/>
                <w:lang w:eastAsia="en-US"/>
              </w:rPr>
              <w:t xml:space="preserve"> </w:t>
            </w:r>
            <w:r w:rsidR="00551C09">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551C09" w:rsidP="00463320">
            <w:pPr>
              <w:spacing w:line="256" w:lineRule="auto"/>
              <w:jc w:val="center"/>
              <w:rPr>
                <w:sz w:val="24"/>
                <w:szCs w:val="24"/>
                <w:lang w:eastAsia="en-US"/>
              </w:rPr>
            </w:pPr>
            <w:r>
              <w:rPr>
                <w:sz w:val="24"/>
                <w:szCs w:val="24"/>
                <w:lang w:eastAsia="en-US"/>
              </w:rPr>
              <w:t>GRIN</w:t>
            </w:r>
          </w:p>
        </w:tc>
      </w:tr>
      <w:tr w:rsidR="002648EB" w:rsidTr="00463320">
        <w:trPr>
          <w:trHeight w:val="478"/>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Mazaceae</w:t>
            </w:r>
          </w:p>
        </w:tc>
        <w:tc>
          <w:tcPr>
            <w:tcW w:w="2835" w:type="dxa"/>
            <w:hideMark/>
          </w:tcPr>
          <w:p w:rsidR="002648EB" w:rsidRPr="00B131C2"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Lancea tibetica</w:t>
            </w:r>
            <w:r w:rsidR="00B131C2">
              <w:rPr>
                <w:rFonts w:eastAsia="Times New Roman"/>
                <w:i/>
                <w:iCs/>
                <w:color w:val="000000"/>
                <w:sz w:val="24"/>
                <w:szCs w:val="24"/>
                <w:lang w:eastAsia="en-US"/>
              </w:rPr>
              <w:t xml:space="preserve"> </w:t>
            </w:r>
            <w:r w:rsidR="00B131C2">
              <w:rPr>
                <w:rFonts w:eastAsia="Times New Roman"/>
                <w:iCs/>
                <w:color w:val="000000"/>
                <w:sz w:val="24"/>
                <w:szCs w:val="24"/>
                <w:lang w:eastAsia="en-US"/>
              </w:rPr>
              <w:t>Hook.f. &amp; Thomson</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Annual</w:t>
            </w:r>
          </w:p>
        </w:tc>
        <w:tc>
          <w:tcPr>
            <w:tcW w:w="2409" w:type="dxa"/>
          </w:tcPr>
          <w:p w:rsidR="002648EB" w:rsidRDefault="00B131C2" w:rsidP="00463320">
            <w:pPr>
              <w:spacing w:line="256" w:lineRule="auto"/>
              <w:jc w:val="center"/>
              <w:rPr>
                <w:sz w:val="24"/>
                <w:szCs w:val="24"/>
                <w:lang w:eastAsia="en-US"/>
              </w:rPr>
            </w:pPr>
            <w:r>
              <w:rPr>
                <w:sz w:val="24"/>
                <w:szCs w:val="24"/>
                <w:lang w:eastAsia="en-US"/>
              </w:rPr>
              <w:t>Flora of China</w:t>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tcPr>
          <w:p w:rsidR="002648EB" w:rsidRDefault="002648EB" w:rsidP="00463320">
            <w:pPr>
              <w:spacing w:line="256" w:lineRule="auto"/>
              <w:jc w:val="center"/>
              <w:rPr>
                <w:sz w:val="24"/>
                <w:szCs w:val="24"/>
                <w:lang w:eastAsia="en-US"/>
              </w:rPr>
            </w:pPr>
            <w:r>
              <w:rPr>
                <w:sz w:val="24"/>
                <w:szCs w:val="24"/>
                <w:lang w:eastAsia="en-US"/>
              </w:rPr>
              <w:t>Thymelaeaceae</w:t>
            </w:r>
          </w:p>
          <w:p w:rsidR="002648EB" w:rsidRDefault="002648EB" w:rsidP="00463320">
            <w:pPr>
              <w:spacing w:line="256" w:lineRule="auto"/>
              <w:jc w:val="center"/>
              <w:rPr>
                <w:sz w:val="24"/>
                <w:szCs w:val="24"/>
                <w:lang w:eastAsia="en-US"/>
              </w:rPr>
            </w:pP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Stellerachamae jasme</w:t>
            </w:r>
            <w:r w:rsidR="00A82D8A">
              <w:rPr>
                <w:rFonts w:eastAsia="Times New Roman"/>
                <w:i/>
                <w:iCs/>
                <w:color w:val="000000"/>
                <w:sz w:val="24"/>
                <w:szCs w:val="24"/>
                <w:lang w:eastAsia="en-US"/>
              </w:rPr>
              <w:t xml:space="preserve"> </w:t>
            </w:r>
            <w:r w:rsidR="00A82D8A" w:rsidRPr="00A82D8A">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995543" w:rsidP="00463320">
            <w:pPr>
              <w:spacing w:line="256" w:lineRule="auto"/>
              <w:jc w:val="center"/>
              <w:rPr>
                <w:sz w:val="24"/>
                <w:szCs w:val="24"/>
                <w:lang w:eastAsia="en-US"/>
              </w:rPr>
            </w:pPr>
            <w:r>
              <w:rPr>
                <w:sz w:val="24"/>
                <w:szCs w:val="24"/>
                <w:lang w:eastAsia="en-US"/>
              </w:rPr>
              <w:fldChar w:fldCharType="begin" w:fldLock="1"/>
            </w:r>
            <w:r w:rsidR="004C53D8">
              <w:rPr>
                <w:sz w:val="24"/>
                <w:szCs w:val="24"/>
                <w:lang w:eastAsia="en-US"/>
              </w:rPr>
              <w:instrText>ADDIN CSL_CITATION {"citationItems":[{"id":"ITEM-1","itemData":{"author":[{"dropping-particle":"","family":"Xiao","given":"H","non-dropping-particle":"","parse-names":false,"suffix":""},{"dropping-particle":"","family":"Wang","given":"Z","non-dropping-particle":"","parse-names":false,"suffix":""},{"dropping-particle":"","family":"Hong","given":"Z","non-dropping-particle":"","parse-names":false,"suffix":""}],"id":"ITEM-1","issued":{"date-parts":[["2015"]]},"number":"201510731106.3","page":"1-7","publisher":"Shenyang Keyuan Patent &amp; Trademark Agency Co., Ltd.","publisher-place":"China","title":"Preparation method of total sturgeon of Stellerachamae jasme","type":"patent"},"uris":["http://www.mendeley.com/documents/?uuid=1bebb3d5-bf30-434a-a454-7d9c3ae92ab0"]},{"id":"ITEM-2","itemData":{"author":[{"dropping-particle":"","family":"Sun","given":"Q","non-dropping-particle":"","parse-names":false,"suffix":""}],"id":"ITEM-2","issued":{"date-parts":[["1992"]]},"number-of-pages":"1-29","publisher-place":"Lalitpur","title":"Management of pastoral systems in the mountains","type":"report"},"uris":["http://www.mendeley.com/documents/?uuid=21262e1b-c1ef-4041-9e3a-5a9d051b0b61"]}],"mendeley":{"formattedCitation":"(Sun, 1992; Xiao et al., 2015)","manualFormatting":"Sun (1992); Xiao et al. (2015)","plainTextFormattedCitation":"(Sun, 1992; Xiao et al., 2015)","previouslyFormattedCitation":"(Sun, 1992; Xiao et al., 2015)"},"properties":{"noteIndex":0},"schema":"https://github.com/citation-style-language/schema/raw/master/csl-citation.json"}</w:instrText>
            </w:r>
            <w:r>
              <w:rPr>
                <w:sz w:val="24"/>
                <w:szCs w:val="24"/>
                <w:lang w:eastAsia="en-US"/>
              </w:rPr>
              <w:fldChar w:fldCharType="separate"/>
            </w:r>
            <w:r w:rsidR="00DB43F2">
              <w:rPr>
                <w:noProof/>
                <w:sz w:val="24"/>
                <w:szCs w:val="24"/>
                <w:lang w:eastAsia="en-US"/>
              </w:rPr>
              <w:t>Sun</w:t>
            </w:r>
            <w:r w:rsidRPr="00995543">
              <w:rPr>
                <w:noProof/>
                <w:sz w:val="24"/>
                <w:szCs w:val="24"/>
                <w:lang w:eastAsia="en-US"/>
              </w:rPr>
              <w:t xml:space="preserve"> </w:t>
            </w:r>
            <w:r w:rsidR="00DB43F2">
              <w:rPr>
                <w:noProof/>
                <w:sz w:val="24"/>
                <w:szCs w:val="24"/>
                <w:lang w:eastAsia="en-US"/>
              </w:rPr>
              <w:t>(</w:t>
            </w:r>
            <w:r w:rsidRPr="00995543">
              <w:rPr>
                <w:noProof/>
                <w:sz w:val="24"/>
                <w:szCs w:val="24"/>
                <w:lang w:eastAsia="en-US"/>
              </w:rPr>
              <w:t>1992</w:t>
            </w:r>
            <w:r w:rsidR="00DB43F2">
              <w:rPr>
                <w:noProof/>
                <w:sz w:val="24"/>
                <w:szCs w:val="24"/>
                <w:lang w:eastAsia="en-US"/>
              </w:rPr>
              <w:t>); Xiao et al.</w:t>
            </w:r>
            <w:r w:rsidRPr="00995543">
              <w:rPr>
                <w:noProof/>
                <w:sz w:val="24"/>
                <w:szCs w:val="24"/>
                <w:lang w:eastAsia="en-US"/>
              </w:rPr>
              <w:t xml:space="preserve"> </w:t>
            </w:r>
            <w:r w:rsidR="00DB43F2">
              <w:rPr>
                <w:noProof/>
                <w:sz w:val="24"/>
                <w:szCs w:val="24"/>
                <w:lang w:eastAsia="en-US"/>
              </w:rPr>
              <w:t>(</w:t>
            </w:r>
            <w:r w:rsidRPr="00995543">
              <w:rPr>
                <w:noProof/>
                <w:sz w:val="24"/>
                <w:szCs w:val="24"/>
                <w:lang w:eastAsia="en-US"/>
              </w:rPr>
              <w:t>2015)</w:t>
            </w:r>
            <w:r>
              <w:rPr>
                <w:sz w:val="24"/>
                <w:szCs w:val="24"/>
                <w:lang w:eastAsia="en-US"/>
              </w:rPr>
              <w:fldChar w:fldCharType="end"/>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Compositae</w:t>
            </w:r>
          </w:p>
        </w:tc>
        <w:tc>
          <w:tcPr>
            <w:tcW w:w="2835" w:type="dxa"/>
            <w:hideMark/>
          </w:tcPr>
          <w:p w:rsidR="002648EB" w:rsidRDefault="002648EB" w:rsidP="00463320">
            <w:pPr>
              <w:spacing w:line="256" w:lineRule="auto"/>
              <w:jc w:val="center"/>
              <w:rPr>
                <w:rFonts w:eastAsia="Times New Roman"/>
                <w:i/>
                <w:iCs/>
                <w:color w:val="000000"/>
                <w:sz w:val="24"/>
                <w:szCs w:val="24"/>
                <w:lang w:eastAsia="en-US"/>
              </w:rPr>
            </w:pPr>
            <w:r>
              <w:rPr>
                <w:rFonts w:eastAsia="Times New Roman"/>
                <w:i/>
                <w:iCs/>
                <w:color w:val="000000"/>
                <w:sz w:val="24"/>
                <w:szCs w:val="24"/>
                <w:lang w:eastAsia="en-US"/>
              </w:rPr>
              <w:t xml:space="preserve">Taraxacum lugubre </w:t>
            </w:r>
            <w:r>
              <w:rPr>
                <w:rFonts w:eastAsia="Times New Roman"/>
                <w:iCs/>
                <w:color w:val="000000"/>
                <w:sz w:val="24"/>
                <w:szCs w:val="24"/>
                <w:lang w:eastAsia="en-US"/>
              </w:rPr>
              <w:t>Dahlst</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A82D8A" w:rsidP="00463320">
            <w:pPr>
              <w:spacing w:line="256" w:lineRule="auto"/>
              <w:jc w:val="center"/>
              <w:rPr>
                <w:sz w:val="24"/>
                <w:szCs w:val="24"/>
                <w:lang w:eastAsia="en-US"/>
              </w:rPr>
            </w:pPr>
            <w:r>
              <w:rPr>
                <w:sz w:val="24"/>
                <w:szCs w:val="24"/>
                <w:lang w:eastAsia="en-US"/>
              </w:rPr>
              <w:t>Flora of China</w:t>
            </w:r>
          </w:p>
        </w:tc>
      </w:tr>
      <w:tr w:rsidR="002648EB" w:rsidTr="00463320">
        <w:trPr>
          <w:trHeight w:val="478"/>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Geraniaceae</w:t>
            </w:r>
          </w:p>
        </w:tc>
        <w:tc>
          <w:tcPr>
            <w:tcW w:w="2835" w:type="dxa"/>
            <w:hideMark/>
          </w:tcPr>
          <w:p w:rsidR="002648EB" w:rsidRPr="00212C5B"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Geranium pylzowianum</w:t>
            </w:r>
            <w:r w:rsidR="000C16D5">
              <w:rPr>
                <w:rFonts w:eastAsia="Times New Roman"/>
                <w:i/>
                <w:iCs/>
                <w:color w:val="000000"/>
                <w:sz w:val="24"/>
                <w:szCs w:val="24"/>
                <w:lang w:eastAsia="en-US"/>
              </w:rPr>
              <w:t xml:space="preserve"> </w:t>
            </w:r>
            <w:r w:rsidR="00212C5B" w:rsidRPr="00212C5B">
              <w:rPr>
                <w:color w:val="000000"/>
                <w:sz w:val="24"/>
                <w:szCs w:val="24"/>
                <w:shd w:val="clear" w:color="auto" w:fill="FFFFFF"/>
              </w:rPr>
              <w:t>Maximowicz</w:t>
            </w:r>
            <w:r w:rsidR="00434CC6">
              <w:rPr>
                <w:color w:val="000000"/>
                <w:sz w:val="24"/>
                <w:szCs w:val="24"/>
                <w:shd w:val="clear" w:color="auto" w:fill="FFFFFF"/>
              </w:rPr>
              <w:t>.</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212C5B" w:rsidP="00463320">
            <w:pPr>
              <w:spacing w:line="256" w:lineRule="auto"/>
              <w:jc w:val="center"/>
              <w:rPr>
                <w:sz w:val="24"/>
                <w:szCs w:val="24"/>
                <w:lang w:eastAsia="en-US"/>
              </w:rPr>
            </w:pPr>
            <w:r>
              <w:rPr>
                <w:sz w:val="24"/>
                <w:szCs w:val="24"/>
                <w:lang w:eastAsia="en-US"/>
              </w:rPr>
              <w:t>Flora of China</w:t>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sz w:val="24"/>
                <w:szCs w:val="24"/>
                <w:lang w:eastAsia="en-US"/>
              </w:rPr>
              <w:t>Rubiaceae</w:t>
            </w:r>
          </w:p>
        </w:tc>
        <w:tc>
          <w:tcPr>
            <w:tcW w:w="2835" w:type="dxa"/>
            <w:hideMark/>
          </w:tcPr>
          <w:p w:rsidR="002648EB" w:rsidRPr="00434CC6"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Galium verum</w:t>
            </w:r>
            <w:r w:rsidR="00434CC6">
              <w:rPr>
                <w:rFonts w:eastAsia="Times New Roman"/>
                <w:i/>
                <w:iCs/>
                <w:color w:val="000000"/>
                <w:sz w:val="24"/>
                <w:szCs w:val="24"/>
                <w:lang w:eastAsia="en-US"/>
              </w:rPr>
              <w:t xml:space="preserve"> </w:t>
            </w:r>
            <w:r w:rsidR="00434CC6">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434CC6" w:rsidP="00463320">
            <w:pPr>
              <w:spacing w:line="256" w:lineRule="auto"/>
              <w:jc w:val="center"/>
              <w:rPr>
                <w:sz w:val="24"/>
                <w:szCs w:val="24"/>
                <w:lang w:eastAsia="en-US"/>
              </w:rPr>
            </w:pPr>
            <w:r>
              <w:rPr>
                <w:sz w:val="24"/>
                <w:szCs w:val="24"/>
                <w:lang w:eastAsia="en-US"/>
              </w:rPr>
              <w:t xml:space="preserve">GRIN; </w:t>
            </w:r>
            <w:r w:rsidR="00DE1ECD">
              <w:rPr>
                <w:sz w:val="24"/>
                <w:szCs w:val="24"/>
                <w:lang w:eastAsia="en-US"/>
              </w:rPr>
              <w:fldChar w:fldCharType="begin" w:fldLock="1"/>
            </w:r>
            <w:r w:rsidR="004C53D8">
              <w:rPr>
                <w:sz w:val="24"/>
                <w:szCs w:val="24"/>
                <w:lang w:eastAsia="en-US"/>
              </w:rPr>
              <w:instrText>ADDIN CSL_CITATION {"citationItems":[{"id":"ITEM-1","itemData":{"ISBN":"3906549445","author":[{"dropping-particle":"","family":"ISTA","given":"","non-dropping-particle":"","parse-names":false,"suffix":""}],"container-title":"ISTA List of Stabilized Plant Names 6th Edition","edition":"6","editor":[{"dropping-particle":"","family":"Wiersema","given":"J H","non-dropping-particle":"","parse-names":false,"suffix":""}],"id":"ITEM-1","issued":{"date-parts":[["2014"]]},"number-of-pages":"1-80","publisher":"The International Seed Testing Association (ISTA)","publisher-place":"Bassersdorf","title":"ISTA List of stabilized plant names","type":"book"},"uris":["http://www.mendeley.com/documents/?uuid=567afb2e-f8d8-4f4b-acca-4becf8d20b32"]}],"mendeley":{"formattedCitation":"(ISTA, 2014)","manualFormatting":"ISTA (2014)","plainTextFormattedCitation":"(ISTA, 2014)","previouslyFormattedCitation":"(ISTA, 2014)"},"properties":{"noteIndex":0},"schema":"https://github.com/citation-style-language/schema/raw/master/csl-citation.json"}</w:instrText>
            </w:r>
            <w:r w:rsidR="00DE1ECD">
              <w:rPr>
                <w:sz w:val="24"/>
                <w:szCs w:val="24"/>
                <w:lang w:eastAsia="en-US"/>
              </w:rPr>
              <w:fldChar w:fldCharType="separate"/>
            </w:r>
            <w:r w:rsidR="00DE1ECD" w:rsidRPr="00DE1ECD">
              <w:rPr>
                <w:noProof/>
                <w:sz w:val="24"/>
                <w:szCs w:val="24"/>
                <w:lang w:eastAsia="en-US"/>
              </w:rPr>
              <w:t>I</w:t>
            </w:r>
            <w:r w:rsidR="004C53D8">
              <w:rPr>
                <w:noProof/>
                <w:sz w:val="24"/>
                <w:szCs w:val="24"/>
                <w:lang w:eastAsia="en-US"/>
              </w:rPr>
              <w:t>STA</w:t>
            </w:r>
            <w:r w:rsidR="00DE1ECD" w:rsidRPr="00DE1ECD">
              <w:rPr>
                <w:noProof/>
                <w:sz w:val="24"/>
                <w:szCs w:val="24"/>
                <w:lang w:eastAsia="en-US"/>
              </w:rPr>
              <w:t xml:space="preserve"> </w:t>
            </w:r>
            <w:r w:rsidR="004C53D8">
              <w:rPr>
                <w:noProof/>
                <w:sz w:val="24"/>
                <w:szCs w:val="24"/>
                <w:lang w:eastAsia="en-US"/>
              </w:rPr>
              <w:t>(</w:t>
            </w:r>
            <w:r w:rsidR="00DE1ECD" w:rsidRPr="00DE1ECD">
              <w:rPr>
                <w:noProof/>
                <w:sz w:val="24"/>
                <w:szCs w:val="24"/>
                <w:lang w:eastAsia="en-US"/>
              </w:rPr>
              <w:t>2014)</w:t>
            </w:r>
            <w:r w:rsidR="00DE1ECD">
              <w:rPr>
                <w:sz w:val="24"/>
                <w:szCs w:val="24"/>
                <w:lang w:eastAsia="en-US"/>
              </w:rPr>
              <w:fldChar w:fldCharType="end"/>
            </w:r>
          </w:p>
        </w:tc>
      </w:tr>
      <w:tr w:rsidR="002648EB" w:rsidTr="00463320">
        <w:trPr>
          <w:trHeight w:val="50"/>
        </w:trPr>
        <w:tc>
          <w:tcPr>
            <w:tcW w:w="1271" w:type="dxa"/>
            <w:hideMark/>
          </w:tcPr>
          <w:p w:rsidR="002648EB" w:rsidRDefault="002648EB" w:rsidP="00463320">
            <w:pPr>
              <w:spacing w:line="256" w:lineRule="auto"/>
              <w:jc w:val="center"/>
              <w:rPr>
                <w:sz w:val="24"/>
                <w:szCs w:val="24"/>
                <w:lang w:eastAsia="en-US"/>
              </w:rPr>
            </w:pPr>
            <w:r>
              <w:rPr>
                <w:sz w:val="24"/>
                <w:szCs w:val="24"/>
                <w:lang w:eastAsia="en-US"/>
              </w:rPr>
              <w:t>Herb/Forb</w:t>
            </w:r>
          </w:p>
        </w:tc>
        <w:tc>
          <w:tcPr>
            <w:tcW w:w="1701" w:type="dxa"/>
            <w:hideMark/>
          </w:tcPr>
          <w:p w:rsidR="002648EB" w:rsidRDefault="002648EB" w:rsidP="00463320">
            <w:pPr>
              <w:spacing w:line="256" w:lineRule="auto"/>
              <w:jc w:val="center"/>
              <w:rPr>
                <w:sz w:val="24"/>
                <w:szCs w:val="24"/>
                <w:lang w:eastAsia="en-US"/>
              </w:rPr>
            </w:pPr>
            <w:r>
              <w:rPr>
                <w:rFonts w:eastAsia="Times New Roman"/>
                <w:i/>
                <w:iCs/>
                <w:color w:val="000000"/>
                <w:sz w:val="24"/>
                <w:szCs w:val="24"/>
                <w:lang w:eastAsia="en-US"/>
              </w:rPr>
              <w:t>Euphorbiaceae</w:t>
            </w:r>
          </w:p>
        </w:tc>
        <w:tc>
          <w:tcPr>
            <w:tcW w:w="2835" w:type="dxa"/>
            <w:hideMark/>
          </w:tcPr>
          <w:p w:rsidR="002648EB" w:rsidRPr="00DE1ECD" w:rsidRDefault="002648EB" w:rsidP="00463320">
            <w:pPr>
              <w:spacing w:line="256" w:lineRule="auto"/>
              <w:jc w:val="center"/>
              <w:rPr>
                <w:rFonts w:eastAsia="Times New Roman"/>
                <w:iCs/>
                <w:color w:val="000000"/>
                <w:sz w:val="24"/>
                <w:szCs w:val="24"/>
                <w:lang w:eastAsia="en-US"/>
              </w:rPr>
            </w:pPr>
            <w:r>
              <w:rPr>
                <w:rFonts w:eastAsia="Times New Roman"/>
                <w:i/>
                <w:iCs/>
                <w:color w:val="000000"/>
                <w:sz w:val="24"/>
                <w:szCs w:val="24"/>
                <w:lang w:eastAsia="en-US"/>
              </w:rPr>
              <w:t>Euphorbia esula</w:t>
            </w:r>
            <w:r w:rsidR="00DE1ECD">
              <w:rPr>
                <w:rFonts w:eastAsia="Times New Roman"/>
                <w:i/>
                <w:iCs/>
                <w:color w:val="000000"/>
                <w:sz w:val="24"/>
                <w:szCs w:val="24"/>
                <w:lang w:eastAsia="en-US"/>
              </w:rPr>
              <w:t xml:space="preserve"> </w:t>
            </w:r>
            <w:r w:rsidR="00DE1ECD">
              <w:rPr>
                <w:rFonts w:eastAsia="Times New Roman"/>
                <w:iCs/>
                <w:color w:val="000000"/>
                <w:sz w:val="24"/>
                <w:szCs w:val="24"/>
                <w:lang w:eastAsia="en-US"/>
              </w:rPr>
              <w:t>L.</w:t>
            </w:r>
          </w:p>
        </w:tc>
        <w:tc>
          <w:tcPr>
            <w:tcW w:w="1418" w:type="dxa"/>
            <w:hideMark/>
          </w:tcPr>
          <w:p w:rsidR="002648EB" w:rsidRDefault="002648EB" w:rsidP="00463320">
            <w:pPr>
              <w:spacing w:line="256" w:lineRule="auto"/>
              <w:jc w:val="center"/>
              <w:rPr>
                <w:sz w:val="24"/>
                <w:szCs w:val="24"/>
                <w:lang w:eastAsia="en-US"/>
              </w:rPr>
            </w:pPr>
            <w:r>
              <w:rPr>
                <w:sz w:val="24"/>
                <w:szCs w:val="24"/>
                <w:lang w:eastAsia="en-US"/>
              </w:rPr>
              <w:t>Perennial</w:t>
            </w:r>
          </w:p>
        </w:tc>
        <w:tc>
          <w:tcPr>
            <w:tcW w:w="2409" w:type="dxa"/>
          </w:tcPr>
          <w:p w:rsidR="002648EB" w:rsidRDefault="00434CC6" w:rsidP="00463320">
            <w:pPr>
              <w:spacing w:line="256" w:lineRule="auto"/>
              <w:jc w:val="center"/>
              <w:rPr>
                <w:sz w:val="24"/>
                <w:szCs w:val="24"/>
                <w:lang w:eastAsia="en-US"/>
              </w:rPr>
            </w:pPr>
            <w:r>
              <w:rPr>
                <w:sz w:val="24"/>
                <w:szCs w:val="24"/>
                <w:lang w:eastAsia="en-US"/>
              </w:rPr>
              <w:t xml:space="preserve">GRIN; </w:t>
            </w:r>
            <w:r w:rsidR="00DE1ECD">
              <w:rPr>
                <w:sz w:val="24"/>
                <w:szCs w:val="24"/>
                <w:lang w:eastAsia="en-US"/>
              </w:rPr>
              <w:fldChar w:fldCharType="begin" w:fldLock="1"/>
            </w:r>
            <w:r w:rsidR="004C53D8">
              <w:rPr>
                <w:sz w:val="24"/>
                <w:szCs w:val="24"/>
                <w:lang w:eastAsia="en-US"/>
              </w:rPr>
              <w:instrText>ADDIN CSL_CITATION {"citationItems":[{"id":"ITEM-1","itemData":{"ISBN":"3906549445","author":[{"dropping-particle":"","family":"ISTA","given":"","non-dropping-particle":"","parse-names":false,"suffix":""}],"container-title":"ISTA List of Stabilized Plant Names 6th Edition","edition":"6","editor":[{"dropping-particle":"","family":"Wiersema","given":"J H","non-dropping-particle":"","parse-names":false,"suffix":""}],"id":"ITEM-1","issued":{"date-parts":[["2014"]]},"number-of-pages":"1-80","publisher":"The International Seed Testing Association (ISTA)","publisher-place":"Bassersdorf","title":"ISTA List of stabilized plant names","type":"book"},"uris":["http://www.mendeley.com/documents/?uuid=567afb2e-f8d8-4f4b-acca-4becf8d20b32"]}],"mendeley":{"formattedCitation":"(ISTA, 2014)","manualFormatting":"ISTA (2014)","plainTextFormattedCitation":"(ISTA, 2014)","previouslyFormattedCitation":"(ISTA, 2014)"},"properties":{"noteIndex":0},"schema":"https://github.com/citation-style-language/schema/raw/master/csl-citation.json"}</w:instrText>
            </w:r>
            <w:r w:rsidR="00DE1ECD">
              <w:rPr>
                <w:sz w:val="24"/>
                <w:szCs w:val="24"/>
                <w:lang w:eastAsia="en-US"/>
              </w:rPr>
              <w:fldChar w:fldCharType="separate"/>
            </w:r>
            <w:r w:rsidR="00DE1ECD" w:rsidRPr="00DE1ECD">
              <w:rPr>
                <w:noProof/>
                <w:sz w:val="24"/>
                <w:szCs w:val="24"/>
                <w:lang w:eastAsia="en-US"/>
              </w:rPr>
              <w:t>I</w:t>
            </w:r>
            <w:r w:rsidR="004C53D8">
              <w:rPr>
                <w:noProof/>
                <w:sz w:val="24"/>
                <w:szCs w:val="24"/>
                <w:lang w:eastAsia="en-US"/>
              </w:rPr>
              <w:t>STA</w:t>
            </w:r>
            <w:r w:rsidR="00DE1ECD" w:rsidRPr="00DE1ECD">
              <w:rPr>
                <w:noProof/>
                <w:sz w:val="24"/>
                <w:szCs w:val="24"/>
                <w:lang w:eastAsia="en-US"/>
              </w:rPr>
              <w:t xml:space="preserve"> </w:t>
            </w:r>
            <w:r w:rsidR="004C53D8">
              <w:rPr>
                <w:noProof/>
                <w:sz w:val="24"/>
                <w:szCs w:val="24"/>
                <w:lang w:eastAsia="en-US"/>
              </w:rPr>
              <w:t>(</w:t>
            </w:r>
            <w:r w:rsidR="00DE1ECD" w:rsidRPr="00DE1ECD">
              <w:rPr>
                <w:noProof/>
                <w:sz w:val="24"/>
                <w:szCs w:val="24"/>
                <w:lang w:eastAsia="en-US"/>
              </w:rPr>
              <w:t>2014)</w:t>
            </w:r>
            <w:r w:rsidR="00DE1ECD">
              <w:rPr>
                <w:sz w:val="24"/>
                <w:szCs w:val="24"/>
                <w:lang w:eastAsia="en-US"/>
              </w:rPr>
              <w:fldChar w:fldCharType="end"/>
            </w:r>
          </w:p>
        </w:tc>
      </w:tr>
    </w:tbl>
    <w:p w:rsidR="008762DC" w:rsidRPr="00F72D4E" w:rsidRDefault="00F72D4E">
      <w:pPr>
        <w:rPr>
          <w:rFonts w:eastAsia="Times New Roman"/>
          <w:bCs/>
          <w:sz w:val="24"/>
          <w:szCs w:val="24"/>
        </w:rPr>
      </w:pPr>
      <w:r w:rsidRPr="00F72D4E">
        <w:rPr>
          <w:sz w:val="24"/>
          <w:szCs w:val="24"/>
        </w:rPr>
        <w:t xml:space="preserve">GRIN: </w:t>
      </w:r>
      <w:r w:rsidRPr="00F72D4E">
        <w:rPr>
          <w:rFonts w:eastAsia="Times New Roman"/>
          <w:bCs/>
          <w:sz w:val="24"/>
          <w:szCs w:val="24"/>
        </w:rPr>
        <w:t xml:space="preserve">Germplasm Resources Information Network; NCBI: </w:t>
      </w:r>
      <w:r w:rsidRPr="00F72D4E">
        <w:rPr>
          <w:color w:val="222222"/>
          <w:sz w:val="24"/>
          <w:szCs w:val="24"/>
          <w:shd w:val="clear" w:color="auto" w:fill="FFFFFF"/>
        </w:rPr>
        <w:t>National Center for Biotechnology Information</w:t>
      </w:r>
      <w:r w:rsidR="000F27C3">
        <w:rPr>
          <w:color w:val="222222"/>
          <w:sz w:val="24"/>
          <w:szCs w:val="24"/>
          <w:shd w:val="clear" w:color="auto" w:fill="FFFFFF"/>
        </w:rPr>
        <w:t xml:space="preserve">. </w:t>
      </w:r>
    </w:p>
    <w:p w:rsidR="00F72D4E" w:rsidRDefault="00F72D4E">
      <w:pPr>
        <w:rPr>
          <w:rFonts w:eastAsia="Times New Roman"/>
          <w:bCs/>
          <w:sz w:val="24"/>
          <w:szCs w:val="24"/>
        </w:rPr>
      </w:pPr>
    </w:p>
    <w:p w:rsidR="00F72D4E" w:rsidRDefault="00F72D4E"/>
    <w:p w:rsidR="003D07B5" w:rsidRDefault="003D07B5"/>
    <w:p w:rsidR="00463320" w:rsidRDefault="00463320">
      <w:pPr>
        <w:widowControl/>
        <w:spacing w:after="160" w:line="259" w:lineRule="auto"/>
        <w:jc w:val="left"/>
        <w:rPr>
          <w:b/>
          <w:sz w:val="24"/>
          <w:szCs w:val="24"/>
        </w:rPr>
      </w:pPr>
      <w:r>
        <w:rPr>
          <w:b/>
          <w:sz w:val="24"/>
          <w:szCs w:val="24"/>
        </w:rPr>
        <w:br w:type="page"/>
      </w:r>
    </w:p>
    <w:p w:rsidR="00B131C2" w:rsidRPr="009343F5" w:rsidRDefault="00B131C2" w:rsidP="009343F5">
      <w:pPr>
        <w:spacing w:line="480" w:lineRule="auto"/>
        <w:rPr>
          <w:b/>
          <w:sz w:val="24"/>
          <w:szCs w:val="24"/>
        </w:rPr>
      </w:pPr>
      <w:r w:rsidRPr="009343F5">
        <w:rPr>
          <w:b/>
          <w:sz w:val="24"/>
          <w:szCs w:val="24"/>
        </w:rPr>
        <w:lastRenderedPageBreak/>
        <w:t>References</w:t>
      </w:r>
    </w:p>
    <w:p w:rsidR="002E617F" w:rsidRPr="00463320" w:rsidRDefault="00B131C2" w:rsidP="00463320">
      <w:pPr>
        <w:autoSpaceDE w:val="0"/>
        <w:autoSpaceDN w:val="0"/>
        <w:adjustRightInd w:val="0"/>
        <w:spacing w:line="480" w:lineRule="auto"/>
        <w:ind w:left="480" w:hanging="480"/>
        <w:rPr>
          <w:noProof/>
          <w:sz w:val="24"/>
          <w:szCs w:val="24"/>
        </w:rPr>
      </w:pPr>
      <w:r w:rsidRPr="00463320">
        <w:rPr>
          <w:sz w:val="24"/>
          <w:szCs w:val="24"/>
        </w:rPr>
        <w:fldChar w:fldCharType="begin" w:fldLock="1"/>
      </w:r>
      <w:r w:rsidRPr="00463320">
        <w:rPr>
          <w:sz w:val="24"/>
          <w:szCs w:val="24"/>
        </w:rPr>
        <w:instrText xml:space="preserve">ADDIN Mendeley Bibliography CSL_BIBLIOGRAPHY </w:instrText>
      </w:r>
      <w:r w:rsidRPr="00463320">
        <w:rPr>
          <w:sz w:val="24"/>
          <w:szCs w:val="24"/>
        </w:rPr>
        <w:fldChar w:fldCharType="separate"/>
      </w:r>
      <w:r w:rsidR="009343F5" w:rsidRPr="00463320">
        <w:rPr>
          <w:noProof/>
          <w:sz w:val="24"/>
          <w:szCs w:val="24"/>
        </w:rPr>
        <w:t>Bailey L</w:t>
      </w:r>
      <w:r w:rsidR="002E617F" w:rsidRPr="00463320">
        <w:rPr>
          <w:noProof/>
          <w:sz w:val="24"/>
          <w:szCs w:val="24"/>
        </w:rPr>
        <w:t>H. 1889. Studies of the types various species of the gebus Carex. Notes on</w:t>
      </w:r>
      <w:r w:rsidR="009343F5" w:rsidRPr="00463320">
        <w:rPr>
          <w:noProof/>
          <w:sz w:val="24"/>
          <w:szCs w:val="24"/>
        </w:rPr>
        <w:t xml:space="preserve"> Carex - XI. Torrey Bot. Soc. 1:</w:t>
      </w:r>
      <w:r w:rsidR="002E617F" w:rsidRPr="00463320">
        <w:rPr>
          <w:noProof/>
          <w:sz w:val="24"/>
          <w:szCs w:val="24"/>
        </w:rPr>
        <w:t xml:space="preserve"> 1–85.</w:t>
      </w:r>
    </w:p>
    <w:p w:rsidR="002E617F" w:rsidRPr="00463320" w:rsidRDefault="009343F5" w:rsidP="00463320">
      <w:pPr>
        <w:autoSpaceDE w:val="0"/>
        <w:autoSpaceDN w:val="0"/>
        <w:adjustRightInd w:val="0"/>
        <w:spacing w:line="480" w:lineRule="auto"/>
        <w:ind w:left="480" w:hanging="480"/>
        <w:rPr>
          <w:noProof/>
          <w:sz w:val="24"/>
          <w:szCs w:val="24"/>
        </w:rPr>
      </w:pPr>
      <w:r w:rsidRPr="00463320">
        <w:rPr>
          <w:noProof/>
          <w:sz w:val="24"/>
          <w:szCs w:val="24"/>
        </w:rPr>
        <w:t>Chen LY, Zhao SY, Wang QF, Moody, M</w:t>
      </w:r>
      <w:r w:rsidR="002E617F" w:rsidRPr="00463320">
        <w:rPr>
          <w:noProof/>
          <w:sz w:val="24"/>
          <w:szCs w:val="24"/>
        </w:rPr>
        <w:t>L. 2015. Transcriptome sequencing of three Ranunculus species (Ranunculaceae) reveals candidate genes in adaptation from terrestrial to aquatic habitats. Sci</w:t>
      </w:r>
      <w:r w:rsidRPr="00463320">
        <w:rPr>
          <w:noProof/>
          <w:sz w:val="24"/>
          <w:szCs w:val="24"/>
        </w:rPr>
        <w:t xml:space="preserve"> Rep. 5: </w:t>
      </w:r>
      <w:r w:rsidR="002E617F" w:rsidRPr="00463320">
        <w:rPr>
          <w:noProof/>
          <w:sz w:val="24"/>
          <w:szCs w:val="24"/>
        </w:rPr>
        <w:t>1–11. https://doi.org/10.1038/srep10098</w:t>
      </w:r>
    </w:p>
    <w:p w:rsidR="002E617F" w:rsidRPr="00463320" w:rsidRDefault="002E617F" w:rsidP="00463320">
      <w:pPr>
        <w:autoSpaceDE w:val="0"/>
        <w:autoSpaceDN w:val="0"/>
        <w:adjustRightInd w:val="0"/>
        <w:spacing w:line="480" w:lineRule="auto"/>
        <w:ind w:left="480" w:hanging="480"/>
        <w:rPr>
          <w:noProof/>
          <w:sz w:val="24"/>
          <w:szCs w:val="24"/>
        </w:rPr>
      </w:pPr>
      <w:r w:rsidRPr="00463320">
        <w:rPr>
          <w:noProof/>
          <w:sz w:val="24"/>
          <w:szCs w:val="24"/>
        </w:rPr>
        <w:t>Dou</w:t>
      </w:r>
      <w:r w:rsidR="009343F5" w:rsidRPr="00463320">
        <w:rPr>
          <w:noProof/>
          <w:sz w:val="24"/>
          <w:szCs w:val="24"/>
        </w:rPr>
        <w:t xml:space="preserve"> Q, Yu F, Li Y, Zhao Y, Liu R.</w:t>
      </w:r>
      <w:r w:rsidRPr="00463320">
        <w:rPr>
          <w:noProof/>
          <w:sz w:val="24"/>
          <w:szCs w:val="24"/>
        </w:rPr>
        <w:t xml:space="preserve"> 2017. High molecular karyotype variation revealed in indigenous Elymus nutans in the Qinghai Plateau. Plant Di</w:t>
      </w:r>
      <w:r w:rsidR="009343F5" w:rsidRPr="00463320">
        <w:rPr>
          <w:noProof/>
          <w:sz w:val="24"/>
          <w:szCs w:val="24"/>
        </w:rPr>
        <w:t>vers. 39:</w:t>
      </w:r>
      <w:r w:rsidRPr="00463320">
        <w:rPr>
          <w:noProof/>
          <w:sz w:val="24"/>
          <w:szCs w:val="24"/>
        </w:rPr>
        <w:t xml:space="preserve"> 117–122. https://doi.org/10.1016/j.pld.2017.05.003</w:t>
      </w:r>
    </w:p>
    <w:p w:rsidR="000356A3" w:rsidRPr="00463320" w:rsidRDefault="000356A3" w:rsidP="00463320">
      <w:pPr>
        <w:spacing w:line="480" w:lineRule="auto"/>
        <w:rPr>
          <w:sz w:val="24"/>
          <w:szCs w:val="24"/>
        </w:rPr>
      </w:pPr>
      <w:r w:rsidRPr="00463320">
        <w:rPr>
          <w:sz w:val="24"/>
          <w:szCs w:val="24"/>
        </w:rPr>
        <w:t xml:space="preserve">Flora of </w:t>
      </w:r>
      <w:r w:rsidR="001A68BA" w:rsidRPr="00463320">
        <w:rPr>
          <w:sz w:val="24"/>
          <w:szCs w:val="24"/>
        </w:rPr>
        <w:t>China.</w:t>
      </w:r>
      <w:r w:rsidR="0043687E">
        <w:rPr>
          <w:sz w:val="24"/>
          <w:szCs w:val="24"/>
        </w:rPr>
        <w:t xml:space="preserve"> [accessed 2019 Oct 17].</w:t>
      </w:r>
      <w:r w:rsidR="001A68BA" w:rsidRPr="00463320">
        <w:rPr>
          <w:sz w:val="24"/>
          <w:szCs w:val="24"/>
        </w:rPr>
        <w:t xml:space="preserve"> </w:t>
      </w:r>
      <w:hyperlink r:id="rId7" w:history="1">
        <w:r w:rsidR="001A68BA" w:rsidRPr="00463320">
          <w:rPr>
            <w:rStyle w:val="Hyperlink"/>
            <w:sz w:val="24"/>
            <w:szCs w:val="24"/>
          </w:rPr>
          <w:t>http://www.efloras.org/florataxon.aspx?flora_id=2&amp;taxon_id=242339609</w:t>
        </w:r>
      </w:hyperlink>
      <w:r w:rsidRPr="00463320">
        <w:rPr>
          <w:rStyle w:val="Hyperlink"/>
          <w:sz w:val="24"/>
          <w:szCs w:val="24"/>
        </w:rPr>
        <w:t xml:space="preserve">. </w:t>
      </w:r>
    </w:p>
    <w:p w:rsidR="002E617F" w:rsidRPr="00463320" w:rsidRDefault="009343F5" w:rsidP="00463320">
      <w:pPr>
        <w:autoSpaceDE w:val="0"/>
        <w:autoSpaceDN w:val="0"/>
        <w:adjustRightInd w:val="0"/>
        <w:spacing w:line="480" w:lineRule="auto"/>
        <w:ind w:left="480" w:hanging="480"/>
        <w:rPr>
          <w:noProof/>
          <w:sz w:val="24"/>
          <w:szCs w:val="24"/>
        </w:rPr>
      </w:pPr>
      <w:r w:rsidRPr="00463320">
        <w:rPr>
          <w:noProof/>
          <w:sz w:val="24"/>
          <w:szCs w:val="24"/>
        </w:rPr>
        <w:t>Gao JQ, Mo Y, Xu XL, Zhang XW</w:t>
      </w:r>
      <w:r w:rsidR="002E617F" w:rsidRPr="00463320">
        <w:rPr>
          <w:noProof/>
          <w:sz w:val="24"/>
          <w:szCs w:val="24"/>
        </w:rPr>
        <w:t>,</w:t>
      </w:r>
      <w:r w:rsidRPr="00463320">
        <w:rPr>
          <w:noProof/>
          <w:sz w:val="24"/>
          <w:szCs w:val="24"/>
        </w:rPr>
        <w:t xml:space="preserve"> Yu F</w:t>
      </w:r>
      <w:r w:rsidR="002E617F" w:rsidRPr="00463320">
        <w:rPr>
          <w:noProof/>
          <w:sz w:val="24"/>
          <w:szCs w:val="24"/>
        </w:rPr>
        <w:t>H. 2014. Spatiotemporal variations affect uptake of inorganic and organic nitrogen by dominant plant species in an alpine wetland. Plant Soil 381</w:t>
      </w:r>
      <w:r w:rsidRPr="00463320">
        <w:rPr>
          <w:noProof/>
          <w:sz w:val="24"/>
          <w:szCs w:val="24"/>
        </w:rPr>
        <w:t>:</w:t>
      </w:r>
      <w:r w:rsidR="002E617F" w:rsidRPr="00463320">
        <w:rPr>
          <w:noProof/>
          <w:sz w:val="24"/>
          <w:szCs w:val="24"/>
        </w:rPr>
        <w:t xml:space="preserve"> 271–278. https://doi.org/10.1007/s11104-014-2130-9</w:t>
      </w:r>
    </w:p>
    <w:p w:rsidR="002E617F" w:rsidRPr="00463320" w:rsidRDefault="002E617F" w:rsidP="00463320">
      <w:pPr>
        <w:autoSpaceDE w:val="0"/>
        <w:autoSpaceDN w:val="0"/>
        <w:adjustRightInd w:val="0"/>
        <w:spacing w:line="480" w:lineRule="auto"/>
        <w:ind w:left="480" w:hanging="480"/>
        <w:rPr>
          <w:noProof/>
          <w:sz w:val="24"/>
          <w:szCs w:val="24"/>
        </w:rPr>
      </w:pPr>
      <w:r w:rsidRPr="00463320">
        <w:rPr>
          <w:noProof/>
          <w:sz w:val="24"/>
          <w:szCs w:val="24"/>
        </w:rPr>
        <w:t>Godin</w:t>
      </w:r>
      <w:r w:rsidR="009343F5" w:rsidRPr="00463320">
        <w:rPr>
          <w:noProof/>
          <w:sz w:val="24"/>
          <w:szCs w:val="24"/>
        </w:rPr>
        <w:t xml:space="preserve"> V</w:t>
      </w:r>
      <w:r w:rsidRPr="00463320">
        <w:rPr>
          <w:noProof/>
          <w:sz w:val="24"/>
          <w:szCs w:val="24"/>
        </w:rPr>
        <w:t xml:space="preserve">N. 2009. Population structure of Potentilla bifurca L. in the Altai-Sayan </w:t>
      </w:r>
      <w:r w:rsidR="009343F5" w:rsidRPr="00463320">
        <w:rPr>
          <w:noProof/>
          <w:sz w:val="24"/>
          <w:szCs w:val="24"/>
        </w:rPr>
        <w:t>Mountain Region. Contemp. Probl Ecol. 2:</w:t>
      </w:r>
      <w:r w:rsidRPr="00463320">
        <w:rPr>
          <w:noProof/>
          <w:sz w:val="24"/>
          <w:szCs w:val="24"/>
        </w:rPr>
        <w:t xml:space="preserve"> 456–461. https://doi.org/10.1134/s1995425509050117</w:t>
      </w:r>
    </w:p>
    <w:p w:rsidR="00F70A4E" w:rsidRPr="00463320" w:rsidRDefault="00F70A4E" w:rsidP="00463320">
      <w:pPr>
        <w:spacing w:line="480" w:lineRule="auto"/>
        <w:rPr>
          <w:sz w:val="24"/>
          <w:szCs w:val="24"/>
        </w:rPr>
      </w:pPr>
      <w:r w:rsidRPr="00463320">
        <w:rPr>
          <w:sz w:val="24"/>
          <w:szCs w:val="24"/>
        </w:rPr>
        <w:t xml:space="preserve">GRIN: </w:t>
      </w:r>
      <w:r w:rsidRPr="00463320">
        <w:rPr>
          <w:rFonts w:eastAsia="Times New Roman"/>
          <w:bCs/>
          <w:sz w:val="24"/>
          <w:szCs w:val="24"/>
        </w:rPr>
        <w:t xml:space="preserve">Germplasm Resources Information Network; NCBI: </w:t>
      </w:r>
      <w:r w:rsidRPr="00463320">
        <w:rPr>
          <w:color w:val="222222"/>
          <w:sz w:val="24"/>
          <w:szCs w:val="24"/>
          <w:shd w:val="clear" w:color="auto" w:fill="FFFFFF"/>
        </w:rPr>
        <w:t xml:space="preserve">National Center for Biotechnology Information. </w:t>
      </w:r>
      <w:r w:rsidR="0043687E">
        <w:rPr>
          <w:color w:val="222222"/>
          <w:sz w:val="24"/>
          <w:szCs w:val="24"/>
          <w:shd w:val="clear" w:color="auto" w:fill="FFFFFF"/>
        </w:rPr>
        <w:t xml:space="preserve">[accessed 2019 Oct 17]. </w:t>
      </w:r>
      <w:hyperlink r:id="rId8" w:history="1">
        <w:r w:rsidRPr="00463320">
          <w:rPr>
            <w:rStyle w:val="Hyperlink"/>
            <w:sz w:val="24"/>
            <w:szCs w:val="24"/>
          </w:rPr>
          <w:t>https://npgsweb.ars-grin.gov/gringlobal/search.aspx</w:t>
        </w:r>
      </w:hyperlink>
      <w:r w:rsidR="00B93865" w:rsidRPr="00463320">
        <w:rPr>
          <w:sz w:val="24"/>
          <w:szCs w:val="24"/>
        </w:rPr>
        <w:t xml:space="preserve">. </w:t>
      </w:r>
    </w:p>
    <w:p w:rsidR="002E617F" w:rsidRPr="00463320" w:rsidRDefault="009343F5" w:rsidP="00463320">
      <w:pPr>
        <w:autoSpaceDE w:val="0"/>
        <w:autoSpaceDN w:val="0"/>
        <w:adjustRightInd w:val="0"/>
        <w:spacing w:line="480" w:lineRule="auto"/>
        <w:ind w:left="480" w:hanging="480"/>
        <w:rPr>
          <w:noProof/>
          <w:sz w:val="24"/>
          <w:szCs w:val="24"/>
        </w:rPr>
      </w:pPr>
      <w:r w:rsidRPr="00463320">
        <w:rPr>
          <w:noProof/>
          <w:sz w:val="24"/>
          <w:szCs w:val="24"/>
        </w:rPr>
        <w:t>Grosso C, Vinholes J</w:t>
      </w:r>
      <w:r w:rsidR="002E617F" w:rsidRPr="00463320">
        <w:rPr>
          <w:noProof/>
          <w:sz w:val="24"/>
          <w:szCs w:val="24"/>
        </w:rPr>
        <w:t>, S</w:t>
      </w:r>
      <w:r w:rsidRPr="00463320">
        <w:rPr>
          <w:noProof/>
          <w:sz w:val="24"/>
          <w:szCs w:val="24"/>
        </w:rPr>
        <w:t>ilva LR, de Pinho</w:t>
      </w:r>
      <w:r w:rsidR="002E617F" w:rsidRPr="00463320">
        <w:rPr>
          <w:noProof/>
          <w:sz w:val="24"/>
          <w:szCs w:val="24"/>
        </w:rPr>
        <w:t xml:space="preserve"> P</w:t>
      </w:r>
      <w:r w:rsidRPr="00463320">
        <w:rPr>
          <w:noProof/>
          <w:sz w:val="24"/>
          <w:szCs w:val="24"/>
        </w:rPr>
        <w:t>G, Gonçalves RF, Valentão P, Jäger AK, Andrade PB.</w:t>
      </w:r>
      <w:r w:rsidR="002E617F" w:rsidRPr="00463320">
        <w:rPr>
          <w:noProof/>
          <w:sz w:val="24"/>
          <w:szCs w:val="24"/>
        </w:rPr>
        <w:t xml:space="preserve"> 2011. Chemical composition and biological screening of Capsella bursa-pastoris. Brazilian J</w:t>
      </w:r>
      <w:r w:rsidRPr="00463320">
        <w:rPr>
          <w:noProof/>
          <w:sz w:val="24"/>
          <w:szCs w:val="24"/>
        </w:rPr>
        <w:t xml:space="preserve"> Pharmacogn. 21:</w:t>
      </w:r>
      <w:r w:rsidR="002E617F" w:rsidRPr="00463320">
        <w:rPr>
          <w:noProof/>
          <w:sz w:val="24"/>
          <w:szCs w:val="24"/>
        </w:rPr>
        <w:t xml:space="preserve"> 635–644. https://doi.org/10.1590/S0102-695X2011005000107</w:t>
      </w:r>
    </w:p>
    <w:p w:rsidR="002E617F" w:rsidRPr="00463320" w:rsidRDefault="002E617F" w:rsidP="00463320">
      <w:pPr>
        <w:autoSpaceDE w:val="0"/>
        <w:autoSpaceDN w:val="0"/>
        <w:adjustRightInd w:val="0"/>
        <w:spacing w:line="480" w:lineRule="auto"/>
        <w:ind w:left="480" w:hanging="480"/>
        <w:rPr>
          <w:noProof/>
          <w:sz w:val="24"/>
          <w:szCs w:val="24"/>
        </w:rPr>
      </w:pPr>
      <w:r w:rsidRPr="00463320">
        <w:rPr>
          <w:noProof/>
          <w:sz w:val="24"/>
          <w:szCs w:val="24"/>
        </w:rPr>
        <w:t>ISTA, 2014. ISTA List of stabilized plant names, 6th ed</w:t>
      </w:r>
      <w:r w:rsidR="009343F5" w:rsidRPr="00463320">
        <w:rPr>
          <w:noProof/>
          <w:sz w:val="24"/>
          <w:szCs w:val="24"/>
        </w:rPr>
        <w:t>.</w:t>
      </w:r>
      <w:r w:rsidRPr="00463320">
        <w:rPr>
          <w:noProof/>
          <w:sz w:val="24"/>
          <w:szCs w:val="24"/>
        </w:rPr>
        <w:t xml:space="preserve"> </w:t>
      </w:r>
      <w:r w:rsidR="009343F5" w:rsidRPr="00463320">
        <w:rPr>
          <w:noProof/>
          <w:sz w:val="24"/>
          <w:szCs w:val="24"/>
        </w:rPr>
        <w:t xml:space="preserve">Bassersdorf: </w:t>
      </w:r>
      <w:r w:rsidRPr="00463320">
        <w:rPr>
          <w:noProof/>
          <w:sz w:val="24"/>
          <w:szCs w:val="24"/>
        </w:rPr>
        <w:t>The International S</w:t>
      </w:r>
      <w:r w:rsidR="009343F5" w:rsidRPr="00463320">
        <w:rPr>
          <w:noProof/>
          <w:sz w:val="24"/>
          <w:szCs w:val="24"/>
        </w:rPr>
        <w:t>eed Testing Association (ISTA).</w:t>
      </w:r>
      <w:r w:rsidR="0043687E">
        <w:rPr>
          <w:noProof/>
          <w:sz w:val="24"/>
          <w:szCs w:val="24"/>
        </w:rPr>
        <w:t xml:space="preserve"> </w:t>
      </w:r>
    </w:p>
    <w:p w:rsidR="002E617F" w:rsidRPr="00463320" w:rsidRDefault="009343F5" w:rsidP="00463320">
      <w:pPr>
        <w:autoSpaceDE w:val="0"/>
        <w:autoSpaceDN w:val="0"/>
        <w:adjustRightInd w:val="0"/>
        <w:spacing w:line="480" w:lineRule="auto"/>
        <w:ind w:left="480" w:hanging="480"/>
        <w:rPr>
          <w:noProof/>
          <w:sz w:val="24"/>
          <w:szCs w:val="24"/>
        </w:rPr>
      </w:pPr>
      <w:r w:rsidRPr="00463320">
        <w:rPr>
          <w:noProof/>
          <w:sz w:val="24"/>
          <w:szCs w:val="24"/>
        </w:rPr>
        <w:lastRenderedPageBreak/>
        <w:t>Lu B</w:t>
      </w:r>
      <w:r w:rsidR="002E617F" w:rsidRPr="00463320">
        <w:rPr>
          <w:noProof/>
          <w:sz w:val="24"/>
          <w:szCs w:val="24"/>
        </w:rPr>
        <w:t>R. 1993. Meiotic studies of Elymus nutans and E. jacquemontii (Poaceae, Triticeae) and their hybrids with Pseudoroegneria spicata and seventeen Elymus species. Plant Syst Evol</w:t>
      </w:r>
      <w:r w:rsidRPr="00463320">
        <w:rPr>
          <w:noProof/>
          <w:sz w:val="24"/>
          <w:szCs w:val="24"/>
        </w:rPr>
        <w:t xml:space="preserve"> 186:</w:t>
      </w:r>
      <w:r w:rsidR="002E617F" w:rsidRPr="00463320">
        <w:rPr>
          <w:noProof/>
          <w:sz w:val="24"/>
          <w:szCs w:val="24"/>
        </w:rPr>
        <w:t xml:space="preserve"> 193–212. https://doi.org/10.1007/BF00940798</w:t>
      </w:r>
    </w:p>
    <w:p w:rsidR="000232E7" w:rsidRPr="00463320" w:rsidRDefault="000232E7" w:rsidP="00463320">
      <w:pPr>
        <w:spacing w:line="480" w:lineRule="auto"/>
        <w:rPr>
          <w:sz w:val="24"/>
          <w:szCs w:val="24"/>
        </w:rPr>
      </w:pPr>
      <w:r w:rsidRPr="00463320">
        <w:rPr>
          <w:sz w:val="24"/>
          <w:szCs w:val="24"/>
          <w:lang w:eastAsia="en-US"/>
        </w:rPr>
        <w:t xml:space="preserve">Materia Medica Monthly (n.d). </w:t>
      </w:r>
      <w:r w:rsidR="007B3530">
        <w:rPr>
          <w:sz w:val="24"/>
          <w:szCs w:val="24"/>
          <w:lang w:eastAsia="en-US"/>
        </w:rPr>
        <w:t xml:space="preserve">[accessed 2019 Oct 17]. </w:t>
      </w:r>
      <w:hyperlink r:id="rId9" w:history="1">
        <w:r w:rsidRPr="00463320">
          <w:rPr>
            <w:rStyle w:val="Hyperlink"/>
            <w:sz w:val="24"/>
            <w:szCs w:val="24"/>
          </w:rPr>
          <w:t>http://www.evolutionaryherbalism.com/wp-content/uploads/2017/01/Osha-Ligusticum-spp..pdf</w:t>
        </w:r>
      </w:hyperlink>
      <w:r w:rsidRPr="00463320">
        <w:rPr>
          <w:rStyle w:val="Hyperlink"/>
          <w:sz w:val="24"/>
          <w:szCs w:val="24"/>
        </w:rPr>
        <w:t>.</w:t>
      </w:r>
      <w:r w:rsidRPr="00463320">
        <w:rPr>
          <w:sz w:val="24"/>
          <w:szCs w:val="24"/>
        </w:rPr>
        <w:t xml:space="preserve"> </w:t>
      </w:r>
    </w:p>
    <w:p w:rsidR="001A2B93" w:rsidRPr="00463320" w:rsidRDefault="007B3530" w:rsidP="00463320">
      <w:pPr>
        <w:spacing w:line="480" w:lineRule="auto"/>
        <w:rPr>
          <w:sz w:val="24"/>
          <w:szCs w:val="24"/>
        </w:rPr>
      </w:pPr>
      <w:r>
        <w:rPr>
          <w:sz w:val="24"/>
          <w:szCs w:val="24"/>
        </w:rPr>
        <w:t>NCBI Taxonomy. [accessed 2019 Oct 2017].</w:t>
      </w:r>
      <w:r w:rsidR="001A2B93" w:rsidRPr="00463320">
        <w:rPr>
          <w:sz w:val="24"/>
          <w:szCs w:val="24"/>
        </w:rPr>
        <w:t xml:space="preserve"> </w:t>
      </w:r>
      <w:hyperlink r:id="rId10" w:history="1">
        <w:r w:rsidR="001A2B93" w:rsidRPr="00463320">
          <w:rPr>
            <w:rStyle w:val="Hyperlink"/>
            <w:sz w:val="24"/>
            <w:szCs w:val="24"/>
          </w:rPr>
          <w:t>https://www.ncbi.nlm.nih.gov/Taxonomy/Browser/wwwtax.cgi?id=254911</w:t>
        </w:r>
      </w:hyperlink>
      <w:r w:rsidR="001A2B93" w:rsidRPr="00463320">
        <w:rPr>
          <w:rStyle w:val="Hyperlink"/>
          <w:sz w:val="24"/>
          <w:szCs w:val="24"/>
        </w:rPr>
        <w:t xml:space="preserve">. </w:t>
      </w:r>
      <w:r w:rsidR="001A2B93" w:rsidRPr="00463320">
        <w:rPr>
          <w:sz w:val="24"/>
          <w:szCs w:val="24"/>
        </w:rPr>
        <w:t xml:space="preserve"> </w:t>
      </w:r>
    </w:p>
    <w:p w:rsidR="002E617F" w:rsidRPr="00463320" w:rsidRDefault="009343F5" w:rsidP="00463320">
      <w:pPr>
        <w:autoSpaceDE w:val="0"/>
        <w:autoSpaceDN w:val="0"/>
        <w:adjustRightInd w:val="0"/>
        <w:spacing w:line="480" w:lineRule="auto"/>
        <w:ind w:left="480" w:hanging="480"/>
        <w:rPr>
          <w:noProof/>
          <w:sz w:val="24"/>
          <w:szCs w:val="24"/>
        </w:rPr>
      </w:pPr>
      <w:r w:rsidRPr="00463320">
        <w:rPr>
          <w:noProof/>
          <w:sz w:val="24"/>
          <w:szCs w:val="24"/>
        </w:rPr>
        <w:t>Penskar M</w:t>
      </w:r>
      <w:r w:rsidR="002E617F" w:rsidRPr="00463320">
        <w:rPr>
          <w:noProof/>
          <w:sz w:val="24"/>
          <w:szCs w:val="24"/>
        </w:rPr>
        <w:t>R. 2008. Special Plant Abstract for Polygonum viviparum (alpine bistort). Michigan Nat Featur Inv</w:t>
      </w:r>
      <w:r w:rsidRPr="00463320">
        <w:rPr>
          <w:noProof/>
          <w:sz w:val="24"/>
          <w:szCs w:val="24"/>
        </w:rPr>
        <w:t>ent</w:t>
      </w:r>
      <w:r w:rsidR="002E617F" w:rsidRPr="00463320">
        <w:rPr>
          <w:noProof/>
          <w:sz w:val="24"/>
          <w:szCs w:val="24"/>
        </w:rPr>
        <w:t xml:space="preserve"> Lansing</w:t>
      </w:r>
      <w:r w:rsidRPr="00463320">
        <w:rPr>
          <w:noProof/>
          <w:sz w:val="24"/>
          <w:szCs w:val="24"/>
        </w:rPr>
        <w:t>.</w:t>
      </w:r>
      <w:r w:rsidR="002E617F" w:rsidRPr="00463320">
        <w:rPr>
          <w:noProof/>
          <w:sz w:val="24"/>
          <w:szCs w:val="24"/>
        </w:rPr>
        <w:t xml:space="preserve"> MI 1–3.</w:t>
      </w:r>
    </w:p>
    <w:p w:rsidR="00996FE3" w:rsidRPr="00463320" w:rsidRDefault="00996FE3" w:rsidP="00463320">
      <w:pPr>
        <w:spacing w:line="480" w:lineRule="auto"/>
        <w:rPr>
          <w:sz w:val="24"/>
          <w:szCs w:val="24"/>
        </w:rPr>
      </w:pPr>
      <w:r w:rsidRPr="00463320">
        <w:rPr>
          <w:sz w:val="24"/>
          <w:szCs w:val="24"/>
        </w:rPr>
        <w:t>Plants of the world</w:t>
      </w:r>
      <w:r w:rsidR="00AC23CD">
        <w:rPr>
          <w:sz w:val="24"/>
          <w:szCs w:val="24"/>
        </w:rPr>
        <w:t xml:space="preserve"> [accessed 2019 Oct 17]. </w:t>
      </w:r>
      <w:hyperlink r:id="rId11" w:history="1">
        <w:r w:rsidRPr="00463320">
          <w:rPr>
            <w:rStyle w:val="Hyperlink"/>
            <w:sz w:val="24"/>
            <w:szCs w:val="24"/>
          </w:rPr>
          <w:t>http://www.plantsoftheworldonline.org/taxon/urn:lsid:ipni.org:names:708293-1</w:t>
        </w:r>
      </w:hyperlink>
      <w:r w:rsidRPr="00463320">
        <w:rPr>
          <w:rStyle w:val="Hyperlink"/>
          <w:sz w:val="24"/>
          <w:szCs w:val="24"/>
        </w:rPr>
        <w:t>.</w:t>
      </w:r>
      <w:r w:rsidRPr="00463320">
        <w:rPr>
          <w:sz w:val="24"/>
          <w:szCs w:val="24"/>
        </w:rPr>
        <w:t xml:space="preserve"> </w:t>
      </w:r>
    </w:p>
    <w:p w:rsidR="002E617F" w:rsidRPr="00DA0C94" w:rsidRDefault="002E617F" w:rsidP="00463320">
      <w:pPr>
        <w:autoSpaceDE w:val="0"/>
        <w:autoSpaceDN w:val="0"/>
        <w:adjustRightInd w:val="0"/>
        <w:spacing w:line="480" w:lineRule="auto"/>
        <w:ind w:left="480" w:hanging="480"/>
        <w:rPr>
          <w:noProof/>
          <w:sz w:val="24"/>
          <w:szCs w:val="24"/>
        </w:rPr>
      </w:pPr>
      <w:r w:rsidRPr="00DA0C94">
        <w:rPr>
          <w:noProof/>
          <w:sz w:val="24"/>
          <w:szCs w:val="24"/>
        </w:rPr>
        <w:t>Razanajatovo</w:t>
      </w:r>
      <w:r w:rsidR="009343F5" w:rsidRPr="00DA0C94">
        <w:rPr>
          <w:noProof/>
          <w:sz w:val="24"/>
          <w:szCs w:val="24"/>
        </w:rPr>
        <w:t xml:space="preserve"> M</w:t>
      </w:r>
      <w:r w:rsidRPr="00DA0C94">
        <w:rPr>
          <w:noProof/>
          <w:sz w:val="24"/>
          <w:szCs w:val="24"/>
        </w:rPr>
        <w:t>H. 2016. Reproductive characteristics as drivers of alien pla</w:t>
      </w:r>
      <w:r w:rsidR="009343F5" w:rsidRPr="00DA0C94">
        <w:rPr>
          <w:noProof/>
          <w:sz w:val="24"/>
          <w:szCs w:val="24"/>
        </w:rPr>
        <w:t>nt naturalization and invasion</w:t>
      </w:r>
      <w:r w:rsidR="00BA73E1" w:rsidRPr="00DA0C94">
        <w:rPr>
          <w:noProof/>
          <w:sz w:val="24"/>
          <w:szCs w:val="24"/>
        </w:rPr>
        <w:t xml:space="preserve"> [dissertation]. </w:t>
      </w:r>
      <w:r w:rsidR="00BA73E1" w:rsidRPr="00DA0C94">
        <w:rPr>
          <w:color w:val="222222"/>
          <w:sz w:val="24"/>
          <w:szCs w:val="24"/>
          <w:shd w:val="clear" w:color="auto" w:fill="FFFFFF"/>
        </w:rPr>
        <w:t>Baden-Württemberg:</w:t>
      </w:r>
      <w:r w:rsidR="00BA73E1" w:rsidRPr="00DA0C94">
        <w:rPr>
          <w:noProof/>
          <w:sz w:val="24"/>
          <w:szCs w:val="24"/>
        </w:rPr>
        <w:t xml:space="preserve"> </w:t>
      </w:r>
      <w:r w:rsidRPr="00DA0C94">
        <w:rPr>
          <w:noProof/>
          <w:sz w:val="24"/>
          <w:szCs w:val="24"/>
        </w:rPr>
        <w:t>Universitat Konstanz.</w:t>
      </w:r>
    </w:p>
    <w:p w:rsidR="002E617F" w:rsidRPr="00463320" w:rsidRDefault="009343F5" w:rsidP="00463320">
      <w:pPr>
        <w:autoSpaceDE w:val="0"/>
        <w:autoSpaceDN w:val="0"/>
        <w:adjustRightInd w:val="0"/>
        <w:spacing w:line="480" w:lineRule="auto"/>
        <w:ind w:left="480" w:hanging="480"/>
        <w:rPr>
          <w:noProof/>
          <w:sz w:val="24"/>
          <w:szCs w:val="24"/>
        </w:rPr>
      </w:pPr>
      <w:r w:rsidRPr="00463320">
        <w:rPr>
          <w:noProof/>
          <w:sz w:val="24"/>
          <w:szCs w:val="24"/>
        </w:rPr>
        <w:t>Ren ZY, Qi HY, Shi YP.</w:t>
      </w:r>
      <w:r w:rsidR="002E617F" w:rsidRPr="00463320">
        <w:rPr>
          <w:noProof/>
          <w:sz w:val="24"/>
          <w:szCs w:val="24"/>
        </w:rPr>
        <w:t xml:space="preserve"> 2008. Phytochemical investigation of A</w:t>
      </w:r>
      <w:r w:rsidR="00532B76" w:rsidRPr="00463320">
        <w:rPr>
          <w:noProof/>
          <w:sz w:val="24"/>
          <w:szCs w:val="24"/>
        </w:rPr>
        <w:t>naphalis lactea. Planta Med. 74:</w:t>
      </w:r>
      <w:r w:rsidR="002E617F" w:rsidRPr="00463320">
        <w:rPr>
          <w:noProof/>
          <w:sz w:val="24"/>
          <w:szCs w:val="24"/>
        </w:rPr>
        <w:t xml:space="preserve"> 859–863. https://doi.org/10.1055/s-2008-1074547</w:t>
      </w:r>
    </w:p>
    <w:p w:rsidR="002E617F" w:rsidRPr="00463320" w:rsidRDefault="00532B76" w:rsidP="00463320">
      <w:pPr>
        <w:spacing w:line="480" w:lineRule="auto"/>
        <w:rPr>
          <w:sz w:val="24"/>
          <w:szCs w:val="24"/>
        </w:rPr>
      </w:pPr>
      <w:r w:rsidRPr="00463320">
        <w:rPr>
          <w:noProof/>
          <w:sz w:val="24"/>
          <w:szCs w:val="24"/>
        </w:rPr>
        <w:t>Stroh PA, Walker K</w:t>
      </w:r>
      <w:r w:rsidR="002E617F" w:rsidRPr="00463320">
        <w:rPr>
          <w:noProof/>
          <w:sz w:val="24"/>
          <w:szCs w:val="24"/>
        </w:rPr>
        <w:t>J. 2015. Blysmus compressus (L.) Panz. Ex Link. Flat-sedge. Species Account. Bot. Soc. Britain Irel.</w:t>
      </w:r>
      <w:r w:rsidR="007A7C51" w:rsidRPr="00463320">
        <w:rPr>
          <w:noProof/>
          <w:sz w:val="24"/>
          <w:szCs w:val="24"/>
        </w:rPr>
        <w:t xml:space="preserve"> </w:t>
      </w:r>
    </w:p>
    <w:p w:rsidR="002E617F" w:rsidRPr="00463320" w:rsidRDefault="00532B76" w:rsidP="00463320">
      <w:pPr>
        <w:autoSpaceDE w:val="0"/>
        <w:autoSpaceDN w:val="0"/>
        <w:adjustRightInd w:val="0"/>
        <w:spacing w:line="480" w:lineRule="auto"/>
        <w:ind w:left="480" w:hanging="480"/>
        <w:rPr>
          <w:noProof/>
          <w:sz w:val="24"/>
          <w:szCs w:val="24"/>
        </w:rPr>
      </w:pPr>
      <w:r w:rsidRPr="00463320">
        <w:rPr>
          <w:noProof/>
          <w:sz w:val="24"/>
          <w:szCs w:val="24"/>
        </w:rPr>
        <w:t>Sun Q.</w:t>
      </w:r>
      <w:r w:rsidR="002E617F" w:rsidRPr="00463320">
        <w:rPr>
          <w:noProof/>
          <w:sz w:val="24"/>
          <w:szCs w:val="24"/>
        </w:rPr>
        <w:t xml:space="preserve"> 1992. Management of pastoral sys</w:t>
      </w:r>
      <w:r w:rsidRPr="00463320">
        <w:rPr>
          <w:noProof/>
          <w:sz w:val="24"/>
          <w:szCs w:val="24"/>
        </w:rPr>
        <w:t xml:space="preserve">tems in the mountains. Lalitpur: International Cnetre for Integerated Mountain Develoment. "p. 1–29'. </w:t>
      </w:r>
    </w:p>
    <w:p w:rsidR="005A60A7" w:rsidRPr="00463320" w:rsidRDefault="005A60A7" w:rsidP="00463320">
      <w:pPr>
        <w:spacing w:line="480" w:lineRule="auto"/>
        <w:rPr>
          <w:sz w:val="24"/>
          <w:szCs w:val="24"/>
        </w:rPr>
      </w:pPr>
      <w:r w:rsidRPr="00463320">
        <w:rPr>
          <w:noProof/>
          <w:sz w:val="24"/>
          <w:szCs w:val="24"/>
        </w:rPr>
        <w:t>Tilley</w:t>
      </w:r>
      <w:r w:rsidR="002E617F" w:rsidRPr="00463320">
        <w:rPr>
          <w:noProof/>
          <w:sz w:val="24"/>
          <w:szCs w:val="24"/>
        </w:rPr>
        <w:t xml:space="preserve"> </w:t>
      </w:r>
      <w:r w:rsidRPr="00463320">
        <w:rPr>
          <w:noProof/>
          <w:sz w:val="24"/>
          <w:szCs w:val="24"/>
        </w:rPr>
        <w:t>D, St. John</w:t>
      </w:r>
      <w:r w:rsidR="002E617F" w:rsidRPr="00463320">
        <w:rPr>
          <w:noProof/>
          <w:sz w:val="24"/>
          <w:szCs w:val="24"/>
        </w:rPr>
        <w:t xml:space="preserve"> L. 2014. Plant Guide for Dahurian wildrye (Elymus dahuricus). USDA-Natural Resour. 1–3.</w:t>
      </w:r>
      <w:r w:rsidRPr="00463320">
        <w:rPr>
          <w:noProof/>
          <w:sz w:val="24"/>
          <w:szCs w:val="24"/>
        </w:rPr>
        <w:t xml:space="preserve"> </w:t>
      </w:r>
      <w:hyperlink r:id="rId12" w:history="1">
        <w:r w:rsidRPr="00463320">
          <w:rPr>
            <w:rStyle w:val="Hyperlink"/>
            <w:sz w:val="24"/>
            <w:szCs w:val="24"/>
          </w:rPr>
          <w:t>https://plants.usda.gov/core/profile?symbol=POAV</w:t>
        </w:r>
      </w:hyperlink>
    </w:p>
    <w:p w:rsidR="002E617F" w:rsidRPr="00463320" w:rsidRDefault="002E617F" w:rsidP="00463320">
      <w:pPr>
        <w:autoSpaceDE w:val="0"/>
        <w:autoSpaceDN w:val="0"/>
        <w:adjustRightInd w:val="0"/>
        <w:spacing w:line="480" w:lineRule="auto"/>
        <w:ind w:left="480" w:hanging="480"/>
        <w:rPr>
          <w:noProof/>
          <w:sz w:val="24"/>
          <w:szCs w:val="24"/>
        </w:rPr>
      </w:pPr>
      <w:r w:rsidRPr="00463320">
        <w:rPr>
          <w:noProof/>
          <w:sz w:val="24"/>
          <w:szCs w:val="24"/>
        </w:rPr>
        <w:t>Xiao</w:t>
      </w:r>
      <w:r w:rsidR="005A60A7" w:rsidRPr="00463320">
        <w:rPr>
          <w:noProof/>
          <w:sz w:val="24"/>
          <w:szCs w:val="24"/>
        </w:rPr>
        <w:t xml:space="preserve"> H, Wang Z, Hong Z.</w:t>
      </w:r>
      <w:r w:rsidRPr="00463320">
        <w:rPr>
          <w:noProof/>
          <w:sz w:val="24"/>
          <w:szCs w:val="24"/>
        </w:rPr>
        <w:t xml:space="preserve"> 2015. Preparation method of total sturgeon of Stellerachamae jasme.</w:t>
      </w:r>
      <w:r w:rsidR="005A60A7" w:rsidRPr="00463320">
        <w:rPr>
          <w:noProof/>
          <w:sz w:val="24"/>
          <w:szCs w:val="24"/>
        </w:rPr>
        <w:t xml:space="preserve"> Patent issued by Shenyang Keyuan Patent &amp; Trademark Agency Co., Ltd., China. Patent </w:t>
      </w:r>
      <w:r w:rsidR="005A60A7" w:rsidRPr="00463320">
        <w:rPr>
          <w:noProof/>
          <w:sz w:val="24"/>
          <w:szCs w:val="24"/>
        </w:rPr>
        <w:lastRenderedPageBreak/>
        <w:t>number:</w:t>
      </w:r>
      <w:r w:rsidRPr="00463320">
        <w:rPr>
          <w:noProof/>
          <w:sz w:val="24"/>
          <w:szCs w:val="24"/>
        </w:rPr>
        <w:t xml:space="preserve"> 201510731106.3.</w:t>
      </w:r>
    </w:p>
    <w:p w:rsidR="002E617F" w:rsidRPr="00463320" w:rsidRDefault="002E617F" w:rsidP="00463320">
      <w:pPr>
        <w:autoSpaceDE w:val="0"/>
        <w:autoSpaceDN w:val="0"/>
        <w:adjustRightInd w:val="0"/>
        <w:spacing w:line="480" w:lineRule="auto"/>
        <w:ind w:left="480" w:hanging="480"/>
        <w:rPr>
          <w:noProof/>
          <w:sz w:val="24"/>
          <w:szCs w:val="24"/>
        </w:rPr>
      </w:pPr>
      <w:r w:rsidRPr="00463320">
        <w:rPr>
          <w:noProof/>
          <w:sz w:val="24"/>
          <w:szCs w:val="24"/>
        </w:rPr>
        <w:t>Zheng</w:t>
      </w:r>
      <w:r w:rsidR="001A68BA" w:rsidRPr="00463320">
        <w:rPr>
          <w:noProof/>
          <w:sz w:val="24"/>
          <w:szCs w:val="24"/>
        </w:rPr>
        <w:t xml:space="preserve"> H, Wu Y, Ding J, Binion D, Fu W, Reardon</w:t>
      </w:r>
      <w:r w:rsidRPr="00463320">
        <w:rPr>
          <w:noProof/>
          <w:sz w:val="24"/>
          <w:szCs w:val="24"/>
        </w:rPr>
        <w:t xml:space="preserve"> R. 2005. Invasive Plants Established in the United States that are Found in Asia and Their Associated Natural Enemies. For</w:t>
      </w:r>
      <w:r w:rsidR="001A68BA" w:rsidRPr="00463320">
        <w:rPr>
          <w:noProof/>
          <w:sz w:val="24"/>
          <w:szCs w:val="24"/>
        </w:rPr>
        <w:t xml:space="preserve"> Heal. Technol</w:t>
      </w:r>
      <w:r w:rsidRPr="00463320">
        <w:rPr>
          <w:noProof/>
          <w:sz w:val="24"/>
          <w:szCs w:val="24"/>
        </w:rPr>
        <w:t xml:space="preserve"> </w:t>
      </w:r>
      <w:r w:rsidR="001A68BA" w:rsidRPr="00463320">
        <w:rPr>
          <w:noProof/>
          <w:sz w:val="24"/>
          <w:szCs w:val="24"/>
        </w:rPr>
        <w:t>Enterp</w:t>
      </w:r>
      <w:r w:rsidRPr="00463320">
        <w:rPr>
          <w:noProof/>
          <w:sz w:val="24"/>
          <w:szCs w:val="24"/>
        </w:rPr>
        <w:t xml:space="preserve"> Team</w:t>
      </w:r>
      <w:r w:rsidR="001A68BA" w:rsidRPr="00463320">
        <w:rPr>
          <w:noProof/>
          <w:sz w:val="24"/>
          <w:szCs w:val="24"/>
        </w:rPr>
        <w:t>. 2:</w:t>
      </w:r>
      <w:r w:rsidRPr="00463320">
        <w:rPr>
          <w:noProof/>
          <w:sz w:val="24"/>
          <w:szCs w:val="24"/>
        </w:rPr>
        <w:t xml:space="preserve"> 1–175.</w:t>
      </w:r>
    </w:p>
    <w:p w:rsidR="002E617F" w:rsidRPr="00463320" w:rsidRDefault="001A68BA" w:rsidP="00463320">
      <w:pPr>
        <w:autoSpaceDE w:val="0"/>
        <w:autoSpaceDN w:val="0"/>
        <w:adjustRightInd w:val="0"/>
        <w:spacing w:line="480" w:lineRule="auto"/>
        <w:ind w:left="480" w:hanging="480"/>
        <w:rPr>
          <w:noProof/>
          <w:sz w:val="24"/>
          <w:szCs w:val="24"/>
        </w:rPr>
      </w:pPr>
      <w:r w:rsidRPr="00463320">
        <w:rPr>
          <w:noProof/>
          <w:sz w:val="24"/>
          <w:szCs w:val="24"/>
        </w:rPr>
        <w:t>Zhou H, Tang Y, Zhao X, Zhou L.</w:t>
      </w:r>
      <w:r w:rsidR="002E617F" w:rsidRPr="00463320">
        <w:rPr>
          <w:noProof/>
          <w:sz w:val="24"/>
          <w:szCs w:val="24"/>
        </w:rPr>
        <w:t xml:space="preserve"> 2006. Long-term grazing alters species composition and biomass of a shrub meadow on the Q</w:t>
      </w:r>
      <w:r w:rsidRPr="00463320">
        <w:rPr>
          <w:noProof/>
          <w:sz w:val="24"/>
          <w:szCs w:val="24"/>
        </w:rPr>
        <w:t>inghai - Tibet plateau. Pak J Bot. 38:</w:t>
      </w:r>
      <w:r w:rsidR="002E617F" w:rsidRPr="00463320">
        <w:rPr>
          <w:noProof/>
          <w:sz w:val="24"/>
          <w:szCs w:val="24"/>
        </w:rPr>
        <w:t xml:space="preserve"> 1055–1069.</w:t>
      </w:r>
    </w:p>
    <w:p w:rsidR="002E617F" w:rsidRPr="00463320" w:rsidRDefault="002E617F" w:rsidP="00463320">
      <w:pPr>
        <w:autoSpaceDE w:val="0"/>
        <w:autoSpaceDN w:val="0"/>
        <w:adjustRightInd w:val="0"/>
        <w:spacing w:line="480" w:lineRule="auto"/>
        <w:ind w:left="480" w:hanging="480"/>
        <w:rPr>
          <w:noProof/>
          <w:sz w:val="24"/>
          <w:szCs w:val="24"/>
        </w:rPr>
      </w:pPr>
      <w:r w:rsidRPr="00463320">
        <w:rPr>
          <w:noProof/>
          <w:sz w:val="24"/>
          <w:szCs w:val="24"/>
        </w:rPr>
        <w:t>Zhu</w:t>
      </w:r>
      <w:r w:rsidR="001A68BA" w:rsidRPr="00463320">
        <w:rPr>
          <w:noProof/>
          <w:sz w:val="24"/>
          <w:szCs w:val="24"/>
        </w:rPr>
        <w:t xml:space="preserve"> XY.</w:t>
      </w:r>
      <w:r w:rsidRPr="00463320">
        <w:rPr>
          <w:noProof/>
          <w:sz w:val="24"/>
          <w:szCs w:val="24"/>
        </w:rPr>
        <w:t xml:space="preserve"> 2003. Pollen and seed morphology of Gueldenstaedtia and Tibetia (Leguminosae) - with a special reference to the taxonomic significance. Nord</w:t>
      </w:r>
      <w:r w:rsidR="001A68BA" w:rsidRPr="00463320">
        <w:rPr>
          <w:noProof/>
          <w:sz w:val="24"/>
          <w:szCs w:val="24"/>
        </w:rPr>
        <w:t xml:space="preserve"> J</w:t>
      </w:r>
      <w:r w:rsidRPr="00463320">
        <w:rPr>
          <w:noProof/>
          <w:sz w:val="24"/>
          <w:szCs w:val="24"/>
        </w:rPr>
        <w:t xml:space="preserve"> Bot</w:t>
      </w:r>
      <w:r w:rsidR="001A68BA" w:rsidRPr="00463320">
        <w:rPr>
          <w:noProof/>
          <w:sz w:val="24"/>
          <w:szCs w:val="24"/>
        </w:rPr>
        <w:t xml:space="preserve"> 23:</w:t>
      </w:r>
      <w:r w:rsidRPr="00463320">
        <w:rPr>
          <w:noProof/>
          <w:sz w:val="24"/>
          <w:szCs w:val="24"/>
        </w:rPr>
        <w:t xml:space="preserve"> 373–384. https://doi.org/10.1111/j.1756-1051.2003.tb00408.x</w:t>
      </w:r>
    </w:p>
    <w:p w:rsidR="002E617F" w:rsidRPr="00463320" w:rsidRDefault="001A68BA" w:rsidP="00463320">
      <w:pPr>
        <w:autoSpaceDE w:val="0"/>
        <w:autoSpaceDN w:val="0"/>
        <w:adjustRightInd w:val="0"/>
        <w:spacing w:line="480" w:lineRule="auto"/>
        <w:ind w:left="480" w:hanging="480"/>
        <w:rPr>
          <w:noProof/>
          <w:sz w:val="24"/>
          <w:szCs w:val="24"/>
        </w:rPr>
      </w:pPr>
      <w:r w:rsidRPr="00463320">
        <w:rPr>
          <w:noProof/>
          <w:sz w:val="24"/>
          <w:szCs w:val="24"/>
        </w:rPr>
        <w:t>Ziman SN, Ehrendorfer F, Keener CS, Wang WT, Mosyakin SL, Bulakh EV, Tsarenko ON, Dutton BE, Chaudhary RP, Kadota</w:t>
      </w:r>
      <w:r w:rsidR="002E617F" w:rsidRPr="00463320">
        <w:rPr>
          <w:noProof/>
          <w:sz w:val="24"/>
          <w:szCs w:val="24"/>
        </w:rPr>
        <w:t xml:space="preserve"> Y. 2007. Revision of Anemone sect. Himalayicae (Ranunculaceae) with thr</w:t>
      </w:r>
      <w:r w:rsidRPr="00463320">
        <w:rPr>
          <w:noProof/>
          <w:sz w:val="24"/>
          <w:szCs w:val="24"/>
        </w:rPr>
        <w:t>ee new series, Edinburgh J</w:t>
      </w:r>
      <w:r w:rsidR="002E617F" w:rsidRPr="00463320">
        <w:rPr>
          <w:noProof/>
          <w:sz w:val="24"/>
          <w:szCs w:val="24"/>
        </w:rPr>
        <w:t xml:space="preserve"> Bot</w:t>
      </w:r>
      <w:r w:rsidRPr="00463320">
        <w:rPr>
          <w:noProof/>
          <w:sz w:val="24"/>
          <w:szCs w:val="24"/>
        </w:rPr>
        <w:t>.</w:t>
      </w:r>
      <w:r w:rsidR="002E617F" w:rsidRPr="00463320">
        <w:rPr>
          <w:noProof/>
          <w:sz w:val="24"/>
          <w:szCs w:val="24"/>
        </w:rPr>
        <w:t xml:space="preserve"> https://doi.org/10.1017/S0960428607000765</w:t>
      </w:r>
    </w:p>
    <w:p w:rsidR="00B131C2" w:rsidRPr="00463320" w:rsidRDefault="00B131C2" w:rsidP="00463320">
      <w:pPr>
        <w:spacing w:line="480" w:lineRule="auto"/>
        <w:rPr>
          <w:sz w:val="24"/>
          <w:szCs w:val="24"/>
        </w:rPr>
      </w:pPr>
      <w:r w:rsidRPr="00463320">
        <w:rPr>
          <w:sz w:val="24"/>
          <w:szCs w:val="24"/>
        </w:rPr>
        <w:fldChar w:fldCharType="end"/>
      </w:r>
    </w:p>
    <w:sectPr w:rsidR="00B131C2" w:rsidRPr="00463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A4" w:rsidRDefault="00E97AA4" w:rsidP="005925FA">
      <w:r>
        <w:separator/>
      </w:r>
    </w:p>
  </w:endnote>
  <w:endnote w:type="continuationSeparator" w:id="0">
    <w:p w:rsidR="00E97AA4" w:rsidRDefault="00E97AA4" w:rsidP="0059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A4" w:rsidRDefault="00E97AA4" w:rsidP="005925FA">
      <w:r>
        <w:separator/>
      </w:r>
    </w:p>
  </w:footnote>
  <w:footnote w:type="continuationSeparator" w:id="0">
    <w:p w:rsidR="00E97AA4" w:rsidRDefault="00E97AA4" w:rsidP="00592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75"/>
    <w:rsid w:val="000232E7"/>
    <w:rsid w:val="00034320"/>
    <w:rsid w:val="000356A3"/>
    <w:rsid w:val="00037A52"/>
    <w:rsid w:val="000A1F91"/>
    <w:rsid w:val="000C16D5"/>
    <w:rsid w:val="000F27C3"/>
    <w:rsid w:val="00105CCF"/>
    <w:rsid w:val="001A2B93"/>
    <w:rsid w:val="001A68BA"/>
    <w:rsid w:val="001D4819"/>
    <w:rsid w:val="00212C5B"/>
    <w:rsid w:val="00222EE9"/>
    <w:rsid w:val="002514C3"/>
    <w:rsid w:val="002648EB"/>
    <w:rsid w:val="00271985"/>
    <w:rsid w:val="002C7545"/>
    <w:rsid w:val="002E617F"/>
    <w:rsid w:val="00317C75"/>
    <w:rsid w:val="00344196"/>
    <w:rsid w:val="003D07B5"/>
    <w:rsid w:val="003D1D1E"/>
    <w:rsid w:val="003F1CA2"/>
    <w:rsid w:val="004025F7"/>
    <w:rsid w:val="004312B5"/>
    <w:rsid w:val="00434CC6"/>
    <w:rsid w:val="0043687E"/>
    <w:rsid w:val="00436A54"/>
    <w:rsid w:val="004607C5"/>
    <w:rsid w:val="00463320"/>
    <w:rsid w:val="004C4B50"/>
    <w:rsid w:val="004C53D8"/>
    <w:rsid w:val="00532B76"/>
    <w:rsid w:val="00542270"/>
    <w:rsid w:val="00551C09"/>
    <w:rsid w:val="005925FA"/>
    <w:rsid w:val="005A2B4B"/>
    <w:rsid w:val="005A60A7"/>
    <w:rsid w:val="00666EB9"/>
    <w:rsid w:val="00666F00"/>
    <w:rsid w:val="007029A6"/>
    <w:rsid w:val="0077424C"/>
    <w:rsid w:val="007A7C51"/>
    <w:rsid w:val="007B3530"/>
    <w:rsid w:val="00804ED3"/>
    <w:rsid w:val="008228FB"/>
    <w:rsid w:val="00824073"/>
    <w:rsid w:val="00833C55"/>
    <w:rsid w:val="00871596"/>
    <w:rsid w:val="008762DC"/>
    <w:rsid w:val="008C0C27"/>
    <w:rsid w:val="00913DF8"/>
    <w:rsid w:val="009343F5"/>
    <w:rsid w:val="00995543"/>
    <w:rsid w:val="00996FE3"/>
    <w:rsid w:val="009A69BA"/>
    <w:rsid w:val="009B5E17"/>
    <w:rsid w:val="009D4D2C"/>
    <w:rsid w:val="00A53E81"/>
    <w:rsid w:val="00A82D8A"/>
    <w:rsid w:val="00A85176"/>
    <w:rsid w:val="00AC23CD"/>
    <w:rsid w:val="00AD1559"/>
    <w:rsid w:val="00B131C2"/>
    <w:rsid w:val="00B93865"/>
    <w:rsid w:val="00BA1E27"/>
    <w:rsid w:val="00BA73E1"/>
    <w:rsid w:val="00BD5B59"/>
    <w:rsid w:val="00C438CE"/>
    <w:rsid w:val="00C73DF9"/>
    <w:rsid w:val="00CA5B17"/>
    <w:rsid w:val="00CB62F8"/>
    <w:rsid w:val="00CF0506"/>
    <w:rsid w:val="00D05794"/>
    <w:rsid w:val="00D31960"/>
    <w:rsid w:val="00D60452"/>
    <w:rsid w:val="00DA0C94"/>
    <w:rsid w:val="00DB43F2"/>
    <w:rsid w:val="00DD1012"/>
    <w:rsid w:val="00DE1ECD"/>
    <w:rsid w:val="00DE4316"/>
    <w:rsid w:val="00E24801"/>
    <w:rsid w:val="00E47036"/>
    <w:rsid w:val="00E97AA4"/>
    <w:rsid w:val="00EB16AB"/>
    <w:rsid w:val="00EF2E2E"/>
    <w:rsid w:val="00F70A4E"/>
    <w:rsid w:val="00F72D4E"/>
    <w:rsid w:val="00FA2A99"/>
    <w:rsid w:val="00FD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9D1410-F465-44A8-901C-F5F92711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75"/>
    <w:pPr>
      <w:widowControl w:val="0"/>
      <w:spacing w:after="0" w:line="240" w:lineRule="auto"/>
      <w:jc w:val="both"/>
    </w:pPr>
    <w:rPr>
      <w:rFonts w:ascii="Times New Roman" w:hAnsi="Times New Roman" w:cs="Times New Roman"/>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25FA"/>
    <w:rPr>
      <w:rFonts w:ascii="Times New Roman" w:hAnsi="Times New Roman" w:cs="Times New Roman"/>
      <w:kern w:val="2"/>
      <w:sz w:val="18"/>
      <w:szCs w:val="18"/>
      <w:lang w:eastAsia="zh-CN"/>
    </w:rPr>
  </w:style>
  <w:style w:type="paragraph" w:styleId="Footer">
    <w:name w:val="footer"/>
    <w:basedOn w:val="Normal"/>
    <w:link w:val="FooterChar"/>
    <w:uiPriority w:val="99"/>
    <w:unhideWhenUsed/>
    <w:rsid w:val="005925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25FA"/>
    <w:rPr>
      <w:rFonts w:ascii="Times New Roman" w:hAnsi="Times New Roman" w:cs="Times New Roman"/>
      <w:kern w:val="2"/>
      <w:sz w:val="18"/>
      <w:szCs w:val="18"/>
      <w:lang w:eastAsia="zh-CN"/>
    </w:rPr>
  </w:style>
  <w:style w:type="table" w:styleId="TableGrid">
    <w:name w:val="Table Grid"/>
    <w:basedOn w:val="TableNormal"/>
    <w:uiPriority w:val="39"/>
    <w:rsid w:val="0026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0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gsweb.ars-grin.gov/gringlobal/search.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loras.org/florataxon.aspx?flora_id=2&amp;taxon_id=242339609" TargetMode="External"/><Relationship Id="rId12" Type="http://schemas.openxmlformats.org/officeDocument/2006/relationships/hyperlink" Target="https://plants.usda.gov/core/profile?symbol=POA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tsoftheworldonline.org/taxon/urn:lsid:ipni.org:names:708293-1" TargetMode="External"/><Relationship Id="rId5" Type="http://schemas.openxmlformats.org/officeDocument/2006/relationships/footnotes" Target="footnotes.xml"/><Relationship Id="rId10" Type="http://schemas.openxmlformats.org/officeDocument/2006/relationships/hyperlink" Target="https://www.ncbi.nlm.nih.gov/Taxonomy/Browser/wwwtax.cgi?id=254911" TargetMode="External"/><Relationship Id="rId4" Type="http://schemas.openxmlformats.org/officeDocument/2006/relationships/webSettings" Target="webSettings.xml"/><Relationship Id="rId9" Type="http://schemas.openxmlformats.org/officeDocument/2006/relationships/hyperlink" Target="http://www.evolutionaryherbalism.com/wp-content/uploads/2017/01/Osha-Ligusticum-sp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7093-99C7-4779-9531-81CAC635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7003</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Saheed Jimoh</dc:creator>
  <cp:keywords/>
  <dc:description/>
  <cp:lastModifiedBy>Premila Ganapathy, Integra-PDY, IN</cp:lastModifiedBy>
  <cp:revision>2</cp:revision>
  <dcterms:created xsi:type="dcterms:W3CDTF">2020-01-08T07:07:00Z</dcterms:created>
  <dcterms:modified xsi:type="dcterms:W3CDTF">2020-01-08T07:07:00Z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http://www.zotero.org/styles/acta-oecologica</vt:lpwstr>
  </property>
  <property fmtid="{D5CDD505-2E9C-101B-9397-08002B2CF9AE}" pid="3" name="Mendeley Recent Style Name 0_1">
    <vt:lpwstr>Acta Oecologica</vt:lpwstr>
  </property>
  <property fmtid="{D5CDD505-2E9C-101B-9397-08002B2CF9AE}" pid="4" name="Mendeley Recent Style Id 1_1">
    <vt:lpwstr>http://www.zotero.org/styles/agriculture-ecosystems-and-environment</vt:lpwstr>
  </property>
  <property fmtid="{D5CDD505-2E9C-101B-9397-08002B2CF9AE}" pid="5" name="Mendeley Recent Style Name 1_1">
    <vt:lpwstr>Agriculture, Ecosystems and Environment</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http://www.zotero.org/styles/animal-feed-science-and-technology</vt:lpwstr>
  </property>
  <property fmtid="{D5CDD505-2E9C-101B-9397-08002B2CF9AE}" pid="9" name="Mendeley Recent Style Name 3_1">
    <vt:lpwstr>Animal Feed Science and Technology</vt:lpwstr>
  </property>
  <property fmtid="{D5CDD505-2E9C-101B-9397-08002B2CF9AE}" pid="10" name="Mendeley Recent Style Id 4_1">
    <vt:lpwstr>http://www.zotero.org/styles/austral-ecology</vt:lpwstr>
  </property>
  <property fmtid="{D5CDD505-2E9C-101B-9397-08002B2CF9AE}" pid="11" name="Mendeley Recent Style Name 4_1">
    <vt:lpwstr>Austral Ecology</vt:lpwstr>
  </property>
  <property fmtid="{D5CDD505-2E9C-101B-9397-08002B2CF9AE}" pid="12" name="Mendeley Recent Style Id 5_1">
    <vt:lpwstr>http://www.zotero.org/styles/ecological-economics</vt:lpwstr>
  </property>
  <property fmtid="{D5CDD505-2E9C-101B-9397-08002B2CF9AE}" pid="13" name="Mendeley Recent Style Name 5_1">
    <vt:lpwstr>Ecological Economics</vt:lpwstr>
  </property>
  <property fmtid="{D5CDD505-2E9C-101B-9397-08002B2CF9AE}" pid="14" name="Mendeley Recent Style Id 6_1">
    <vt:lpwstr>http://www.zotero.org/styles/journal-of-applied-ecology</vt:lpwstr>
  </property>
  <property fmtid="{D5CDD505-2E9C-101B-9397-08002B2CF9AE}" pid="15" name="Mendeley Recent Style Name 6_1">
    <vt:lpwstr>Journal of Applied Ecology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http://www.zotero.org/styles/rangeland-ecology-and-management</vt:lpwstr>
  </property>
  <property fmtid="{D5CDD505-2E9C-101B-9397-08002B2CF9AE}" pid="19" name="Mendeley Recent Style Name 8_1">
    <vt:lpwstr>Rangeland Ecology &amp; Management</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y fmtid="{D5CDD505-2E9C-101B-9397-08002B2CF9AE}" pid="22" name="Mendeley Document_1">
    <vt:lpwstr>True</vt:lpwstr>
  </property>
  <property fmtid="{D5CDD505-2E9C-101B-9397-08002B2CF9AE}" pid="23" name="Mendeley Unique User Id_1">
    <vt:lpwstr>c4147aea-9415-33a2-a6d5-9cd5a990056e</vt:lpwstr>
  </property>
  <property fmtid="{D5CDD505-2E9C-101B-9397-08002B2CF9AE}" pid="24" name="Mendeley Citation Style_1">
    <vt:lpwstr>http://www.zotero.org/styles/ecological-economics</vt:lpwstr>
  </property>
</Properties>
</file>